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Outset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690145107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690145107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PFM Health Sciences,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530,796.00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530,796.00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530,796.00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47"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18,153,090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November 6, 2025 (according to the issuer's Form 10-Q as filed with the Securities and Exchange Commission on November 10, 2025). All of the other numbers and percentages reported in this Schedule 13G are as of 9:00 a.m. (ET) on the date of filing.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690145107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PFM Health Sciences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530,796.00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530,796.00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140"/>
          </w:cols>
          <w:pgMar w:left="320" w:top="166" w:right="439"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530,796.00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690145107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PFM Healthcare Growth Equity I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144"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530,796.00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530,796.00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530,796.00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144"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144"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690145107</w:t>
      </w:r>
    </w:p>
    <w:p>
      <w:pPr>
        <w:sectPr>
          <w:pgSz w:w="11900" w:h="16838" w:orient="portrait"/>
          <w:cols w:equalWidth="0" w:num="1">
            <w:col w:w="10099"/>
          </w:cols>
          <w:pgMar w:left="360" w:top="355" w:right="1440" w:bottom="144" w:gutter="0" w:footer="0" w:header="0"/>
          <w:type w:val="continuous"/>
        </w:sectPr>
      </w:pPr>
    </w:p>
    <w:bookmarkStart w:id="3" w:name="page4"/>
    <w:bookmarkEnd w:id="3"/>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Asset Management, LLC</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530,796.00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530,796.00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530,796.00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690145107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Brian D. Grossman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530,796.00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112" w:right="1440" w:bottom="0"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Shared Dispositive</w:t>
      </w:r>
    </w:p>
    <w:p>
      <w:pPr>
        <w:ind w:left="116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530,796.00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530,796.00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Outset Medical,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3052 Orchard Drive, San Jose, CA 95134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0"/>
        <w:spacing w:after="0" w:line="249" w:lineRule="auto"/>
        <w:rPr>
          <w:sz w:val="20"/>
          <w:szCs w:val="20"/>
          <w:color w:val="auto"/>
        </w:rPr>
      </w:pPr>
      <w:r>
        <w:rPr>
          <w:rFonts w:ascii="Times New Roman" w:cs="Times New Roman" w:eastAsia="Times New Roman" w:hAnsi="Times New Roman"/>
          <w:sz w:val="21"/>
          <w:szCs w:val="21"/>
          <w:color w:val="auto"/>
        </w:rPr>
        <w:t>This Schedule 13G is being jointly filed by PFM Health Sciences, LP ("PFM"), PFM Health Sciences GP, LLC ("PFM-GP"), PFM Healthcare Growth Equity I GP, LLC ("HCG-GP"), Partner Asset Management, LLC ("PAM"), and Brian D. Grossman ("Grossman" and, collectively with PFM, PFM-GP, HCG-GP, and PAM, the "Reporting</w:t>
      </w:r>
    </w:p>
    <w:p>
      <w:pPr>
        <w:spacing w:after="0" w:line="1" w:lineRule="exact"/>
        <w:rPr>
          <w:sz w:val="20"/>
          <w:szCs w:val="20"/>
          <w:color w:val="auto"/>
        </w:rPr>
      </w:pPr>
    </w:p>
    <w:p>
      <w:pPr>
        <w:ind w:left="920" w:hanging="912"/>
        <w:spacing w:after="0" w:line="23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with respect to shares of common stock of the above-named issuer owned by PFM Healthcare Growth Equity Fund I, LP, a Delaware limited partnership ("HCG"). PFM is the investment advisor for HCG. HCG-GP is the general partner of HCG. PAM is the member manager of HCG-GP. PFM-GP is the general partner of PFM and the manager of PAM. Grossman is the sole member of PFM-GP. The filing of this statement shall not be construed as an admission that any of the Reporting Persons is the beneficial owner of any securities covered by the statement other than the securities actually owned by such person (if any).</w:t>
      </w:r>
    </w:p>
    <w:p>
      <w:pPr>
        <w:sectPr>
          <w:pgSz w:w="11900" w:h="16838" w:orient="portrait"/>
          <w:cols w:equalWidth="0" w:num="1">
            <w:col w:w="11060"/>
          </w:cols>
          <w:pgMar w:left="360" w:top="355" w:right="479"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c/o PFM Health Sciences, LP, 50 California Street, Suite 2650, San Francisco, California 94111.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1"/>
          <w:szCs w:val="21"/>
          <w:color w:val="auto"/>
        </w:rPr>
        <w:t>PFM is organized as a limited partnership under the laws of the State of Delaware. Each of PFM-GP, HCG-GP and PAM is organized as a limited liability company under the laws of the State of Delaware. Grossman is a U.S. citizen.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$0.001 per share (the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690145107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8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620" w:space="300"/>
            <w:col w:w="10140"/>
          </w:cols>
          <w:pgMar w:left="360" w:top="355" w:right="47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111" w:right="459" w:bottom="0" w:gutter="0" w:footer="0" w:header="0"/>
        </w:sectPr>
      </w:pPr>
    </w:p>
    <w:p>
      <w:pPr>
        <w:spacing w:after="0" w:line="33" w:lineRule="exact"/>
        <w:rPr>
          <w:sz w:val="20"/>
          <w:szCs w:val="20"/>
          <w:color w:val="auto"/>
        </w:rPr>
      </w:pPr>
    </w:p>
    <w:p>
      <w:pPr>
        <w:ind w:left="920" w:right="240" w:hanging="912"/>
        <w:spacing w:after="0" w:line="24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Each of PFM Health Sciences, LP, PFM Health Sciences GP, LLC and Partner Asset Management, LLC may be deemed to beneficially own 530,796 Shares. 2. PFM Healthcare Growth Equity I GP, LLC may be deemed to beneficially own 530,796 Shares. 3. Mr. Grossman may be deemed to beneficially own 530,796 Shares.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1140" w:hanging="214"/>
        <w:spacing w:after="0"/>
        <w:tabs>
          <w:tab w:leader="none" w:pos="11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that each of PFM Health Sciences, LP, PFM Health Sciences GP, LLC and Partner Asset</w:t>
      </w:r>
    </w:p>
    <w:p>
      <w:pPr>
        <w:spacing w:after="0" w:line="14" w:lineRule="exact"/>
        <w:rPr>
          <w:rFonts w:ascii="Times New Roman" w:cs="Times New Roman" w:eastAsia="Times New Roman" w:hAnsi="Times New Roman"/>
          <w:sz w:val="22"/>
          <w:szCs w:val="22"/>
          <w:color w:val="auto"/>
        </w:rPr>
      </w:pPr>
    </w:p>
    <w:p>
      <w:pPr>
        <w:ind w:left="920" w:hanging="912"/>
        <w:spacing w:after="0" w:line="23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LLC may be deemed to beneficially own constitutes 2.9% of the Shares outstanding. 2. The number of Shares that PFM Healthcare Growth Equity I GP, LLC may be deemed to beneficially own constitutes 2.9% of the Shares outstanding. 3. The number of Shares that Mr. Grossman may be deemed to beneficially own constitutes 2.9% of the Shares outstanding.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920" w:firstLine="6"/>
        <w:spacing w:after="0" w:line="258" w:lineRule="auto"/>
        <w:tabs>
          <w:tab w:leader="none" w:pos="113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PFM Health Sciences, LP, PFM Health Sciences GP, LLC and Partner Asset Management, LLC: 0 2. PFM Healthcare Growth Equity I GP, LLC: 0 3. Mr. Grossman: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1140" w:hanging="214"/>
        <w:spacing w:after="0"/>
        <w:tabs>
          <w:tab w:leader="none" w:pos="11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PFM Health Sciences, LP, PFM Health Sciences GP, LLC and Partner Asset Management, LLC: 530,796</w:t>
      </w:r>
    </w:p>
    <w:p>
      <w:pPr>
        <w:spacing w:after="0" w:line="25" w:lineRule="exact"/>
        <w:rPr>
          <w:rFonts w:ascii="Times New Roman" w:cs="Times New Roman" w:eastAsia="Times New Roman" w:hAnsi="Times New Roman"/>
          <w:sz w:val="21"/>
          <w:szCs w:val="21"/>
          <w:color w:val="auto"/>
        </w:rPr>
      </w:pPr>
    </w:p>
    <w:p>
      <w:pPr>
        <w:ind w:left="1140" w:hanging="214"/>
        <w:spacing w:after="0"/>
        <w:tabs>
          <w:tab w:leader="none" w:pos="11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PFM Healthcare Growth Equity I GP, LLC: 530,796 3. Mr. Grossman: 530,796</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firstLine="6"/>
        <w:spacing w:after="0" w:line="258" w:lineRule="auto"/>
        <w:tabs>
          <w:tab w:leader="none" w:pos="113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PFM Health Sciences, LP, PFM Health Sciences GP, LLC and Partner Asset Management, LLC: 0 2. PFM Healthcare Growth Equity I GP, LLC: 0 3. Mr. Grossman: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1140" w:hanging="214"/>
        <w:spacing w:after="0"/>
        <w:tabs>
          <w:tab w:leader="none" w:pos="11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PFM Health Sciences, LP, PFM Health Sciences GP, LLC and Partner Asset Management, LLC: 530,796</w:t>
      </w:r>
    </w:p>
    <w:p>
      <w:pPr>
        <w:spacing w:after="0" w:line="25" w:lineRule="exact"/>
        <w:rPr>
          <w:rFonts w:ascii="Times New Roman" w:cs="Times New Roman" w:eastAsia="Times New Roman" w:hAnsi="Times New Roman"/>
          <w:sz w:val="21"/>
          <w:szCs w:val="21"/>
          <w:color w:val="auto"/>
        </w:rPr>
      </w:pPr>
    </w:p>
    <w:p>
      <w:pPr>
        <w:ind w:left="1140" w:hanging="214"/>
        <w:spacing w:after="0"/>
        <w:tabs>
          <w:tab w:leader="none" w:pos="11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PFM Healthcare Growth Equity I GP, LLC: 530,796 3. Mr. Grossman: 530,796</w:t>
      </w:r>
    </w:p>
    <w:p>
      <w:pPr>
        <w:spacing w:after="0" w:line="2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080"/>
          </w:cols>
          <w:pgMar w:left="360" w:top="111" w:right="45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160"/>
          </w:cols>
          <w:pgMar w:left="360" w:top="111" w:right="459" w:bottom="0" w:gutter="0" w:footer="0" w:header="0"/>
          <w:type w:val="continuous"/>
        </w:sectPr>
      </w:pPr>
    </w:p>
    <w:p>
      <w:pPr>
        <w:ind w:left="940" w:right="10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80"/>
          </w:cols>
          <w:pgMar w:left="360" w:top="111" w:right="459" w:bottom="0" w:gutter="0" w:footer="0" w:header="0"/>
          <w:type w:val="continuous"/>
        </w:sectPr>
      </w:pPr>
    </w:p>
    <w:bookmarkStart w:id="6" w:name="page7"/>
    <w:bookmarkEnd w:id="6"/>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PFM Health Sciences,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Darren Mooney</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Darren Mooney, Authorized Signatory</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PFM Health Sciences GP, LLC</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Darren Mooney</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Darren Mooney, Authorized Signatory</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PFM Healthcare Growth Equity I GP, LLC</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Darren Mooney</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Darren Mooney, Authorized Signatory</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Partner Asset Management, LLC</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Darren Mooney</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Darren Mooney, Authorized Signatory</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Brian D. Grossman</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Darren Mooney</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Darren Mooney, attorney-in-fact*</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310"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Darren Mooney is signing on behalf of Brian Grossman as attorney-in-fact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power of attorney dated February 1, 2024, and incorporated by reference herein. The power of attorney was filed as an attachment to a filing by certain of the Reporting Persons on Schedule 13G/A for Praxis Precision Medicines, Inc. on February 14, 2024.</w:t>
      </w:r>
    </w:p>
    <w:sectPr>
      <w:pgSz w:w="11900" w:h="16838" w:orient="portrait"/>
      <w:cols w:equalWidth="0" w:num="1">
        <w:col w:w="11180"/>
      </w:cols>
      <w:pgMar w:left="32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lvl w:ilvl="1">
      <w:lvlJc w:val="left"/>
      <w:lvlText w:val="%2."/>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2026-02-17T16:05:53Z</dcterms:created>
  <dcterms:modified xsi:type="dcterms:W3CDTF">2026-02-17T16:05:53Z</dcterms:modified>
</cp:coreProperties>
</file>