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500" w:hanging="3799"/>
        <w:spacing w:after="0" w:line="373" w:lineRule="auto"/>
        <w:tabs>
          <w:tab w:leader="none" w:pos="59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580" w:hanging="559"/>
        <w:spacing w:after="0"/>
        <w:tabs>
          <w:tab w:leader="none" w:pos="5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9" w:lineRule="exact"/>
        <w:rPr>
          <w:sz w:val="24"/>
          <w:szCs w:val="24"/>
          <w:color w:val="auto"/>
        </w:rPr>
      </w:pPr>
    </w:p>
    <w:p>
      <w:pPr>
        <w:ind w:left="396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3871595</wp:posOffset>
            </wp:positionH>
            <wp:positionV relativeFrom="paragraph">
              <wp:posOffset>-3175</wp:posOffset>
            </wp:positionV>
            <wp:extent cx="308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Outset Medical, Inc.</w:t>
      </w:r>
    </w:p>
    <w:p>
      <w:pPr>
        <w:sectPr>
          <w:pgSz w:w="11900" w:h="16838" w:orient="portrait"/>
          <w:cols w:equalWidth="0" w:num="1">
            <w:col w:w="11240"/>
          </w:cols>
          <w:pgMar w:left="320" w:top="970" w:right="339" w:bottom="1440" w:gutter="0" w:footer="0" w:header="0"/>
        </w:sectPr>
      </w:pPr>
    </w:p>
    <w:p>
      <w:pPr>
        <w:spacing w:after="0" w:line="4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20-0514392</w:t>
      </w:r>
    </w:p>
    <w:p>
      <w:pPr>
        <w:spacing w:after="0" w:line="3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480" w:space="460"/>
            <w:col w:w="3300"/>
          </w:cols>
          <w:pgMar w:left="320" w:top="970" w:right="339" w:bottom="1440" w:gutter="0" w:footer="0" w:header="0"/>
          <w:type w:val="continuous"/>
        </w:sectPr>
      </w:pPr>
    </w:p>
    <w:p>
      <w:pPr>
        <w:ind w:left="2280"/>
        <w:spacing w:after="0"/>
        <w:rPr>
          <w:sz w:val="20"/>
          <w:szCs w:val="20"/>
          <w:color w:val="auto"/>
        </w:rPr>
      </w:pPr>
      <w:r>
        <w:rPr>
          <w:rFonts w:ascii="Times New Roman" w:cs="Times New Roman" w:eastAsia="Times New Roman" w:hAnsi="Times New Roman"/>
          <w:sz w:val="14"/>
          <w:szCs w:val="14"/>
          <w:b w:val="1"/>
          <w:bCs w:val="1"/>
          <w:color w:val="auto"/>
        </w:rPr>
        <w:t>3052 Orchard Dr.</w:t>
      </w:r>
    </w:p>
    <w:p>
      <w:pPr>
        <w:spacing w:after="0" w:line="10" w:lineRule="exact"/>
        <w:rPr>
          <w:sz w:val="24"/>
          <w:szCs w:val="24"/>
          <w:color w:val="auto"/>
        </w:rPr>
      </w:pPr>
    </w:p>
    <w:p>
      <w:pPr>
        <w:ind w:left="2180"/>
        <w:spacing w:after="0"/>
        <w:tabs>
          <w:tab w:leader="none" w:pos="8240" w:val="left"/>
        </w:tabs>
        <w:rPr>
          <w:sz w:val="20"/>
          <w:szCs w:val="20"/>
          <w:color w:val="auto"/>
        </w:rPr>
      </w:pPr>
      <w:r>
        <w:rPr>
          <w:rFonts w:ascii="Times New Roman" w:cs="Times New Roman" w:eastAsia="Times New Roman" w:hAnsi="Times New Roman"/>
          <w:sz w:val="14"/>
          <w:szCs w:val="14"/>
          <w:b w:val="1"/>
          <w:bCs w:val="1"/>
          <w:color w:val="auto"/>
        </w:rPr>
        <w:t>San Jose, California</w:t>
      </w:r>
      <w:r>
        <w:rPr>
          <w:sz w:val="20"/>
          <w:szCs w:val="20"/>
          <w:color w:val="auto"/>
        </w:rPr>
        <w:tab/>
      </w:r>
      <w:r>
        <w:rPr>
          <w:rFonts w:ascii="Times New Roman" w:cs="Times New Roman" w:eastAsia="Times New Roman" w:hAnsi="Times New Roman"/>
          <w:sz w:val="14"/>
          <w:szCs w:val="14"/>
          <w:b w:val="1"/>
          <w:bCs w:val="1"/>
          <w:color w:val="auto"/>
        </w:rPr>
        <w:t>95134</w:t>
      </w:r>
    </w:p>
    <w:p>
      <w:pPr>
        <w:spacing w:after="0" w:line="25"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right="12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87" w:lineRule="exact"/>
        <w:rPr>
          <w:sz w:val="24"/>
          <w:szCs w:val="24"/>
          <w:color w:val="auto"/>
        </w:rPr>
      </w:pPr>
    </w:p>
    <w:p>
      <w:pPr>
        <w:jc w:val="both"/>
        <w:ind w:right="6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520" w:right="3080"/>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May 3, 2024, the registrant had 51,722,375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4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563C1"/>
              </w:rPr>
              <w:t>FINANCIAL INFORMATION</w:t>
            </w: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3"/>
            <w:vMerge w:val="continue"/>
          </w:tcPr>
          <w:p>
            <w:pPr>
              <w:spacing w:after="0"/>
              <w:rPr>
                <w:sz w:val="14"/>
                <w:szCs w:val="14"/>
                <w:color w:val="auto"/>
              </w:rPr>
            </w:pPr>
          </w:p>
        </w:tc>
        <w:tc>
          <w:tcPr>
            <w:tcW w:w="9440" w:type="dxa"/>
            <w:vAlign w:val="bottom"/>
            <w:gridSpan w:val="18"/>
            <w:vMerge w:val="continue"/>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563C1"/>
            </w:tcBorders>
            <w:gridSpan w:val="10"/>
          </w:tcPr>
          <w:p>
            <w:pPr>
              <w:spacing w:after="0"/>
              <w:rPr>
                <w:sz w:val="20"/>
                <w:szCs w:val="20"/>
                <w:color w:val="auto"/>
              </w:rPr>
            </w:pPr>
            <w:r>
              <w:rPr>
                <w:rFonts w:ascii="Times New Roman" w:cs="Times New Roman" w:eastAsia="Times New Roman" w:hAnsi="Times New Roman"/>
                <w:sz w:val="18"/>
                <w:szCs w:val="18"/>
                <w:color w:val="0563C1"/>
              </w:rPr>
              <w:t>Condensed Balance Sheets</w:t>
            </w:r>
          </w:p>
        </w:tc>
        <w:tc>
          <w:tcPr>
            <w:tcW w:w="702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Borders>
              <w:bottom w:val="single" w:sz="8" w:color="0563C1"/>
            </w:tcBorders>
            <w:gridSpan w:val="11"/>
          </w:tcPr>
          <w:p>
            <w:pPr>
              <w:spacing w:after="0"/>
              <w:rPr>
                <w:sz w:val="20"/>
                <w:szCs w:val="20"/>
                <w:color w:val="auto"/>
              </w:rPr>
            </w:pPr>
            <w:r>
              <w:rPr>
                <w:rFonts w:ascii="Times New Roman" w:cs="Times New Roman" w:eastAsia="Times New Roman" w:hAnsi="Times New Roman"/>
                <w:sz w:val="18"/>
                <w:szCs w:val="18"/>
                <w:color w:val="0563C1"/>
                <w:w w:val="99"/>
              </w:rPr>
              <w:t>Condensed Statements of Operations</w:t>
            </w:r>
          </w:p>
        </w:tc>
        <w:tc>
          <w:tcPr>
            <w:tcW w:w="6760" w:type="dxa"/>
            <w:vAlign w:val="bottom"/>
            <w:gridSpan w:val="7"/>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Condensed Statements of Comprehensive Loss</w:t>
            </w:r>
          </w:p>
        </w:tc>
        <w:tc>
          <w:tcPr>
            <w:tcW w:w="6040" w:type="dxa"/>
            <w:vAlign w:val="bottom"/>
            <w:gridSpan w:val="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Stockholders’ Equity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563C1"/>
            </w:tcBorders>
            <w:shd w:val="clear" w:color="auto" w:fill="0000EE"/>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Condensed Statements of Cash Flows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380" w:type="dxa"/>
            <w:vAlign w:val="bottom"/>
            <w:gridSpan w:val="3"/>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Notes to Condensed Financial Statements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32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40" w:type="dxa"/>
            <w:vAlign w:val="bottom"/>
            <w:tcBorders>
              <w:right w:val="single" w:sz="8" w:color="0563C1"/>
            </w:tcBorders>
            <w:shd w:val="clear" w:color="auto" w:fill="0563C1"/>
          </w:tcPr>
          <w:p>
            <w:pPr>
              <w:spacing w:after="0" w:line="20" w:lineRule="exact"/>
              <w:rPr>
                <w:sz w:val="1"/>
                <w:szCs w:val="1"/>
                <w:color w:val="auto"/>
              </w:rPr>
            </w:pPr>
          </w:p>
        </w:tc>
        <w:tc>
          <w:tcPr>
            <w:tcW w:w="400" w:type="dxa"/>
            <w:vAlign w:val="bottom"/>
            <w:gridSpan w:val="2"/>
            <w:shd w:val="clear" w:color="auto" w:fill="0563C1"/>
          </w:tcPr>
          <w:p>
            <w:pPr>
              <w:spacing w:after="0" w:line="20" w:lineRule="exact"/>
              <w:rPr>
                <w:sz w:val="1"/>
                <w:szCs w:val="1"/>
                <w:color w:val="auto"/>
              </w:rPr>
            </w:pPr>
          </w:p>
        </w:tc>
        <w:tc>
          <w:tcPr>
            <w:tcW w:w="660" w:type="dxa"/>
            <w:vAlign w:val="bottom"/>
            <w:gridSpan w:val="4"/>
            <w:shd w:val="clear" w:color="auto" w:fill="0563C1"/>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Management’s Discussion and Analysis of Financial Condition and Results of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563C1"/>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2080" w:type="dxa"/>
            <w:vAlign w:val="bottom"/>
            <w:tcBorders>
              <w:top w:val="single" w:sz="8" w:color="0563C1"/>
            </w:tcBorders>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Controls and Procedures</w:t>
            </w:r>
          </w:p>
        </w:tc>
        <w:tc>
          <w:tcPr>
            <w:tcW w:w="20" w:type="dxa"/>
            <w:vAlign w:val="bottom"/>
            <w:tcBorders>
              <w:bottom w:val="single" w:sz="8" w:color="0000EE"/>
            </w:tcBorders>
          </w:tcPr>
          <w:p>
            <w:pPr>
              <w:spacing w:after="0"/>
              <w:rPr>
                <w:sz w:val="18"/>
                <w:szCs w:val="18"/>
                <w:color w:val="auto"/>
              </w:rPr>
            </w:pPr>
          </w:p>
        </w:tc>
        <w:tc>
          <w:tcPr>
            <w:tcW w:w="7640" w:type="dxa"/>
            <w:vAlign w:val="bottom"/>
            <w:gridSpan w:val="12"/>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4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8"/>
                <w:szCs w:val="18"/>
                <w:color w:val="0563C1"/>
                <w:w w:val="99"/>
              </w:rPr>
              <w:t>OTHER INFORMATION</w:t>
            </w:r>
          </w:p>
        </w:tc>
        <w:tc>
          <w:tcPr>
            <w:tcW w:w="7500" w:type="dxa"/>
            <w:vAlign w:val="bottom"/>
            <w:gridSpan w:val="11"/>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Legal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8"/>
                <w:szCs w:val="18"/>
                <w:color w:val="0563C1"/>
                <w:w w:val="99"/>
              </w:rPr>
              <w:t>Risk Factors</w:t>
            </w:r>
          </w:p>
        </w:tc>
        <w:tc>
          <w:tcPr>
            <w:tcW w:w="420" w:type="dxa"/>
            <w:vAlign w:val="bottom"/>
            <w:tcBorders>
              <w:top w:val="single" w:sz="8" w:color="0563C1"/>
            </w:tcBorders>
            <w:gridSpan w:val="2"/>
          </w:tcPr>
          <w:p>
            <w:pPr>
              <w:spacing w:after="0"/>
              <w:rPr>
                <w:sz w:val="18"/>
                <w:szCs w:val="18"/>
                <w:color w:val="auto"/>
              </w:rPr>
            </w:pPr>
          </w:p>
        </w:tc>
        <w:tc>
          <w:tcPr>
            <w:tcW w:w="8100" w:type="dxa"/>
            <w:vAlign w:val="bottom"/>
            <w:gridSpan w:val="14"/>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w w:val="99"/>
              </w:rPr>
              <w:t>Unregistered Sales of Equity Securities and Use of Proceeds</w:t>
            </w:r>
          </w:p>
        </w:tc>
        <w:tc>
          <w:tcPr>
            <w:tcW w:w="50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563C1"/>
            </w:tcBorders>
            <w:gridSpan w:val="9"/>
          </w:tcPr>
          <w:p>
            <w:pPr>
              <w:spacing w:after="0"/>
              <w:rPr>
                <w:sz w:val="20"/>
                <w:szCs w:val="20"/>
                <w:color w:val="auto"/>
              </w:rPr>
            </w:pPr>
            <w:r>
              <w:rPr>
                <w:rFonts w:ascii="Times New Roman" w:cs="Times New Roman" w:eastAsia="Times New Roman" w:hAnsi="Times New Roman"/>
                <w:sz w:val="18"/>
                <w:szCs w:val="18"/>
                <w:color w:val="0563C1"/>
                <w:w w:val="99"/>
              </w:rPr>
              <w:t>Defaults Upon Senior Securities</w:t>
            </w:r>
          </w:p>
        </w:tc>
        <w:tc>
          <w:tcPr>
            <w:tcW w:w="7100" w:type="dxa"/>
            <w:vAlign w:val="bottom"/>
            <w:gridSpan w:val="9"/>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9"/>
              </w:rPr>
              <w:t>Mine Safety Disclosures</w:t>
            </w:r>
          </w:p>
        </w:tc>
        <w:tc>
          <w:tcPr>
            <w:tcW w:w="7660" w:type="dxa"/>
            <w:vAlign w:val="bottom"/>
            <w:gridSpan w:val="13"/>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18"/>
          </w:tcPr>
          <w:p>
            <w:pPr>
              <w:spacing w:after="0"/>
              <w:rPr>
                <w:sz w:val="20"/>
                <w:szCs w:val="20"/>
                <w:color w:val="auto"/>
              </w:rPr>
            </w:pPr>
            <w:r>
              <w:rPr>
                <w:rFonts w:ascii="Times New Roman" w:cs="Times New Roman" w:eastAsia="Times New Roman" w:hAnsi="Times New Roman"/>
                <w:sz w:val="18"/>
                <w:szCs w:val="18"/>
                <w:color w:val="0563C1"/>
              </w:rPr>
              <w:t>Other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8"/>
                <w:szCs w:val="18"/>
                <w:color w:val="0563C1"/>
              </w:rPr>
              <w:t>Exhibits</w:t>
            </w:r>
          </w:p>
        </w:tc>
        <w:tc>
          <w:tcPr>
            <w:tcW w:w="8120" w:type="dxa"/>
            <w:vAlign w:val="bottom"/>
            <w:gridSpan w:val="15"/>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563C1"/>
              </w:rPr>
              <w:t>Signatures</w:t>
            </w:r>
          </w:p>
        </w:tc>
        <w:tc>
          <w:tcPr>
            <w:tcW w:w="600" w:type="dxa"/>
            <w:vAlign w:val="bottom"/>
            <w:tcBorders>
              <w:top w:val="single" w:sz="8" w:color="0563C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563C1"/>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Outset Medical, Inc.</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20" w:type="dxa"/>
            <w:vAlign w:val="bottom"/>
          </w:tcPr>
          <w:p>
            <w:pPr>
              <w:jc w:val="center"/>
              <w:ind w:left="343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amounts)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36,478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32,980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325,391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291,219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346,242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313,801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55,323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196,813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100" w:type="dxa"/>
            <w:vAlign w:val="bottom"/>
          </w:tcPr>
          <w:p>
            <w:pPr>
              <w:spacing w:after="0"/>
              <w:rPr>
                <w:sz w:val="20"/>
                <w:szCs w:val="20"/>
                <w:color w:val="auto"/>
              </w:rPr>
            </w:pP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253,042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 shares authorized, and no shares issued and outstanding as of</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26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300,000 shares authorized as of March 31, 2024 and December 31,</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51,702 and 50,317 shares issued and outstanding as of March 31, 2024 and December 31,</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respectively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1,095,097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1,084,515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(258 )</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(1,001,691 )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(961,747 )</w:t>
            </w:r>
          </w:p>
        </w:tc>
      </w:tr>
      <w:tr>
        <w:trPr>
          <w:trHeight w:val="23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93,200</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122,886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346,242</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313,801</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-4996815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-4996815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-4053840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-4036695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-4053840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25"/>
        </w:trPr>
        <w:tc>
          <w:tcPr>
            <w:tcW w:w="7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5"/>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0"/>
        </w:trPr>
        <w:tc>
          <w:tcPr>
            <w:tcW w:w="77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r>
      <w:tr>
        <w:trPr>
          <w:trHeight w:val="241"/>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6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3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3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3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300" w:type="dxa"/>
            <w:vAlign w:val="bottom"/>
          </w:tcPr>
          <w:p>
            <w:pPr>
              <w:spacing w:after="0"/>
              <w:rPr>
                <w:sz w:val="20"/>
                <w:szCs w:val="20"/>
                <w:color w:val="auto"/>
              </w:rPr>
            </w:pPr>
          </w:p>
        </w:tc>
      </w:tr>
      <w:tr>
        <w:trPr>
          <w:trHeight w:val="241"/>
        </w:trPr>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3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3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w:t>
            </w:r>
          </w:p>
        </w:tc>
        <w:tc>
          <w:tcPr>
            <w:tcW w:w="3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49,913</w:t>
            </w:r>
          </w:p>
        </w:tc>
        <w:tc>
          <w:tcPr>
            <w:tcW w:w="3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(36,912 )</w:t>
            </w:r>
          </w:p>
        </w:tc>
        <w:tc>
          <w:tcPr>
            <w:tcW w:w="4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(43,485 )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3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(5,968 )</w:t>
            </w:r>
          </w:p>
        </w:tc>
        <w:tc>
          <w:tcPr>
            <w:tcW w:w="4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(2,942 )</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(39,944 )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(43,971 )</w:t>
            </w: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8"/>
        </w:trPr>
        <w:tc>
          <w:tcPr>
            <w:tcW w:w="7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7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(0.78 )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(0.90 )</w:t>
            </w: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50,901</w:t>
            </w:r>
          </w:p>
        </w:tc>
        <w:tc>
          <w:tcPr>
            <w:tcW w:w="260" w:type="dxa"/>
            <w:vAlign w:val="bottom"/>
            <w:tcBorders>
              <w:top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48,783</w:t>
            </w:r>
          </w:p>
        </w:tc>
        <w:tc>
          <w:tcPr>
            <w:tcW w:w="3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-3222625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-3222625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-2596515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-2596515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-1653540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-1653540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-702310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-702310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-205105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-187960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-205105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-187960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50"/>
        </w:trPr>
        <w:tc>
          <w:tcPr>
            <w:tcW w:w="7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(39,944 )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(43,971 )</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3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(326 )</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shd w:val="clear" w:color="auto" w:fill="CFF0FC"/>
          </w:tcPr>
          <w:p>
            <w:pPr>
              <w:spacing w:after="0"/>
              <w:rPr>
                <w:sz w:val="21"/>
                <w:szCs w:val="21"/>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(40,270 )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(43,520 )</w:t>
            </w:r>
          </w:p>
        </w:tc>
      </w:tr>
      <w:tr>
        <w:trPr>
          <w:trHeight w:val="20"/>
        </w:trPr>
        <w:tc>
          <w:tcPr>
            <w:tcW w:w="7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-187960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208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208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50,317</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1,084,515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(961,747 )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 stock</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(326 )</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(326 )</w:t>
            </w: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(39,944 )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(39,944 )</w:t>
            </w:r>
          </w:p>
        </w:tc>
        <w:tc>
          <w:tcPr>
            <w:tcW w:w="0" w:type="dxa"/>
            <w:vAlign w:val="bottom"/>
          </w:tcPr>
          <w:p>
            <w:pPr>
              <w:spacing w:after="0"/>
              <w:rPr>
                <w:sz w:val="1"/>
                <w:szCs w:val="1"/>
                <w:color w:val="auto"/>
              </w:rPr>
            </w:pPr>
          </w:p>
        </w:tc>
      </w:tr>
      <w:tr>
        <w:trPr>
          <w:trHeight w:val="23"/>
        </w:trPr>
        <w:tc>
          <w:tcPr>
            <w:tcW w:w="408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51,702</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52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1,095,097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(1,001,691 )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-179070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-179070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-179070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80" w:type="dxa"/>
            <w:vAlign w:val="bottom"/>
          </w:tcPr>
          <w:p>
            <w:pPr>
              <w:spacing w:after="0"/>
              <w:rPr>
                <w:sz w:val="17"/>
                <w:szCs w:val="17"/>
                <w:color w:val="auto"/>
              </w:rPr>
            </w:pPr>
          </w:p>
        </w:tc>
        <w:tc>
          <w:tcPr>
            <w:tcW w:w="208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2080" w:type="dxa"/>
            <w:vAlign w:val="bottom"/>
            <w:tcBorders>
              <w:bottom w:val="single" w:sz="8" w:color="auto"/>
            </w:tcBorders>
            <w:gridSpan w:val="3"/>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10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48,465</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1,035,456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(564 )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(788,950 )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through employee stock</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for settlement of RSUs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option exercises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(43,971 )</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(43,971 )</w:t>
            </w:r>
          </w:p>
        </w:tc>
        <w:tc>
          <w:tcPr>
            <w:tcW w:w="0" w:type="dxa"/>
            <w:vAlign w:val="bottom"/>
          </w:tcPr>
          <w:p>
            <w:pPr>
              <w:spacing w:after="0"/>
              <w:rPr>
                <w:sz w:val="1"/>
                <w:szCs w:val="1"/>
                <w:color w:val="auto"/>
              </w:rPr>
            </w:pPr>
          </w:p>
        </w:tc>
      </w:tr>
      <w:tr>
        <w:trPr>
          <w:trHeight w:val="23"/>
        </w:trPr>
        <w:tc>
          <w:tcPr>
            <w:tcW w:w="4080" w:type="dxa"/>
            <w:vAlign w:val="bottom"/>
            <w:shd w:val="clear" w:color="auto" w:fill="CFF0F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49,216</w:t>
            </w:r>
          </w:p>
        </w:tc>
        <w:tc>
          <w:tcPr>
            <w:tcW w:w="240" w:type="dxa"/>
            <w:vAlign w:val="bottom"/>
          </w:tcPr>
          <w:p>
            <w:pPr>
              <w:spacing w:after="0"/>
              <w:rPr>
                <w:sz w:val="19"/>
                <w:szCs w:val="19"/>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1,049,271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(113 )</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(832,921 )</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-179070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-179070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-179070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-179070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520" w:type="dxa"/>
            <w:vAlign w:val="bottom"/>
            <w:gridSpan w:val="6"/>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41"/>
        </w:trPr>
        <w:tc>
          <w:tcPr>
            <w:tcW w:w="77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6"/>
              </w:rPr>
              <w:t>(39,944 )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(43,971 )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(amortization) of discount (premium) on investments, net</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(1,577 )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inventories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non-cash items</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(3,497 )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(6,224 )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(6,981 )</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(400 )</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 and related benefits</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(4,462 )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(7,100 )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(1,367 )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warranty liability</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(379 )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37"/>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(45,912</w:t>
            </w:r>
          </w:p>
        </w:tc>
        <w:tc>
          <w:tcPr>
            <w:tcW w:w="260" w:type="dxa"/>
            <w:vAlign w:val="bottom"/>
            <w:tcBorders>
              <w:top w:val="single" w:sz="8" w:color="CFF0FC"/>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(44,756</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(354 )</w:t>
            </w: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98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6"/>
              </w:rPr>
              <w:t>(98,652 )</w:t>
            </w:r>
          </w:p>
        </w:tc>
        <w:tc>
          <w:tcPr>
            <w:tcW w:w="3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(68,147 )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investment securities</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39,975</w:t>
            </w:r>
          </w:p>
        </w:tc>
        <w:tc>
          <w:tcPr>
            <w:tcW w:w="2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71,600</w:t>
            </w:r>
          </w:p>
        </w:tc>
        <w:tc>
          <w:tcPr>
            <w:tcW w:w="100" w:type="dxa"/>
            <w:vAlign w:val="bottom"/>
            <w:shd w:val="clear" w:color="auto" w:fill="CFF0FC"/>
          </w:tcPr>
          <w:p>
            <w:pPr>
              <w:spacing w:after="0"/>
              <w:rPr>
                <w:sz w:val="21"/>
                <w:szCs w:val="2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stock option exercises and ESPP purchases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term loans, net of issuance costs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66,524</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68,610</w:t>
            </w:r>
          </w:p>
        </w:tc>
        <w:tc>
          <w:tcPr>
            <w:tcW w:w="260" w:type="dxa"/>
            <w:vAlign w:val="bottom"/>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w w:val="96"/>
              </w:rPr>
              <w:t>(36,333 )</w:t>
            </w: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(36,836 )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beginning of period</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71,838</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76,533</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end of period</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of inventories to property and equipment</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-3466465</wp:posOffset>
            </wp:positionV>
            <wp:extent cx="9398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-3466465</wp:posOffset>
            </wp:positionV>
            <wp:extent cx="9398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-2677795</wp:posOffset>
            </wp:positionV>
            <wp:extent cx="9398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-2677795</wp:posOffset>
            </wp:positionV>
            <wp:extent cx="93980" cy="196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-2043430</wp:posOffset>
            </wp:positionV>
            <wp:extent cx="9398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-2043430</wp:posOffset>
            </wp:positionV>
            <wp:extent cx="9398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-1388110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-1370965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-899160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-882015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-539115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-521970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Outset Medical,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Outset Medical, Inc. (the Company) is a medical technology company pioneering a first-of-its-kind technology to reduce the cost and complexity of dialysis.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40" w:firstLine="56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incurred net losses and negative cash flows from operations. During the three months ended March 31, 2024 and 2023, the Company incurred a net loss of $39.9 million and $44.0 million, respectively. As of March 31, 2024, the Company had an accumulated deficit of $1.0 billion.</w:t>
      </w:r>
    </w:p>
    <w:p>
      <w:pPr>
        <w:spacing w:after="0" w:line="68"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had cash, cash equivalents, restricted cash, and short-term investments of $230.2 million. The Company is subject to certain covenants limiting or restricting its ability to take specific actions, such as incurring additional debt, making capital expenditures or declaring dividends.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from the debt financing described in Note 7, will be sufficient to meet its anticipated needs for at least the next 12 months from the issuance date of the accompanying condensed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569"/>
        <w:spacing w:after="0" w:line="255" w:lineRule="auto"/>
        <w:rPr>
          <w:sz w:val="20"/>
          <w:szCs w:val="20"/>
          <w:color w:val="auto"/>
        </w:rPr>
      </w:pPr>
      <w:r>
        <w:rPr>
          <w:rFonts w:ascii="Times New Roman" w:cs="Times New Roman" w:eastAsia="Times New Roman" w:hAnsi="Times New Roman"/>
          <w:sz w:val="18"/>
          <w:szCs w:val="18"/>
          <w:color w:val="auto"/>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three-month period are also unaudited. The results of operations for the three months ended March 31, 2024 are not necessarily indicative of the results of operations to be anticipated for any other future annual or interim period. The condensed balance sheet as of December 31, 2023 included herein was derived from the audited financial statements as of that date.</w:t>
      </w:r>
    </w:p>
    <w:p>
      <w:pPr>
        <w:spacing w:after="0" w:line="81" w:lineRule="exact"/>
        <w:rPr>
          <w:sz w:val="20"/>
          <w:szCs w:val="20"/>
          <w:color w:val="auto"/>
        </w:rPr>
      </w:pPr>
    </w:p>
    <w:p>
      <w:pPr>
        <w:jc w:val="both"/>
        <w:ind w:right="100" w:firstLine="569"/>
        <w:spacing w:after="0" w:line="266" w:lineRule="auto"/>
        <w:rPr>
          <w:sz w:val="20"/>
          <w:szCs w:val="20"/>
          <w:color w:val="auto"/>
        </w:rPr>
      </w:pPr>
      <w:r>
        <w:rPr>
          <w:rFonts w:ascii="Times New Roman" w:cs="Times New Roman" w:eastAsia="Times New Roman" w:hAnsi="Times New Roman"/>
          <w:sz w:val="18"/>
          <w:szCs w:val="18"/>
          <w:color w:val="auto"/>
        </w:rPr>
        <w:t>These unaudited condensed financial statements should be read in conjunction with the Company’s audited financial statements and related notes for the year ended December 31, 2023, which are included in the Annual Report on Form 10-K for the fiscal year ended December 31, 2023 filed with the Securities and Exchange Commission (SEC) on February 21, 2024 (2023 Annual Report).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share amounts disclosed in the notes to the condensed financial statements are rounded to the nearest thousand except for per share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60" w:firstLine="562"/>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This ASU guidance is effective for our Annual Report on Form 10-K for the year ended December 31, 2024, and subsequent interim periods, with early adoption is permitted. The Company is currently evaluating the impact of the adoption of ASU 2023-07 on its financial statements and disclosures.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ind w:firstLine="562"/>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which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This ASU is effective for our Annual Report on Form 10-K for the year ended December 31, 2025, with early adoption is permitted. The Company does not expect the adoption of ASU 2023-09 to have a material impact on its financial statements.</w:t>
      </w:r>
    </w:p>
    <w:p>
      <w:pPr>
        <w:spacing w:after="0" w:line="77" w:lineRule="exact"/>
        <w:rPr>
          <w:sz w:val="20"/>
          <w:szCs w:val="20"/>
          <w:color w:val="auto"/>
        </w:rPr>
      </w:pPr>
    </w:p>
    <w:p>
      <w:pPr>
        <w:ind w:right="20" w:firstLine="562"/>
        <w:spacing w:after="0" w:line="272" w:lineRule="auto"/>
        <w:rPr>
          <w:sz w:val="20"/>
          <w:szCs w:val="20"/>
          <w:color w:val="auto"/>
        </w:rPr>
      </w:pPr>
      <w:r>
        <w:rPr>
          <w:rFonts w:ascii="Times New Roman" w:cs="Times New Roman" w:eastAsia="Times New Roman" w:hAnsi="Times New Roman"/>
          <w:sz w:val="17"/>
          <w:szCs w:val="17"/>
          <w:color w:val="auto"/>
        </w:rPr>
        <w:t>In March 2024, the SEC adopted rules intended to enhance and standardize climate-related disclosures in registration statements and annual reports. The new rules will require disclosure of material climate-related risks, including the material impacts of these risks to the Company, the quantification of material impacts to the Company as a result of severe weather events and other natural conditions and Board of Directors' oversight and risk management activities. The new rules follow a compliance phase-in timeline based on a company's filing status. Large accelerated filers and accelerated filers (other than smaller reporting companies) are required to first incorporate such disclosures for fiscal years 2025 and 2026, respectively, followed by greenhouse gas-related disclosures, if material, for fiscal years 2026 and 2027, respectively. Smaller reporting companies are required to first incorporate such disclosures for fiscal year 2027 and are not required to report greenhouse gas emissions data. In April 2024, the SEC determined to voluntarily stay the final rules pending certain legal challenges. The Company is currently evaluating the impact of these new rules on its financial statements and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21" w:lineRule="exact"/>
        <w:rPr>
          <w:sz w:val="20"/>
          <w:szCs w:val="20"/>
          <w:color w:val="auto"/>
        </w:rPr>
      </w:pPr>
    </w:p>
    <w:p>
      <w:pPr>
        <w:jc w:val="both"/>
        <w:ind w:right="60" w:firstLine="562"/>
        <w:spacing w:after="0" w:line="282" w:lineRule="auto"/>
        <w:rPr>
          <w:sz w:val="20"/>
          <w:szCs w:val="20"/>
          <w:color w:val="auto"/>
        </w:rPr>
      </w:pPr>
      <w:r>
        <w:rPr>
          <w:rFonts w:ascii="Times New Roman" w:cs="Times New Roman" w:eastAsia="Times New Roman" w:hAnsi="Times New Roman"/>
          <w:sz w:val="18"/>
          <w:szCs w:val="18"/>
          <w:color w:val="auto"/>
        </w:rPr>
        <w:t>There have been no new or material changes to the Company’s significant accounting policies as described in its 2023 Annual Report that have had a material impact on the Company’s condensed financial statements and related notes.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Revenue and Deferred Revenue</w:t>
            </w: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Revenue by source consists of the following (in thousands):</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3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Consoles</w:t>
            </w:r>
          </w:p>
        </w:tc>
        <w:tc>
          <w:tcPr>
            <w:tcW w:w="1220" w:type="dxa"/>
            <w:vAlign w:val="bottom"/>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9,210</w:t>
            </w:r>
          </w:p>
        </w:tc>
        <w:tc>
          <w:tcPr>
            <w:tcW w:w="148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Consumables</w:t>
            </w:r>
          </w:p>
        </w:tc>
        <w:tc>
          <w:tcPr>
            <w:tcW w:w="1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Pr>
          <w:p>
            <w:pPr>
              <w:spacing w:after="0"/>
              <w:rPr>
                <w:sz w:val="20"/>
                <w:szCs w:val="20"/>
                <w:color w:val="auto"/>
              </w:rPr>
            </w:pPr>
          </w:p>
        </w:tc>
      </w:tr>
      <w:tr>
        <w:trPr>
          <w:trHeight w:val="241"/>
        </w:trPr>
        <w:tc>
          <w:tcPr>
            <w:tcW w:w="580" w:type="dxa"/>
            <w:vAlign w:val="bottom"/>
          </w:tcPr>
          <w:p>
            <w:pPr>
              <w:spacing w:after="0"/>
              <w:rPr>
                <w:sz w:val="20"/>
                <w:szCs w:val="20"/>
                <w:color w:val="auto"/>
              </w:rPr>
            </w:pPr>
          </w:p>
        </w:tc>
        <w:tc>
          <w:tcPr>
            <w:tcW w:w="6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product revenue</w:t>
            </w:r>
          </w:p>
        </w:tc>
        <w:tc>
          <w:tcPr>
            <w:tcW w:w="12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100" w:type="dxa"/>
            <w:vAlign w:val="bottom"/>
            <w:shd w:val="clear" w:color="auto" w:fill="CFF0FC"/>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Service and other revenue</w:t>
            </w:r>
          </w:p>
        </w:tc>
        <w:tc>
          <w:tcPr>
            <w:tcW w:w="1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20"/>
                <w:szCs w:val="20"/>
                <w:color w:val="auto"/>
              </w:rPr>
            </w:pPr>
          </w:p>
        </w:tc>
      </w:tr>
      <w:tr>
        <w:trPr>
          <w:trHeight w:val="277"/>
        </w:trPr>
        <w:tc>
          <w:tcPr>
            <w:tcW w:w="580" w:type="dxa"/>
            <w:vAlign w:val="bottom"/>
          </w:tcPr>
          <w:p>
            <w:pPr>
              <w:spacing w:after="0"/>
              <w:rPr>
                <w:sz w:val="24"/>
                <w:szCs w:val="24"/>
                <w:color w:val="auto"/>
              </w:rPr>
            </w:pPr>
          </w:p>
        </w:tc>
        <w:tc>
          <w:tcPr>
            <w:tcW w:w="60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Borders>
              <w:bottom w:val="single" w:sz="8" w:color="auto"/>
            </w:tcBorders>
            <w:shd w:val="clear" w:color="auto" w:fill="CFF0FC"/>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2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03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and Contract Liabilities</w:t>
      </w:r>
    </w:p>
    <w:p>
      <w:pPr>
        <w:spacing w:after="0" w:line="121" w:lineRule="exact"/>
        <w:rPr>
          <w:sz w:val="20"/>
          <w:szCs w:val="20"/>
          <w:color w:val="auto"/>
        </w:rPr>
      </w:pPr>
    </w:p>
    <w:p>
      <w:pPr>
        <w:jc w:val="both"/>
        <w:ind w:right="40" w:firstLine="569"/>
        <w:spacing w:after="0" w:line="266" w:lineRule="auto"/>
        <w:rPr>
          <w:sz w:val="20"/>
          <w:szCs w:val="20"/>
          <w:color w:val="auto"/>
        </w:rPr>
      </w:pPr>
      <w:r>
        <w:rPr>
          <w:rFonts w:ascii="Times New Roman" w:cs="Times New Roman" w:eastAsia="Times New Roman" w:hAnsi="Times New Roman"/>
          <w:sz w:val="18"/>
          <w:szCs w:val="18"/>
          <w:color w:val="auto"/>
        </w:rPr>
        <w:t>As of March 31, 2024, the aggregate amount of the transaction price allocated to the remaining performance obligations related to customer service contracts that are unsatisfied or partially unsatisfied was $13.0 million, which is recorded as deferred revenue on the Company’s condensed balance sheets. Of that amount, $12.8 million will be recognized as revenue during the next 12 months and $0.2 million thereafter.</w:t>
      </w:r>
    </w:p>
    <w:p>
      <w:pPr>
        <w:spacing w:after="0" w:line="68" w:lineRule="exact"/>
        <w:rPr>
          <w:sz w:val="20"/>
          <w:szCs w:val="20"/>
          <w:color w:val="auto"/>
        </w:rPr>
      </w:pPr>
    </w:p>
    <w:p>
      <w:pPr>
        <w:ind w:right="320" w:firstLine="569"/>
        <w:spacing w:after="0" w:line="266" w:lineRule="auto"/>
        <w:rPr>
          <w:sz w:val="20"/>
          <w:szCs w:val="20"/>
          <w:color w:val="auto"/>
        </w:rPr>
      </w:pPr>
      <w:r>
        <w:rPr>
          <w:rFonts w:ascii="Times New Roman" w:cs="Times New Roman" w:eastAsia="Times New Roman" w:hAnsi="Times New Roman"/>
          <w:sz w:val="18"/>
          <w:szCs w:val="18"/>
          <w:color w:val="auto"/>
        </w:rPr>
        <w:t>The contract liabilities consist of deferred revenue which represents payments received in advance of revenue recognition. Revenue under these agreements is recognized over the related service period. During the three months ended March 31, 2024, the Company recognized $5.6 million of previously deferred revenue.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ind w:right="1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measured at fair value on a recurring basis by level within the fair value hierarchy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Valuation</w:t>
            </w:r>
          </w:p>
        </w:tc>
        <w:tc>
          <w:tcPr>
            <w:tcW w:w="14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40" w:type="dxa"/>
            <w:vAlign w:val="bottom"/>
          </w:tcPr>
          <w:p>
            <w:pPr>
              <w:spacing w:after="0"/>
              <w:rPr>
                <w:sz w:val="21"/>
                <w:szCs w:val="21"/>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(236 )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2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38,850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Level 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FF0FC"/>
          </w:tcPr>
          <w:p>
            <w:pPr>
              <w:jc w:val="center"/>
              <w:ind w:right="2120"/>
              <w:spacing w:after="0"/>
              <w:rPr>
                <w:sz w:val="20"/>
                <w:szCs w:val="20"/>
                <w:color w:val="auto"/>
              </w:rPr>
            </w:pPr>
            <w:r>
              <w:rPr>
                <w:rFonts w:ascii="Times New Roman" w:cs="Times New Roman" w:eastAsia="Times New Roman" w:hAnsi="Times New Roman"/>
                <w:sz w:val="18"/>
                <w:szCs w:val="18"/>
                <w:color w:val="auto"/>
                <w:w w:val="99"/>
              </w:rPr>
              <w:t>Total cash equivalents and</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207,304</w:t>
            </w:r>
          </w:p>
        </w:tc>
        <w:tc>
          <w:tcPr>
            <w:tcW w:w="24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FF0FC"/>
          </w:tcPr>
          <w:p>
            <w:pPr>
              <w:jc w:val="center"/>
              <w:ind w:right="21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4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Holding</w:t>
            </w:r>
          </w:p>
        </w:tc>
        <w:tc>
          <w:tcPr>
            <w:tcW w:w="14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46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12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shd w:val="clear" w:color="auto" w:fill="CFF0FC"/>
          </w:tcPr>
          <w:p>
            <w:pPr>
              <w:jc w:val="center"/>
              <w:ind w:right="2120"/>
              <w:spacing w:after="0"/>
              <w:rPr>
                <w:sz w:val="20"/>
                <w:szCs w:val="20"/>
                <w:color w:val="auto"/>
              </w:rPr>
            </w:pPr>
            <w:r>
              <w:rPr>
                <w:rFonts w:ascii="Times New Roman" w:cs="Times New Roman" w:eastAsia="Times New Roman" w:hAnsi="Times New Roman"/>
                <w:sz w:val="18"/>
                <w:szCs w:val="18"/>
                <w:color w:val="auto"/>
                <w:w w:val="99"/>
              </w:rPr>
              <w:t>Total cash equivalents and</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179,629</w:t>
            </w:r>
          </w:p>
        </w:tc>
        <w:tc>
          <w:tcPr>
            <w:tcW w:w="240" w:type="dxa"/>
            <w:vAlign w:val="bottom"/>
            <w:vMerge w:val="restart"/>
            <w:shd w:val="clear" w:color="auto" w:fill="CFF0FC"/>
          </w:tcPr>
          <w:p>
            <w:pPr>
              <w:spacing w:after="0"/>
              <w:rPr>
                <w:sz w:val="18"/>
                <w:szCs w:val="18"/>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vMerge w:val="restart"/>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20" w:type="dxa"/>
            <w:vAlign w:val="bottom"/>
            <w:gridSpan w:val="2"/>
            <w:shd w:val="clear" w:color="auto" w:fill="CFF0FC"/>
          </w:tcPr>
          <w:p>
            <w:pPr>
              <w:jc w:val="center"/>
              <w:ind w:right="2120"/>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20" w:type="dxa"/>
            <w:vAlign w:val="bottom"/>
            <w:vMerge w:val="continue"/>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140" w:type="dxa"/>
            <w:vAlign w:val="bottom"/>
            <w:vMerge w:val="continue"/>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-2571115</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-2553970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-2571115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-2553970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-2571115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-2553970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2024, the remaining contractual maturities for available-for-sale securities were one month to fifteen months.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tables present the breakdown of the available-for-sale debt securities with unrealized losses as of March 31,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00" w:type="dxa"/>
            <w:vAlign w:val="bottom"/>
          </w:tcPr>
          <w:p>
            <w:pPr>
              <w:spacing w:after="0"/>
              <w:rPr>
                <w:sz w:val="18"/>
                <w:szCs w:val="18"/>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4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300" w:type="dxa"/>
            <w:vAlign w:val="bottom"/>
          </w:tcPr>
          <w:p>
            <w:pPr>
              <w:spacing w:after="0"/>
              <w:rPr>
                <w:sz w:val="21"/>
                <w:szCs w:val="21"/>
                <w:color w:val="auto"/>
              </w:rPr>
            </w:pPr>
          </w:p>
        </w:tc>
        <w:tc>
          <w:tcPr>
            <w:tcW w:w="154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4100" w:type="dxa"/>
            <w:vAlign w:val="bottom"/>
          </w:tcPr>
          <w:p>
            <w:pPr>
              <w:spacing w:after="0"/>
              <w:rPr>
                <w:sz w:val="21"/>
                <w:szCs w:val="21"/>
                <w:color w:val="auto"/>
              </w:rPr>
            </w:pPr>
          </w:p>
        </w:tc>
        <w:tc>
          <w:tcPr>
            <w:tcW w:w="8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10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0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r>
      <w:tr>
        <w:trPr>
          <w:trHeight w:val="24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104,003</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(225 )</w:t>
            </w: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840" w:type="dxa"/>
            <w:vAlign w:val="bottom"/>
            <w:gridSpan w:val="2"/>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108,974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(235 )</w:t>
            </w:r>
          </w:p>
        </w:tc>
      </w:tr>
      <w:tr>
        <w:trPr>
          <w:trHeight w:val="239"/>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(22 )</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r>
      <w:tr>
        <w:trPr>
          <w:trHeight w:val="24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debt</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4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4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8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(296 )</w:t>
            </w:r>
          </w:p>
        </w:tc>
      </w:tr>
      <w:tr>
        <w:trPr>
          <w:trHeight w:val="20"/>
        </w:trPr>
        <w:tc>
          <w:tcPr>
            <w:tcW w:w="4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8"/>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50"/>
        </w:trPr>
        <w:tc>
          <w:tcPr>
            <w:tcW w:w="4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-1087755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-1087755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-1087755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-1087755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-1087755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5"/>
        </w:trPr>
        <w:tc>
          <w:tcPr>
            <w:tcW w:w="4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losses less than</w:t>
            </w: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losses 12 months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or greater</w:t>
            </w:r>
          </w:p>
        </w:tc>
        <w:tc>
          <w:tcPr>
            <w:tcW w:w="2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4120" w:type="dxa"/>
            <w:vAlign w:val="bottom"/>
          </w:tcPr>
          <w:p>
            <w:pPr>
              <w:spacing w:after="0"/>
              <w:rPr>
                <w:sz w:val="21"/>
                <w:szCs w:val="21"/>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20" w:type="dxa"/>
            <w:vAlign w:val="bottom"/>
          </w:tcPr>
          <w:p>
            <w:pPr>
              <w:spacing w:after="0"/>
              <w:rPr>
                <w:sz w:val="21"/>
                <w:szCs w:val="21"/>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00" w:type="dxa"/>
            <w:vAlign w:val="bottom"/>
          </w:tcPr>
          <w:p>
            <w:pPr>
              <w:spacing w:after="0"/>
              <w:rPr>
                <w:sz w:val="21"/>
                <w:szCs w:val="21"/>
                <w:color w:val="auto"/>
              </w:rPr>
            </w:pPr>
          </w:p>
        </w:tc>
      </w:tr>
      <w:tr>
        <w:trPr>
          <w:trHeight w:val="243"/>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8,416</w:t>
            </w:r>
          </w:p>
        </w:tc>
        <w:tc>
          <w:tcPr>
            <w:tcW w:w="10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86"/>
              </w:rPr>
              <w:t>(16 )</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92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(16 )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(32 )</w:t>
            </w:r>
          </w:p>
        </w:tc>
      </w:tr>
      <w:tr>
        <w:trPr>
          <w:trHeight w:val="239"/>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government-sponsored enterprises</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(22 )</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(16 )</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w:t>
            </w:r>
          </w:p>
        </w:tc>
        <w:tc>
          <w:tcPr>
            <w:tcW w:w="2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4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24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6"/>
              </w:rPr>
              <w:t>(42 )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26,413</w:t>
            </w:r>
          </w:p>
        </w:tc>
        <w:tc>
          <w:tcPr>
            <w:tcW w:w="9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(32 )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4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-187960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-187960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March 31, 2024,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months ended March 31, 2024 and 2023, the Company did not recognize credit loss related to available-for-sales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440" w:firstLine="56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restricted cash balance of $3.3 million was related to collateral for the Company's building leases in San Jose, CA and Tijuana, Mexico.</w:t>
      </w:r>
    </w:p>
    <w:p>
      <w:pPr>
        <w:spacing w:after="0" w:line="54" w:lineRule="exact"/>
        <w:rPr>
          <w:sz w:val="20"/>
          <w:szCs w:val="20"/>
          <w:color w:val="auto"/>
        </w:rPr>
      </w:pPr>
    </w:p>
    <w:p>
      <w:pPr>
        <w:ind w:right="64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that sum to the total of the amounts shown in the accompanying condensed statements of cash flows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32,176</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39,697</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21,824</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55,839</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40" w:type="dxa"/>
            <w:vAlign w:val="bottom"/>
          </w:tcPr>
          <w:p>
            <w:pPr>
              <w:spacing w:after="0"/>
              <w:rPr>
                <w:sz w:val="24"/>
                <w:szCs w:val="24"/>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5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Customer rebates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-4276725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-4259580</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-4276725</wp:posOffset>
            </wp:positionV>
            <wp:extent cx="514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-4259580</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-2922270</wp:posOffset>
            </wp:positionV>
            <wp:extent cx="603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-2922270</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-1096645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-1096645</wp:posOffset>
            </wp:positionV>
            <wp:extent cx="514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360" w:firstLine="56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Term Loan</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3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Term loan consists of the following (in thousands):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114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of term loans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133,476</w:t>
            </w:r>
          </w:p>
        </w:tc>
        <w:tc>
          <w:tcPr>
            <w:tcW w:w="80" w:type="dxa"/>
            <w:vAlign w:val="bottom"/>
            <w:shd w:val="clear" w:color="auto" w:fill="CFF0FC"/>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6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(3,187 )</w:t>
            </w: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(3,363 )</w:t>
            </w:r>
          </w:p>
        </w:tc>
      </w:tr>
      <w:tr>
        <w:trPr>
          <w:trHeight w:val="276"/>
        </w:trPr>
        <w:tc>
          <w:tcPr>
            <w:tcW w:w="114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Term loans, noncurrent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196,813</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130,113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SLR Credit Facilities</w:t>
      </w:r>
    </w:p>
    <w:p>
      <w:pPr>
        <w:spacing w:after="0" w:line="12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On November 3, 2022 (the Closing Date), the Company entered into two senior secured credit facilities, which collectively provide for borrowings of up to $300.0 million as follows: (i) up to a $250.0 million term loan facility pursuant to a loan and security agreement (the SLR Loan Agreement) among SLR Investment Corp., as collateral agent (Agent), the lenders from time to time party thereto (the Term Loan Lenders) and the Company (the SLR Term Loan Facility), and (ii) up to a $50.0 million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spacing w:after="0" w:line="79"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The maximum amount the Company is permitted to borrow under the SLR Credit Facilities is subject to certain overall borrowing limitations. As of March 31, 2024, the Company borrowed an aggregate principal amount of $200.0 million under the SLR Term Loan Facility. If the Company achieves a certain net revenue milestone, calculated on a trailing six-month basis (First Revenue Milestone), on or before June 30, 2024 and the Additional Tranche (as defined below) under the SLR Revolver has been approved, the Company will be permitted to borrow up to an additional $50.0 million under the SLR Credit Facilities (i.e., a maximum amount of $250.0 million). If the Company achieves a subsequent additional net revenue milestone, calculated on a trailing six-month basis (Second Revenue Milestone), on or before June 30, 2025 and obtains lenders' credit approval, the Company will be permitted to further borrow up to an additional $50.0 million under the SLR Credit Facilities (i.e., a maximum amount of $300.0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SLR Term Loan Facility</w:t>
      </w:r>
    </w:p>
    <w:p>
      <w:pPr>
        <w:spacing w:after="0" w:line="119"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Under the SLR Loan Agreement, as subsequently amended on December 11, 2023, the Term Loan Lenders agreed to extend term loans to the Company in an aggregate principal amount of up to $250.0 million, comprised of (i) a term loan of $100.0 million (the Term A Loan), (ii) term loans in an aggregate principal amount of up to $100.0 million that was provided for in two increments, one of $33.5 million (the Term B-1 Loan) and one of $66.5 million (the Term B-2 Loan) and (iii) one or more term loans in an aggregate principal amount of up to $50.0 million (Term C Loans). Each Term A Loan, Term B Loan and Term C Loan is referred to single as a Term Loan and are referred to collectively as the Term Loans. The Term C Loans are available subject to lenders’ credit approval and the achievement of the Second Revenue Milestone on or before June 30, 2025. The Term C Loans will remain available for funding until one business day prior to November 1, 2027.</w:t>
      </w:r>
    </w:p>
    <w:p>
      <w:pPr>
        <w:spacing w:after="0" w:line="81"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Any principal amount outstanding under the Term Loans will accrue interest at a rate per annum equal to one-month term Secured Overnight Financing Rate (term SOFR) (subject to a 2.75% floor), plus 5.15% (10.47% as of March 31, 2024), payable monthly in arrears. The Company is permitted to make interest-only payments on the Term Loans through November 30, 2026, which</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ind w:right="20"/>
        <w:spacing w:after="0" w:line="253" w:lineRule="auto"/>
        <w:rPr>
          <w:sz w:val="20"/>
          <w:szCs w:val="20"/>
          <w:color w:val="auto"/>
        </w:rPr>
      </w:pPr>
      <w:r>
        <w:rPr>
          <w:rFonts w:ascii="Times New Roman" w:cs="Times New Roman" w:eastAsia="Times New Roman" w:hAnsi="Times New Roman"/>
          <w:sz w:val="18"/>
          <w:szCs w:val="18"/>
          <w:color w:val="auto"/>
        </w:rPr>
        <w:t>may be extended at the Company's option to May 31, 2027; provided that the Company meets the First Revenue Milestone. Any principal amounts outstanding under the Term Loans, if not repaid sooner, are due and payable on November 1, 2027 (the Maturity Date). The Company is obligated to pay Agent (i) a non-refundable facility fee in the amount of $750,000 in respect of the Term A Loan, (ii) a non-refundable facility fees in the aggregate amount of $750,000 in respect of the Term B-1 and B-2 Loans and (iii) a non-refundable facility fee in the amount of $375,000 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 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SLR Revolver</w:t>
      </w:r>
    </w:p>
    <w:p>
      <w:pPr>
        <w:spacing w:after="0" w:line="119" w:lineRule="exact"/>
        <w:rPr>
          <w:sz w:val="20"/>
          <w:szCs w:val="20"/>
          <w:color w:val="auto"/>
        </w:rPr>
      </w:pPr>
    </w:p>
    <w:p>
      <w:pPr>
        <w:jc w:val="both"/>
        <w:ind w:right="40" w:firstLine="569"/>
        <w:spacing w:after="0" w:line="270" w:lineRule="auto"/>
        <w:rPr>
          <w:sz w:val="20"/>
          <w:szCs w:val="20"/>
          <w:color w:val="auto"/>
        </w:rPr>
      </w:pPr>
      <w:r>
        <w:rPr>
          <w:rFonts w:ascii="Times New Roman" w:cs="Times New Roman" w:eastAsia="Times New Roman" w:hAnsi="Times New Roman"/>
          <w:sz w:val="17"/>
          <w:szCs w:val="17"/>
          <w:color w:val="auto"/>
        </w:rPr>
        <w:t>The SLR Revolving Credit Agreement provides for an asset-based revolving credit facility with aggregate revolving commitments of $25.0 million (the Initial Revolver Commitment). The Company may request to increase the aggregate revolving commitments by $25.0 million (the Additional Tranche) to an aggregate amount of $50.0 million, subject to ABL Lender’s approval. Amounts available to be drawn under the SLR Revolver are equal to the lesser of (i) outstanding revolving commitments under the SLR Revolving Credit Agreement and (ii) a borrowing base (the Borrowing Base) equal to the sum of</w:t>
      </w:r>
    </w:p>
    <w:p>
      <w:pPr>
        <w:spacing w:after="0" w:line="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eligible accounts receivable, plus (b) 25% of eligible inventory (not to exceed the lesser of 50% of the Borrowing Base and $5.0 million), minus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reserves, minus (d) unposted cash. No amounts were outstanding under the SLR Revolver as of March 31, 2024.</w:t>
      </w:r>
    </w:p>
    <w:p>
      <w:pPr>
        <w:spacing w:after="0" w:line="99"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 in respect of the Initial Revolver Commitment, (ii) a non-refundable facility fee in the amount of $187,500 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spacing w:after="0" w:line="84" w:lineRule="exact"/>
        <w:rPr>
          <w:sz w:val="20"/>
          <w:szCs w:val="20"/>
          <w:color w:val="auto"/>
        </w:rPr>
      </w:pPr>
    </w:p>
    <w:p>
      <w:pPr>
        <w:jc w:val="both"/>
        <w:ind w:right="200" w:firstLine="569"/>
        <w:spacing w:after="0" w:line="266" w:lineRule="auto"/>
        <w:rPr>
          <w:sz w:val="20"/>
          <w:szCs w:val="20"/>
          <w:color w:val="auto"/>
        </w:rPr>
      </w:pPr>
      <w:r>
        <w:rPr>
          <w:rFonts w:ascii="Times New Roman" w:cs="Times New Roman" w:eastAsia="Times New Roman" w:hAnsi="Times New Roman"/>
          <w:sz w:val="18"/>
          <w:szCs w:val="18"/>
          <w:color w:val="auto"/>
        </w:rPr>
        <w:t>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SLR Revolver shall expire on November 1, 2027.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Terms of the SLR Credit Facilities</w:t>
      </w:r>
    </w:p>
    <w:p>
      <w:pPr>
        <w:spacing w:after="0" w:line="119" w:lineRule="exact"/>
        <w:rPr>
          <w:sz w:val="20"/>
          <w:szCs w:val="20"/>
          <w:color w:val="auto"/>
        </w:rPr>
      </w:pPr>
    </w:p>
    <w:p>
      <w:pPr>
        <w:jc w:val="both"/>
        <w:ind w:right="340" w:firstLine="569"/>
        <w:spacing w:after="0" w:line="312" w:lineRule="auto"/>
        <w:rPr>
          <w:sz w:val="20"/>
          <w:szCs w:val="20"/>
          <w:color w:val="auto"/>
        </w:rPr>
      </w:pPr>
      <w:r>
        <w:rPr>
          <w:rFonts w:ascii="Times New Roman" w:cs="Times New Roman" w:eastAsia="Times New Roman" w:hAnsi="Times New Roman"/>
          <w:sz w:val="17"/>
          <w:szCs w:val="17"/>
          <w:color w:val="auto"/>
        </w:rPr>
        <w:t>As security for its obligations under the SLR Credit Facilities, the Company granted Agent, for the benefit of the Term Loan Lenders, and ABL Lender a security interest in substantially all of the assets of the Company, including the Company’s intellectual property, subject to certain exceptions.</w:t>
      </w:r>
    </w:p>
    <w:p>
      <w:pPr>
        <w:spacing w:after="0" w:line="32" w:lineRule="exact"/>
        <w:rPr>
          <w:sz w:val="20"/>
          <w:szCs w:val="20"/>
          <w:color w:val="auto"/>
        </w:rPr>
      </w:pPr>
    </w:p>
    <w:p>
      <w:pPr>
        <w:ind w:right="20" w:firstLine="569"/>
        <w:spacing w:after="0" w:line="253" w:lineRule="auto"/>
        <w:rPr>
          <w:sz w:val="20"/>
          <w:szCs w:val="20"/>
          <w:color w:val="auto"/>
        </w:rPr>
      </w:pPr>
      <w:r>
        <w:rPr>
          <w:rFonts w:ascii="Times New Roman" w:cs="Times New Roman" w:eastAsia="Times New Roman" w:hAnsi="Times New Roman"/>
          <w:sz w:val="18"/>
          <w:szCs w:val="18"/>
          <w:color w:val="auto"/>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agreements also include a financial covenant that,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in excess of specified amounts and maintain gross profit margins in excess of specified percentages, in each case, for applicable measuring periods.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40" w:firstLine="569"/>
        <w:spacing w:after="0" w:line="254" w:lineRule="auto"/>
        <w:rPr>
          <w:sz w:val="20"/>
          <w:szCs w:val="20"/>
          <w:color w:val="auto"/>
        </w:rPr>
      </w:pPr>
      <w:r>
        <w:rPr>
          <w:rFonts w:ascii="Times New Roman" w:cs="Times New Roman" w:eastAsia="Times New Roman" w:hAnsi="Times New Roman"/>
          <w:sz w:val="18"/>
          <w:szCs w:val="18"/>
          <w:color w:val="auto"/>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spacing w:after="0" w:line="80" w:lineRule="exact"/>
        <w:rPr>
          <w:sz w:val="20"/>
          <w:szCs w:val="20"/>
          <w:color w:val="auto"/>
        </w:rPr>
      </w:pPr>
    </w:p>
    <w:p>
      <w:pPr>
        <w:jc w:val="both"/>
        <w:ind w:right="60" w:firstLine="569"/>
        <w:spacing w:after="0" w:line="261" w:lineRule="auto"/>
        <w:rPr>
          <w:sz w:val="20"/>
          <w:szCs w:val="20"/>
          <w:color w:val="auto"/>
        </w:rPr>
      </w:pPr>
      <w:r>
        <w:rPr>
          <w:rFonts w:ascii="Times New Roman" w:cs="Times New Roman" w:eastAsia="Times New Roman" w:hAnsi="Times New Roman"/>
          <w:sz w:val="18"/>
          <w:szCs w:val="18"/>
          <w:color w:val="auto"/>
        </w:rPr>
        <w:t>The debt issuance costs and the facility fees related to the Term A and B Loans were recorded as a direct deduction from the term loans balance on the balance sheets and are being recognized as non-cash interest expense over the term of the loans using the effective interest method, along with the final payment fee. The facility fees related to the Initial Revolver Commitment were recorded as deferred financing costs and are being recognized as non-cash interest expense over their respective commitment period using straight-line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2024, 2,476,000 shares were reserved for future issuance under the 2020 Equity Incentive Plan (2020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 (ESPP)</w:t>
      </w:r>
    </w:p>
    <w:p>
      <w:pPr>
        <w:spacing w:after="0" w:line="121"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As of March 31, 2024, 931,000 shares of common stock were reserved for issuance in connection with the current and future offering periods under the ESPP.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140" w:firstLine="56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spacing w:after="0" w:line="68"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RSUs with a service-based vesting condition granted to a grantee, beginning in February 2022, generally vest over a three-year period as follows either: (i) 25% on the first anniversary of the original vesting date, 25% quarterly over the course of the second year, and 50% quarterly over the course of the third year, or (ii) 33% on the first anniversary of the original vesting date, with the balance vesting quarterly over the remaining two years. Annual RSUs granted to non-executive employees in 2024 vest over a two-year period at a rate of 50% on the first anniversary of the original vesting date, with the balance vesting quarterly over the remaining one year. Prior to February 2022, RSUs with a service-based vesting condition granted to a grantee generally vest at a rate of 25% on the first anniversary of the original vesting date, with the balance vesting quarterly over the remaining three years.</w:t>
      </w:r>
    </w:p>
    <w:p>
      <w:pPr>
        <w:spacing w:after="0" w:line="79" w:lineRule="exact"/>
        <w:rPr>
          <w:sz w:val="20"/>
          <w:szCs w:val="20"/>
          <w:color w:val="auto"/>
        </w:rPr>
      </w:pPr>
    </w:p>
    <w:p>
      <w:pPr>
        <w:ind w:firstLine="569"/>
        <w:spacing w:after="0" w:line="282" w:lineRule="auto"/>
        <w:rPr>
          <w:sz w:val="20"/>
          <w:szCs w:val="20"/>
          <w:color w:val="auto"/>
        </w:rPr>
      </w:pPr>
      <w:r>
        <w:rPr>
          <w:rFonts w:ascii="Times New Roman" w:cs="Times New Roman" w:eastAsia="Times New Roman" w:hAnsi="Times New Roman"/>
          <w:sz w:val="18"/>
          <w:szCs w:val="18"/>
          <w:color w:val="auto"/>
        </w:rPr>
        <w:t>Since 2022, the Company has granted a mix of 50% PSUs and 50% RSUs to its CEO, and a mix of 20% PSUs and 80% RSUs to its other executive officers and certain other senior leaders on an annual basis. The PSUs are earned and vest based on achievement against two metrics:</w:t>
      </w:r>
    </w:p>
    <w:p>
      <w:pPr>
        <w:spacing w:after="0" w:line="54" w:lineRule="exact"/>
        <w:rPr>
          <w:sz w:val="20"/>
          <w:szCs w:val="20"/>
          <w:color w:val="auto"/>
        </w:rPr>
      </w:pPr>
    </w:p>
    <w:p>
      <w:pPr>
        <w:ind w:left="1020" w:right="80" w:hanging="503"/>
        <w:spacing w:after="0" w:line="289"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“Home PSUs” are earned based on the number of patients treating at home on Tablo as of the end of the second or third year following the grant date (Year 2 or Year 3), with earned units vesting either (i) 50% after certification of achievement following the end of Year 2 and 50% at the end of Year 3 or (ii) 100% after certification of achievement following the end of Year 3 (performance-based vesting conditions).</w:t>
      </w:r>
    </w:p>
    <w:p>
      <w:pPr>
        <w:spacing w:after="0" w:line="49" w:lineRule="exact"/>
        <w:rPr>
          <w:rFonts w:ascii="Times New Roman" w:cs="Times New Roman" w:eastAsia="Times New Roman" w:hAnsi="Times New Roman"/>
          <w:sz w:val="17"/>
          <w:szCs w:val="17"/>
          <w:color w:val="auto"/>
        </w:rPr>
      </w:pPr>
    </w:p>
    <w:p>
      <w:pPr>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TSR PSUs” are earned based on the Company's relative total stockholder return (relative TSR) at the end of a two-year or three-year performance period as compared to companies in a pre-determined index of medical device companies, in each case, with 100% of earned units vesting on, or after certification of achievement following, the third anniversary of the grant date (market-based vesting conditions).</w:t>
      </w:r>
    </w:p>
    <w:p>
      <w:pPr>
        <w:spacing w:after="0" w:line="72" w:lineRule="exact"/>
        <w:rPr>
          <w:sz w:val="20"/>
          <w:szCs w:val="20"/>
          <w:color w:val="auto"/>
        </w:rPr>
      </w:pPr>
    </w:p>
    <w:p>
      <w:pPr>
        <w:jc w:val="both"/>
        <w:ind w:right="160" w:firstLine="569"/>
        <w:spacing w:after="0" w:line="266" w:lineRule="auto"/>
        <w:rPr>
          <w:sz w:val="20"/>
          <w:szCs w:val="20"/>
          <w:color w:val="auto"/>
        </w:rPr>
      </w:pPr>
      <w:r>
        <w:rPr>
          <w:rFonts w:ascii="Times New Roman" w:cs="Times New Roman" w:eastAsia="Times New Roman" w:hAnsi="Times New Roman"/>
          <w:sz w:val="18"/>
          <w:szCs w:val="18"/>
          <w:color w:val="auto"/>
        </w:rPr>
        <w:t>The number of units earned varies based on actual performance as follows: (i) from 0% to 200% (250% for the CEO) of the target number of the Home PSUs granted, (ii) from 75% to 150% (250% for the CEO) of the target number of Relative TSR PSUs granted in 2022 and 2023 and (iii) from 0% to 200% (250% for the CEO) of the target number of Relative TSR PSUS granted in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right="160" w:firstLine="569"/>
        <w:spacing w:after="0" w:line="261" w:lineRule="auto"/>
        <w:rPr>
          <w:sz w:val="20"/>
          <w:szCs w:val="20"/>
          <w:color w:val="auto"/>
        </w:rPr>
      </w:pPr>
      <w:r>
        <w:rPr>
          <w:rFonts w:ascii="Times New Roman" w:cs="Times New Roman" w:eastAsia="Times New Roman" w:hAnsi="Times New Roman"/>
          <w:sz w:val="18"/>
          <w:szCs w:val="18"/>
          <w:color w:val="auto"/>
        </w:rPr>
        <w:t>The grant date for the Home PSUs is not considered established until the Compensation Committee of the Board approves the target and it is communicated to the award recipients, which then triggers the service inception date, the fair value of the awards, and the associated expense recognition period. Once the grant date for the Home PSUs has been established, the related stock-based compensation expense is recorded based on the forecasted performance, which is reassessed each reporting period based on the probability of achieving the performance conditions.</w:t>
      </w:r>
    </w:p>
    <w:p>
      <w:pPr>
        <w:spacing w:after="0" w:line="72" w:lineRule="exact"/>
        <w:rPr>
          <w:sz w:val="20"/>
          <w:szCs w:val="20"/>
          <w:color w:val="auto"/>
        </w:rPr>
      </w:pPr>
    </w:p>
    <w:p>
      <w:pPr>
        <w:ind w:right="40" w:firstLine="569"/>
        <w:spacing w:after="0" w:line="266" w:lineRule="auto"/>
        <w:rPr>
          <w:sz w:val="20"/>
          <w:szCs w:val="20"/>
          <w:color w:val="auto"/>
        </w:rPr>
      </w:pPr>
      <w:r>
        <w:rPr>
          <w:rFonts w:ascii="Times New Roman" w:cs="Times New Roman" w:eastAsia="Times New Roman" w:hAnsi="Times New Roman"/>
          <w:sz w:val="18"/>
          <w:szCs w:val="18"/>
          <w:color w:val="auto"/>
        </w:rPr>
        <w:t>In 2024, the Company also granted a new type PSU award to executive officers and certain other senior leaders which is earned and vests based on appreciation of the Company’s stock price above pre-determined stock price triggers or achievement of specified operating income targets over a performance period of up to three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following table sets forth stock-based compensation expense included in the accompanying condensed statements of operations (in thousands):</w:t>
      </w:r>
    </w:p>
    <w:p>
      <w:pPr>
        <w:spacing w:after="0" w:line="13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p>
        </w:tc>
        <w:tc>
          <w:tcPr>
            <w:tcW w:w="244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0"/>
        </w:trPr>
        <w:tc>
          <w:tcPr>
            <w:tcW w:w="69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41"/>
        </w:trPr>
        <w:tc>
          <w:tcPr>
            <w:tcW w:w="69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r>
      <w:tr>
        <w:trPr>
          <w:trHeight w:val="23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120" w:type="dxa"/>
            <w:vAlign w:val="bottom"/>
            <w:gridSpan w:val="2"/>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shd w:val="clear" w:color="auto" w:fill="CFF0FC"/>
          </w:tcPr>
          <w:p>
            <w:pPr>
              <w:spacing w:after="0"/>
              <w:rPr>
                <w:sz w:val="20"/>
                <w:szCs w:val="20"/>
                <w:color w:val="auto"/>
              </w:rPr>
            </w:pPr>
          </w:p>
        </w:tc>
      </w:tr>
      <w:tr>
        <w:trPr>
          <w:trHeight w:val="23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2,615</w:t>
            </w:r>
          </w:p>
        </w:tc>
        <w:tc>
          <w:tcPr>
            <w:tcW w:w="260" w:type="dxa"/>
            <w:vAlign w:val="bottom"/>
          </w:tcPr>
          <w:p>
            <w:pPr>
              <w:spacing w:after="0"/>
              <w:rPr>
                <w:sz w:val="20"/>
                <w:szCs w:val="20"/>
                <w:color w:val="auto"/>
              </w:rPr>
            </w:pPr>
          </w:p>
        </w:tc>
      </w:tr>
      <w:tr>
        <w:trPr>
          <w:trHeight w:val="247"/>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2,598</w:t>
            </w:r>
          </w:p>
        </w:tc>
        <w:tc>
          <w:tcPr>
            <w:tcW w:w="260" w:type="dxa"/>
            <w:vAlign w:val="bottom"/>
            <w:shd w:val="clear" w:color="auto" w:fill="CFF0FC"/>
          </w:tcPr>
          <w:p>
            <w:pPr>
              <w:spacing w:after="0"/>
              <w:rPr>
                <w:sz w:val="21"/>
                <w:szCs w:val="21"/>
                <w:color w:val="auto"/>
              </w:rPr>
            </w:pPr>
          </w:p>
        </w:tc>
      </w:tr>
      <w:tr>
        <w:trPr>
          <w:trHeight w:val="23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2,967</w:t>
            </w:r>
          </w:p>
        </w:tc>
        <w:tc>
          <w:tcPr>
            <w:tcW w:w="260" w:type="dxa"/>
            <w:vAlign w:val="bottom"/>
          </w:tcPr>
          <w:p>
            <w:pPr>
              <w:spacing w:after="0"/>
              <w:rPr>
                <w:sz w:val="20"/>
                <w:szCs w:val="20"/>
                <w:color w:val="auto"/>
              </w:rPr>
            </w:pPr>
          </w:p>
        </w:tc>
      </w:tr>
      <w:tr>
        <w:trPr>
          <w:trHeight w:val="277"/>
        </w:trPr>
        <w:tc>
          <w:tcPr>
            <w:tcW w:w="6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2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8,538</w:t>
            </w:r>
          </w:p>
        </w:tc>
        <w:tc>
          <w:tcPr>
            <w:tcW w:w="2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-25400</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-8255</wp:posOffset>
            </wp:positionV>
            <wp:extent cx="596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right="240" w:firstLine="569"/>
        <w:spacing w:after="0" w:line="266" w:lineRule="auto"/>
        <w:rPr>
          <w:sz w:val="20"/>
          <w:szCs w:val="20"/>
          <w:color w:val="auto"/>
        </w:rPr>
      </w:pPr>
      <w:r>
        <w:rPr>
          <w:rFonts w:ascii="Times New Roman" w:cs="Times New Roman" w:eastAsia="Times New Roman" w:hAnsi="Times New Roman"/>
          <w:sz w:val="18"/>
          <w:szCs w:val="18"/>
          <w:color w:val="auto"/>
        </w:rPr>
        <w:t>For each of the three months ended March 31, 2024 and 2023,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right="400" w:firstLine="56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shares were excluded from the calculation of diluted net loss per share due to their anti-dilutive effect (in thousands):</w:t>
      </w:r>
    </w:p>
    <w:p>
      <w:pPr>
        <w:spacing w:after="0" w:line="63"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686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FF0FC"/>
          </w:tcPr>
          <w:p>
            <w:pPr>
              <w:spacing w:after="0"/>
              <w:rPr>
                <w:sz w:val="20"/>
                <w:szCs w:val="20"/>
                <w:color w:val="auto"/>
              </w:rPr>
            </w:pPr>
          </w:p>
        </w:tc>
      </w:tr>
      <w:tr>
        <w:trPr>
          <w:trHeight w:val="23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00" w:type="dxa"/>
            <w:vAlign w:val="bottom"/>
          </w:tcPr>
          <w:p>
            <w:pPr>
              <w:spacing w:after="0"/>
              <w:rPr>
                <w:sz w:val="20"/>
                <w:szCs w:val="20"/>
                <w:color w:val="auto"/>
              </w:rPr>
            </w:pPr>
          </w:p>
        </w:tc>
      </w:tr>
      <w:tr>
        <w:trPr>
          <w:trHeight w:val="247"/>
        </w:trPr>
        <w:tc>
          <w:tcPr>
            <w:tcW w:w="7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21"/>
                <w:szCs w:val="21"/>
                <w:color w:val="auto"/>
              </w:rPr>
            </w:pPr>
          </w:p>
        </w:tc>
      </w:tr>
      <w:tr>
        <w:trPr>
          <w:trHeight w:val="239"/>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to purchase common stock</w:t>
            </w:r>
          </w:p>
        </w:tc>
        <w:tc>
          <w:tcPr>
            <w:tcW w:w="10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20"/>
                <w:szCs w:val="20"/>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-187960</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Workforce reduction</w:t>
      </w:r>
    </w:p>
    <w:p>
      <w:pPr>
        <w:spacing w:after="0" w:line="121" w:lineRule="exact"/>
        <w:rPr>
          <w:sz w:val="20"/>
          <w:szCs w:val="20"/>
          <w:color w:val="auto"/>
        </w:rPr>
      </w:pPr>
    </w:p>
    <w:p>
      <w:pPr>
        <w:ind w:right="100" w:firstLine="569"/>
        <w:spacing w:after="0" w:line="255" w:lineRule="auto"/>
        <w:rPr>
          <w:sz w:val="20"/>
          <w:szCs w:val="20"/>
          <w:color w:val="auto"/>
        </w:rPr>
      </w:pPr>
      <w:r>
        <w:rPr>
          <w:rFonts w:ascii="Times New Roman" w:cs="Times New Roman" w:eastAsia="Times New Roman" w:hAnsi="Times New Roman"/>
          <w:sz w:val="18"/>
          <w:szCs w:val="18"/>
          <w:color w:val="auto"/>
        </w:rPr>
        <w:t>In order to improve operational efficiencies, reduce operating expenses and streamline its overall organizational structure, the Company recently implemented two organizational restructurings. At the beginning of the fourth quarter of 2023, the Company began a workforce reduction which was substantially completed by the end of 2023, incurring restructuring charges of $2.5 million in the fourth quarter of 2023 for employee severance and other termination benefits. In May 2024, the Company implemented an additional workforce reduction plan (the May 2024 workforce reduction plan) and, as a result, estimated and recognized restructuring charges of $3.0 million in the first quarter of 2024 for employee severance and other termination benefits. Restructuring accruals are based upon management estimates at the time and are subject to change depending upon changes in facts and circumstances subsequent to the date the original liability was recorded.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6" w:name="page17"/>
    <w:bookmarkEnd w:id="16"/>
    <w:p>
      <w:pPr>
        <w:ind w:right="1000" w:firstLine="56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severance and related benefits charges related to the May 2024 workforce reduction plan included in the accompanying condensed statements of operations (in thousands):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6"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13627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34"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-120650</wp:posOffset>
            </wp:positionV>
            <wp:extent cx="641223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8"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1,152</w:t>
      </w:r>
    </w:p>
    <w:p>
      <w:pPr>
        <w:spacing w:after="0" w:line="36"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-127635</wp:posOffset>
            </wp:positionV>
            <wp:extent cx="641223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color w:val="auto"/>
        </w:rPr>
        <w:t>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26035</wp:posOffset>
            </wp:positionV>
            <wp:extent cx="13627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3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2,956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-4993640</wp:posOffset>
            </wp:positionH>
            <wp:positionV relativeFrom="paragraph">
              <wp:posOffset>-120650</wp:posOffset>
            </wp:positionV>
            <wp:extent cx="6412230" cy="1797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7720" w:space="720"/>
            <w:col w:w="2800"/>
          </w:cols>
          <w:pgMar w:left="320" w:top="1093" w:right="339" w:bottom="1440" w:gutter="0" w:footer="0" w:header="0"/>
          <w:type w:val="continuous"/>
        </w:sectPr>
      </w:pPr>
    </w:p>
    <w:p>
      <w:pPr>
        <w:ind w:right="620" w:firstLine="56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changes in liabilities resulting from the restructuring accruals, which were recorded in accrued compensation and related benefits on the accompanying condensed balance sheet, were as follows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3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Charges</w:t>
            </w:r>
          </w:p>
        </w:tc>
        <w:tc>
          <w:tcPr>
            <w:tcW w:w="4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Payments</w:t>
            </w:r>
          </w:p>
        </w:tc>
        <w:tc>
          <w:tcPr>
            <w:tcW w:w="46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5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0" w:type="dxa"/>
            <w:vAlign w:val="bottom"/>
            <w:vMerge w:val="restart"/>
          </w:tcPr>
          <w:p>
            <w:pPr>
              <w:jc w:val="right"/>
              <w:ind w:right="307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-1096645</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60"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2023 Annual Report. As used in this Quarterly Report, references to the “Company,” “we,” “us,” “our,” or similar terms refer to Outset Medical, Inc.</w:t>
      </w:r>
    </w:p>
    <w:p>
      <w:pPr>
        <w:spacing w:after="0" w:line="72" w:lineRule="exact"/>
        <w:rPr>
          <w:sz w:val="20"/>
          <w:szCs w:val="20"/>
          <w:color w:val="auto"/>
        </w:rPr>
      </w:pPr>
    </w:p>
    <w:p>
      <w:pPr>
        <w:ind w:right="40" w:firstLine="569"/>
        <w:spacing w:after="0" w:line="252"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In some cases, you can identify these statements by forward-looking words such as “believe,” “may,” “will,” “estimate,” “continue,” “anticipate,” “intend,” “could,” “would,” “project,” “predict,” “plan,” “expect” or the negative or plural of these words or similar expressions.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and in Part I, Item 1A, “Risk Factors” and in Part II, Item 7, “Management’s Discussion and Analysis of Financial Condition and Results of Operations” in our Annual Report on Form 10-K for the fiscal year ended December 31, 2023.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569"/>
        <w:spacing w:after="0" w:line="255" w:lineRule="auto"/>
        <w:rPr>
          <w:sz w:val="20"/>
          <w:szCs w:val="20"/>
          <w:color w:val="auto"/>
        </w:rPr>
      </w:pPr>
      <w:r>
        <w:rPr>
          <w:rFonts w:ascii="Times New Roman" w:cs="Times New Roman" w:eastAsia="Times New Roman" w:hAnsi="Times New Roman"/>
          <w:sz w:val="18"/>
          <w:szCs w:val="18"/>
          <w:color w:val="auto"/>
        </w:rPr>
        <w:t>Our technology is designed to elevate the dialysis experience for patients and help providers overcome traditional care delivery challenges. Requiring only an electrical outlet and tap water to operate, our Tablo® Hemodialysis System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spacing w:after="0" w:line="81" w:lineRule="exact"/>
        <w:rPr>
          <w:sz w:val="20"/>
          <w:szCs w:val="20"/>
          <w:color w:val="auto"/>
        </w:rPr>
      </w:pPr>
    </w:p>
    <w:p>
      <w:pPr>
        <w:ind w:right="100" w:firstLine="569"/>
        <w:spacing w:after="0" w:line="256" w:lineRule="auto"/>
        <w:rPr>
          <w:sz w:val="20"/>
          <w:szCs w:val="20"/>
          <w:color w:val="auto"/>
        </w:rPr>
      </w:pPr>
      <w:r>
        <w:rPr>
          <w:rFonts w:ascii="Times New Roman" w:cs="Times New Roman" w:eastAsia="Times New Roman" w:hAnsi="Times New Roman"/>
          <w:sz w:val="18"/>
          <w:szCs w:val="18"/>
          <w:color w:val="auto"/>
        </w:rPr>
        <w:t>Tablo leverages cloud technology, making it possible for providers to monitor devices remotely, view treatment data, perform patient and population analytics, and automate clinical recordkeeping. Tablo's wireless connectivity enables us to release training, new features and enhancements over-the-air without interventions by field service engineers (FSEs). Tablo’s connectedness allows continuous streaming of over 500,000 device performance data points to the cloud for every treatment. We use this data, in conjunction with our diagnostic and predictive algorithms, to monitor device performance, identify and diagnose failures and, in some instances, predict and prevent potential future device failures or malfunctions. In effect, this contributes to a reduction in service hours and an increase in device uptime.</w:t>
      </w:r>
    </w:p>
    <w:p>
      <w:pPr>
        <w:spacing w:after="0" w:line="79"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spacing w:after="0" w:line="72" w:lineRule="exact"/>
        <w:rPr>
          <w:sz w:val="20"/>
          <w:szCs w:val="20"/>
          <w:color w:val="auto"/>
        </w:rPr>
      </w:pPr>
    </w:p>
    <w:p>
      <w:pPr>
        <w:ind w:right="60" w:firstLine="569"/>
        <w:spacing w:after="0" w:line="258" w:lineRule="auto"/>
        <w:rPr>
          <w:sz w:val="20"/>
          <w:szCs w:val="20"/>
          <w:color w:val="auto"/>
        </w:rPr>
      </w:pPr>
      <w:r>
        <w:rPr>
          <w:rFonts w:ascii="Times New Roman" w:cs="Times New Roman" w:eastAsia="Times New Roman" w:hAnsi="Times New Roman"/>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8" w:name="page19"/>
    <w:bookmarkEnd w:id="18"/>
    <w:p>
      <w:pPr>
        <w:ind w:right="180" w:firstLine="569"/>
        <w:spacing w:after="0" w:line="256" w:lineRule="auto"/>
        <w:rPr>
          <w:sz w:val="20"/>
          <w:szCs w:val="20"/>
          <w:color w:val="auto"/>
        </w:rPr>
      </w:pPr>
      <w:r>
        <w:rPr>
          <w:rFonts w:ascii="Times New Roman" w:cs="Times New Roman" w:eastAsia="Times New Roman" w:hAnsi="Times New Roman"/>
          <w:sz w:val="18"/>
          <w:szCs w:val="18"/>
          <w:color w:val="auto"/>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transitional care units (TCUs) as a bridge to home-based therapy.</w:t>
      </w:r>
    </w:p>
    <w:p>
      <w:pPr>
        <w:spacing w:after="0" w:line="79"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We generate revenue from the placement of Tablo consoles along with accessories, and shipping and handling charged to customers, which revenue is recognized up-front. We also earn recurring revenue from sales of consumables, including Tablo cartridge, and services, which generates significant total revenue over the life of Tablo console. Our total revenue was $28.2 million and $33.5 million for the three months ended March 31, 2024 and 2023, respectively.</w:t>
      </w:r>
    </w:p>
    <w:p>
      <w:pPr>
        <w:spacing w:after="0" w:line="72"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at existing customer sites. In addition, our field service team provides maintenance services and product support to our customers. Our field sales and service teams represent 49% of our total full-time employees as of March 31, 2024.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80" w:firstLine="569"/>
        <w:spacing w:after="0" w:line="253" w:lineRule="auto"/>
        <w:rPr>
          <w:sz w:val="20"/>
          <w:szCs w:val="20"/>
          <w:color w:val="auto"/>
        </w:rPr>
      </w:pPr>
      <w:r>
        <w:rPr>
          <w:rFonts w:ascii="Times New Roman" w:cs="Times New Roman" w:eastAsia="Times New Roman" w:hAnsi="Times New Roman"/>
          <w:sz w:val="18"/>
          <w:szCs w:val="18"/>
          <w:color w:val="auto"/>
        </w:rPr>
        <w:t>In July 2023, we received a warning letter (the Warning Letter) from the FDA that raised two observations. The first observation asserted that certain content reviewed by the FDA and found on our website promoted CRRT, a modality outside of the current indications for Tablo. The second observation asserted that TabloCart with Prefiltration requires prior 510(k) clearance for marketing authorization. TabloCart with Prefiltration is an accessory to Tablo launched in the third quarter of 2022. 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also been effectively addressed. Although we evaluated TabloCart with Prefiltration prior to marketing and distributing the product and concluded that no marketing authorization was necessary, we paused distribution of TabloCart with Prefiltration pending the FDA’s review and clearance of a 510(k) application that we submitted in September 2023. In early May 2024, we received 510(k) clearance from the FDA for TabloCart with Prefiltration, and we have resumed distribution of TabloCart with Prefiltration. We believe we have now taken appropriate measures to fully address the matters raised in the Warning Letter.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right="40" w:firstLine="569"/>
        <w:spacing w:after="0" w:line="261" w:lineRule="auto"/>
        <w:rPr>
          <w:sz w:val="20"/>
          <w:szCs w:val="20"/>
          <w:color w:val="auto"/>
        </w:rPr>
      </w:pPr>
      <w:r>
        <w:rPr>
          <w:rFonts w:ascii="Times New Roman" w:cs="Times New Roman" w:eastAsia="Times New Roman" w:hAnsi="Times New Roman"/>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of Tablo in Acute Setting</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We plan to further broaden our installed base by continuing to target national and regional integrated delivery networks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recover from the adverse impact in the field from the Warning Letter as we resume distribution of TabloCart with Prefiltration, as well as the success of our efforts to further evolve our commercial infrastructure and sales processes to support the growth of our business in the acute care market.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of Tablo within the Home Setting</w:t>
      </w:r>
    </w:p>
    <w:p>
      <w:pPr>
        <w:spacing w:after="0" w:line="121"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We believe that a significant growth opportunity exists within the home hemodialysis market. We are partnering with innovative dialysis clinic providers, health systems and other adjacent healthcare providers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our ability to further evolve our commercial infrastructure and sales processes as we scale our business in the home market.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21" w:lineRule="exact"/>
        <w:rPr>
          <w:sz w:val="20"/>
          <w:szCs w:val="20"/>
          <w:color w:val="auto"/>
        </w:rPr>
      </w:pPr>
    </w:p>
    <w:p>
      <w:pPr>
        <w:ind w:right="80" w:firstLine="569"/>
        <w:spacing w:after="0" w:line="270" w:lineRule="auto"/>
        <w:rPr>
          <w:sz w:val="20"/>
          <w:szCs w:val="20"/>
          <w:color w:val="auto"/>
        </w:rPr>
      </w:pPr>
      <w:r>
        <w:rPr>
          <w:rFonts w:ascii="Times New Roman" w:cs="Times New Roman" w:eastAsia="Times New Roman" w:hAnsi="Times New Roman"/>
          <w:sz w:val="17"/>
          <w:szCs w:val="17"/>
          <w:color w:val="auto"/>
        </w:rPr>
        <w:t>Our ability to expand our gross margins depends on: first, our ability to reduce the cost of Tablo consoles; second, our ability to continue to sell Tablo cartridges, services, and accessories for Tablo consoles; and third, our ability to reduce the cost of service. Over the past three years, we have moved the production of Tablo consoles and a majority of Tablo cartridges in-house to our manufacturing facility in Tijuana, Mexico which we operate in collaboration with TACNA as part of our cost reduction activities. This has helped further our long-term gross margin expansion and supply continuity strategies while reducing the costs of Tablo console production and improving the flexibility of our operations. We will continue our cost reduction activities by using our design, engineering, supply chain and manufacturing capabilities to help further advance and improve the efficiency of our manufacturing processes, lowering the cost of parts and components and lowering our costs of production. Further, we will continue to utilize our cloud-based data system, as well as enhanced product performance, to better support our field service team and drive down service costs per console. In addition, our ability to expand gross margins will depend in part on our ability to control the average selling prices of our products and services, including by selling higher-margin accessories, consumables and services. Our ability to expand gross margins depends on our ability to successfully execute these strategies.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Impacts of Macroeconomic Factors</w:t>
      </w:r>
    </w:p>
    <w:p>
      <w:pPr>
        <w:spacing w:after="0" w:line="121"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Global macroeconomic conditions, including inflationary pressures, rising interest rates, increased labor costs, staffing shortages and global supply chain disruptions,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our customers, or our suppliers.</w:t>
      </w:r>
    </w:p>
    <w:p>
      <w:pPr>
        <w:spacing w:after="0" w:line="72" w:lineRule="exact"/>
        <w:rPr>
          <w:sz w:val="20"/>
          <w:szCs w:val="20"/>
          <w:color w:val="auto"/>
        </w:rPr>
      </w:pPr>
    </w:p>
    <w:p>
      <w:pPr>
        <w:ind w:right="40" w:firstLine="569"/>
        <w:spacing w:after="0" w:line="252" w:lineRule="auto"/>
        <w:rPr>
          <w:sz w:val="20"/>
          <w:szCs w:val="20"/>
          <w:color w:val="auto"/>
        </w:rPr>
      </w:pPr>
      <w:r>
        <w:rPr>
          <w:rFonts w:ascii="Times New Roman" w:cs="Times New Roman" w:eastAsia="Times New Roman" w:hAnsi="Times New Roman"/>
          <w:sz w:val="18"/>
          <w:szCs w:val="18"/>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elongate our sales cycle and the timing of delivery and installations, which, in turn, contributed to an adverse impact on our bookings and revenues starting in the second half of 2023, and we expect these negative impacts to continue into 2024. 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 We have generally seen some stabilization in these challenging labor market dynamics for healthcare providers during 2023 and thereafter as compared to 2022. Moreover, we believe Tablo offers automation and ease-of-use benefits over traditional machines that can enhance our existing and potential customers’ ability to support their patient populations despite staffing shortages. However, if our customers continue to face prolonged periods of rising interest rates, capital budget constraints, volatility, uncertainty, staffing shortages, rising costs and other financial pressures, whether due to general macroeconomic conditions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88" w:lineRule="exact"/>
        <w:rPr>
          <w:sz w:val="20"/>
          <w:szCs w:val="20"/>
          <w:color w:val="auto"/>
        </w:rPr>
      </w:pPr>
    </w:p>
    <w:p>
      <w:pPr>
        <w:ind w:firstLine="569"/>
        <w:spacing w:after="0" w:line="255" w:lineRule="auto"/>
        <w:rPr>
          <w:sz w:val="20"/>
          <w:szCs w:val="20"/>
          <w:color w:val="auto"/>
        </w:rPr>
      </w:pPr>
      <w:r>
        <w:rPr>
          <w:rFonts w:ascii="Times New Roman" w:cs="Times New Roman" w:eastAsia="Times New Roman" w:hAnsi="Times New Roman"/>
          <w:sz w:val="18"/>
          <w:szCs w:val="18"/>
          <w:color w:val="auto"/>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However, our pilot clinical and administrative services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spacing w:after="0" w:line="81" w:lineRule="exact"/>
        <w:rPr>
          <w:sz w:val="20"/>
          <w:szCs w:val="20"/>
          <w:color w:val="auto"/>
        </w:rPr>
      </w:pPr>
    </w:p>
    <w:p>
      <w:pPr>
        <w:ind w:firstLine="569"/>
        <w:spacing w:after="0" w:line="254" w:lineRule="auto"/>
        <w:rPr>
          <w:sz w:val="20"/>
          <w:szCs w:val="20"/>
          <w:color w:val="auto"/>
        </w:rPr>
      </w:pPr>
      <w:r>
        <w:rPr>
          <w:rFonts w:ascii="Times New Roman" w:cs="Times New Roman" w:eastAsia="Times New Roman" w:hAnsi="Times New Roman"/>
          <w:sz w:val="18"/>
          <w:szCs w:val="18"/>
          <w:color w:val="auto"/>
        </w:rPr>
        <w:t>From a supply chain perspective, 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have disrupted the operations of certain of our third-party suppliers, resulting, in some cases, in increased lead times and higher component costs. We believe that localizing production of a majority of Tablo cartridges in Mexico (to our Mexico-based contract manufacturer and, more recently, in-house at our manufacturing facility) has helped achieve cost reductions through lower freight costs, further our long-term gross margin expansion and supply continuity strategies and improve the flexibility of our operations. However, we may face increased supply chain constraints in the future, which could negatively impact our ability to meet customer demand on a timely basis, result in customer dissatisfaction and adversely impact our operating margins and results of operations.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80" w:type="dxa"/>
            <w:vAlign w:val="bottom"/>
            <w:gridSpan w:val="15"/>
          </w:tcPr>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 (in thousands):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20,428</w:t>
            </w:r>
          </w:p>
        </w:tc>
        <w:tc>
          <w:tcPr>
            <w:tcW w:w="80" w:type="dxa"/>
            <w:vAlign w:val="bottom"/>
          </w:tcPr>
          <w:p>
            <w:pPr>
              <w:spacing w:after="0"/>
              <w:rPr>
                <w:sz w:val="20"/>
                <w:szCs w:val="20"/>
                <w:color w:val="auto"/>
              </w:rPr>
            </w:pP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service and other revenue</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0" w:type="dxa"/>
            <w:vAlign w:val="bottom"/>
            <w:shd w:val="clear" w:color="auto" w:fill="CFF0FC"/>
          </w:tcPr>
          <w:p>
            <w:pPr>
              <w:spacing w:after="0"/>
              <w:rPr>
                <w:sz w:val="20"/>
                <w:szCs w:val="20"/>
                <w:color w:val="auto"/>
              </w:rPr>
            </w:pPr>
          </w:p>
        </w:tc>
        <w:tc>
          <w:tcPr>
            <w:tcW w:w="54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FF0FC"/>
            </w:tcBorders>
            <w:shd w:val="clear" w:color="auto" w:fill="CFF0FC"/>
          </w:tcPr>
          <w:p>
            <w:pPr>
              <w:spacing w:after="0"/>
              <w:rPr>
                <w:sz w:val="21"/>
                <w:szCs w:val="21"/>
                <w:color w:val="auto"/>
              </w:rPr>
            </w:pPr>
          </w:p>
        </w:tc>
        <w:tc>
          <w:tcPr>
            <w:tcW w:w="546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(36,912 )</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(43,485 )</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shd w:val="clear" w:color="auto" w:fill="CFF0FC"/>
          </w:tcPr>
          <w:p>
            <w:pPr>
              <w:spacing w:after="0"/>
              <w:rPr>
                <w:sz w:val="21"/>
                <w:szCs w:val="21"/>
                <w:color w:val="auto"/>
              </w:rPr>
            </w:pPr>
          </w:p>
        </w:tc>
        <w:tc>
          <w:tcPr>
            <w:tcW w:w="5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(5,968 )</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(2,942 )</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(43,779</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(39,944 )</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(43,971 )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4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6"/>
          </w:tcPr>
          <w:p>
            <w:pPr>
              <w:jc w:val="right"/>
              <w:ind w:right="1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Product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27,779</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(7,351 )</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Service and other revenue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7,740</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5,688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4"/>
              </w:rPr>
              <w:t>2,052</w:t>
            </w:r>
          </w:p>
        </w:tc>
        <w:tc>
          <w:tcPr>
            <w:tcW w:w="220" w:type="dxa"/>
            <w:vAlign w:val="bottom"/>
          </w:tcPr>
          <w:p>
            <w:pPr>
              <w:spacing w:after="0"/>
              <w:rPr>
                <w:sz w:val="21"/>
                <w:szCs w:val="21"/>
                <w:color w:val="auto"/>
              </w:rPr>
            </w:pPr>
          </w:p>
        </w:tc>
        <w:tc>
          <w:tcPr>
            <w:tcW w:w="144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6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33,467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color w:val="auto"/>
              </w:rPr>
              <w:t>(5,299 )</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-4243070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-4243070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-3616960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-3616960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-2673985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-2673985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-1722120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-1722120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ind w:right="180" w:firstLine="569"/>
        <w:spacing w:after="0" w:line="266" w:lineRule="auto"/>
        <w:rPr>
          <w:sz w:val="20"/>
          <w:szCs w:val="20"/>
          <w:color w:val="auto"/>
        </w:rPr>
      </w:pPr>
      <w:r>
        <w:rPr>
          <w:rFonts w:ascii="Times New Roman" w:cs="Times New Roman" w:eastAsia="Times New Roman" w:hAnsi="Times New Roman"/>
          <w:sz w:val="18"/>
          <w:szCs w:val="18"/>
          <w:color w:val="auto"/>
        </w:rPr>
        <w:t>Product revenue decreased by $7.4 million or 26% for the three months ended March 31, 2024 as compared to the same period in the prior year. This decrease was driven by a $9.7 million decrease in console revenue which was partially offset by a $2.3 million increase in consumable revenue due to the growth in our console installed base.</w:t>
      </w:r>
    </w:p>
    <w:p>
      <w:pPr>
        <w:spacing w:after="0" w:line="68" w:lineRule="exact"/>
        <w:rPr>
          <w:sz w:val="20"/>
          <w:szCs w:val="20"/>
          <w:color w:val="auto"/>
        </w:rPr>
      </w:pPr>
    </w:p>
    <w:p>
      <w:pPr>
        <w:ind w:right="120" w:firstLine="569"/>
        <w:spacing w:after="0" w:line="282" w:lineRule="auto"/>
        <w:rPr>
          <w:sz w:val="20"/>
          <w:szCs w:val="20"/>
          <w:color w:val="auto"/>
        </w:rPr>
      </w:pPr>
      <w:r>
        <w:rPr>
          <w:rFonts w:ascii="Times New Roman" w:cs="Times New Roman" w:eastAsia="Times New Roman" w:hAnsi="Times New Roman"/>
          <w:sz w:val="18"/>
          <w:szCs w:val="18"/>
          <w:color w:val="auto"/>
        </w:rPr>
        <w:t>Service and other revenue increased by $2.1 million or 36% for the three months ended March 31, 2024 as compared to the same period in the prior year. This increase was primarily due to services associated with the growth in our console installed base.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6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544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4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 and gross margin:</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4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108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39"/>
        </w:trPr>
        <w:tc>
          <w:tcPr>
            <w:tcW w:w="20" w:type="dxa"/>
            <w:vAlign w:val="bottom"/>
            <w:shd w:val="clear" w:color="auto" w:fill="CFF0FC"/>
          </w:tcPr>
          <w:p>
            <w:pPr>
              <w:spacing w:after="0"/>
              <w:rPr>
                <w:sz w:val="20"/>
                <w:szCs w:val="20"/>
                <w:color w:val="auto"/>
              </w:rPr>
            </w:pPr>
          </w:p>
        </w:tc>
        <w:tc>
          <w:tcPr>
            <w:tcW w:w="54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29.2</w:t>
            </w:r>
          </w:p>
        </w:tc>
        <w:tc>
          <w:tcPr>
            <w:tcW w:w="1080" w:type="dxa"/>
            <w:vAlign w:val="bottom"/>
            <w:gridSpan w:val="2"/>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i w:val="1"/>
                <w:iCs w:val="1"/>
                <w:color w:val="auto"/>
              </w:rPr>
              <w:t>19.2</w:t>
            </w: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bl>
    <w:p>
      <w:pPr>
        <w:spacing w:after="0" w:line="90" w:lineRule="exact"/>
        <w:rPr>
          <w:sz w:val="20"/>
          <w:szCs w:val="20"/>
          <w:color w:val="auto"/>
        </w:rPr>
      </w:pPr>
    </w:p>
    <w:p>
      <w:pPr>
        <w:ind w:right="280" w:firstLine="569"/>
        <w:spacing w:after="0" w:line="258" w:lineRule="auto"/>
        <w:rPr>
          <w:sz w:val="20"/>
          <w:szCs w:val="20"/>
          <w:color w:val="auto"/>
        </w:rPr>
      </w:pPr>
      <w:r>
        <w:rPr>
          <w:rFonts w:ascii="Times New Roman" w:cs="Times New Roman" w:eastAsia="Times New Roman" w:hAnsi="Times New Roman"/>
          <w:sz w:val="18"/>
          <w:szCs w:val="18"/>
          <w:color w:val="auto"/>
        </w:rPr>
        <w:t>Gross profit increased by $1.8 million or 28% for the three months ended March 31, 2024 as compared to the same period in the prior year. Gross margin improved by 10.0 percentage points for the three months ended March 31, 2024, as compared to the same period in the prior year. This improvement in gross profit and gross margin was primarily driven by a higher mix of consumable and service and other revenue, both of which had improved gross margin year over year. The higher consumable gross margin resulted from lower cost per unit and a higher average selling price for consumables. Such improvement was partially offset by a lower average selling price for consoles.</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9"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12,635</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13,793</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(1,158 )</w:t>
            </w:r>
          </w:p>
        </w:tc>
        <w:tc>
          <w:tcPr>
            <w:tcW w:w="3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29"/>
        </w:trPr>
        <w:tc>
          <w:tcPr>
            <w:tcW w:w="20" w:type="dxa"/>
            <w:vAlign w:val="bottom"/>
          </w:tcPr>
          <w:p>
            <w:pPr>
              <w:spacing w:after="0"/>
              <w:rPr>
                <w:sz w:val="19"/>
                <w:szCs w:val="19"/>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24,333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(3,285 )</w:t>
            </w:r>
          </w:p>
        </w:tc>
        <w:tc>
          <w:tcPr>
            <w:tcW w:w="3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46"/>
        </w:trPr>
        <w:tc>
          <w:tcPr>
            <w:tcW w:w="20" w:type="dxa"/>
            <w:vAlign w:val="bottom"/>
          </w:tcPr>
          <w:p>
            <w:pPr>
              <w:spacing w:after="0"/>
              <w:rPr>
                <w:sz w:val="21"/>
                <w:szCs w:val="21"/>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11,444</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(343 )</w:t>
            </w:r>
          </w:p>
        </w:tc>
        <w:tc>
          <w:tcPr>
            <w:tcW w:w="36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45,127</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49,913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(4,786 )</w:t>
            </w:r>
          </w:p>
        </w:tc>
        <w:tc>
          <w:tcPr>
            <w:tcW w:w="36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 w:lineRule="exact"/>
        <w:rPr>
          <w:sz w:val="20"/>
          <w:szCs w:val="20"/>
          <w:color w:val="auto"/>
        </w:rPr>
      </w:pPr>
    </w:p>
    <w:p>
      <w:pPr>
        <w:ind w:right="220" w:firstLine="56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$1.2 million or 8% for the three months ended March 31, 2024, as compared to the same period in the prior year. This decrease was primarily due to an overall decrease in compensation-related and stock-based compensation expense, consulting expense, and infrastructure costs resulting from our cost reduction efforts implemented in the fourth quarter of 2023. These decreases were partially offset by the severance and related charges recorded in the current year.</w:t>
      </w:r>
    </w:p>
    <w:p>
      <w:pPr>
        <w:spacing w:after="0" w:line="72" w:lineRule="exact"/>
        <w:rPr>
          <w:sz w:val="20"/>
          <w:szCs w:val="20"/>
          <w:color w:val="auto"/>
        </w:rPr>
      </w:pPr>
    </w:p>
    <w:p>
      <w:pPr>
        <w:ind w:right="120" w:firstLine="569"/>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$3.3 million or 14% for the three months ended March 31, 2024 as compared to the same period in the prior year. The decrease was primarily driven by an overall decrease in compensation-related and stock-based compensation expense, travel, consulting and marketing expenses resulting from our cost reduction efforts implemented in the fourth quarter of 2023. These decreases were partially offset by the severance and related charges recorded in the current year and higher freight expenses due to higher volume in consumable sales.</w:t>
      </w:r>
    </w:p>
    <w:p>
      <w:pPr>
        <w:spacing w:after="0" w:line="72" w:lineRule="exact"/>
        <w:rPr>
          <w:sz w:val="20"/>
          <w:szCs w:val="20"/>
          <w:color w:val="auto"/>
        </w:rPr>
      </w:pPr>
    </w:p>
    <w:p>
      <w:pPr>
        <w:ind w:right="120" w:firstLine="569"/>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decreased by $0.3 million or 3% for the three months ended March 31, 2024 as compared to the same period in the prior year. This decrease was primarily due to an overall decrease in consulting expenses, infrastructure costs, and compensation-related expense resulting from our cost reduction efforts implemented in the fourth quarter of 2023. Our insurance costs also decreased as compared to the prior year. These decreases were partially offset by an increase in stock-based compensation expense and the severance and related charges recorded in the current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40" w:type="dxa"/>
            <w:vAlign w:val="bottom"/>
            <w:gridSpan w:val="5"/>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8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 thousands)</w:t>
            </w:r>
          </w:p>
        </w:tc>
        <w:tc>
          <w:tcPr>
            <w:tcW w:w="280" w:type="dxa"/>
            <w:vAlign w:val="bottom"/>
          </w:tcPr>
          <w:p>
            <w:pPr>
              <w:spacing w:after="0"/>
              <w:rPr>
                <w:sz w:val="16"/>
                <w:szCs w:val="16"/>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4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income and other income, net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3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w:t>
            </w:r>
          </w:p>
        </w:tc>
        <w:tc>
          <w:tcPr>
            <w:tcW w:w="3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4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(5,968 )</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(2,942 )</w:t>
            </w:r>
          </w:p>
        </w:tc>
        <w:tc>
          <w:tcPr>
            <w:tcW w:w="3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(3,026 )</w:t>
            </w:r>
          </w:p>
        </w:tc>
        <w:tc>
          <w:tcPr>
            <w:tcW w:w="3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5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other expenses, net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(2,870 )</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(294 )</w:t>
            </w:r>
          </w:p>
        </w:tc>
        <w:tc>
          <w:tcPr>
            <w:tcW w:w="3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(2,576 )</w:t>
            </w:r>
          </w:p>
        </w:tc>
        <w:tc>
          <w:tcPr>
            <w:tcW w:w="3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876 %</w:t>
            </w: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0" w:lineRule="exact"/>
        <w:rPr>
          <w:sz w:val="20"/>
          <w:szCs w:val="20"/>
          <w:color w:val="auto"/>
        </w:rPr>
      </w:pPr>
    </w:p>
    <w:p>
      <w:pPr>
        <w:ind w:right="240" w:firstLine="569"/>
        <w:spacing w:after="0" w:line="282" w:lineRule="auto"/>
        <w:rPr>
          <w:sz w:val="20"/>
          <w:szCs w:val="20"/>
          <w:color w:val="auto"/>
        </w:rPr>
      </w:pPr>
      <w:r>
        <w:rPr>
          <w:rFonts w:ascii="Times New Roman" w:cs="Times New Roman" w:eastAsia="Times New Roman" w:hAnsi="Times New Roman"/>
          <w:sz w:val="18"/>
          <w:szCs w:val="18"/>
          <w:color w:val="auto"/>
        </w:rPr>
        <w:t>The increase in interest income and other income, net for the three months ended March 31, 2024 as compared to the same period in the prior year was driven by higher interest rates.</w:t>
      </w:r>
    </w:p>
    <w:p>
      <w:pPr>
        <w:spacing w:after="0" w:line="54" w:lineRule="exact"/>
        <w:rPr>
          <w:sz w:val="20"/>
          <w:szCs w:val="20"/>
          <w:color w:val="auto"/>
        </w:rPr>
      </w:pPr>
    </w:p>
    <w:p>
      <w:pPr>
        <w:ind w:right="700" w:firstLine="569"/>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2024 as compared to the same period in the prior year was due to the increase in interest rate and a higher outstanding balance under the SLR Term Loan Facility in 2024</w:t>
      </w:r>
      <w:r>
        <w:rPr>
          <w:rFonts w:ascii="Times New Roman" w:cs="Times New Roman" w:eastAsia="Times New Roman" w:hAnsi="Times New Roman"/>
          <w:sz w:val="18"/>
          <w:szCs w:val="18"/>
          <w:color w:val="FF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March 31, 2024, we had cash, cash equivalents, restricted cash and short-term investments of $230.2 million.</w:t>
      </w:r>
    </w:p>
    <w:p>
      <w:pPr>
        <w:spacing w:after="0" w:line="117"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 and proceeds from employee exercise of stock options and ESPP purchases.</w:t>
      </w:r>
    </w:p>
    <w:p>
      <w:pPr>
        <w:spacing w:after="0" w:line="68" w:lineRule="exact"/>
        <w:rPr>
          <w:sz w:val="20"/>
          <w:szCs w:val="20"/>
          <w:color w:val="auto"/>
        </w:rPr>
      </w:pPr>
    </w:p>
    <w:p>
      <w:pPr>
        <w:ind w:right="280" w:firstLine="569"/>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(including through our existing debt), we will be subject to an increase in our interest expense which may negatively affect our cash flow. We also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from the debt financing described in Note 7 of the</w:t>
      </w:r>
    </w:p>
    <w:p>
      <w:pPr>
        <w:spacing w:after="0" w:line="1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97" w:right="239" w:bottom="1440" w:gutter="0" w:footer="0" w:header="0"/>
        </w:sectPr>
      </w:pPr>
    </w:p>
    <w:bookmarkStart w:id="22" w:name="page23"/>
    <w:bookmarkEnd w:id="22"/>
    <w:p>
      <w:pPr>
        <w:ind w:right="80"/>
        <w:spacing w:after="0" w:line="282" w:lineRule="auto"/>
        <w:rPr>
          <w:sz w:val="20"/>
          <w:szCs w:val="20"/>
          <w:color w:val="auto"/>
        </w:rPr>
      </w:pPr>
      <w:r>
        <w:rPr>
          <w:rFonts w:ascii="Times New Roman" w:cs="Times New Roman" w:eastAsia="Times New Roman" w:hAnsi="Times New Roman"/>
          <w:sz w:val="18"/>
          <w:szCs w:val="18"/>
          <w:color w:val="auto"/>
        </w:rPr>
        <w:t>accompanying condensed financial statements above, will be sufficient to meet our anticipated needs for at least the next 12 months from the issuance date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cash flows for each of the periods indicated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640" w:type="dxa"/>
            <w:vAlign w:val="bottom"/>
          </w:tcPr>
          <w:p>
            <w:pPr>
              <w:spacing w:after="0"/>
              <w:rPr>
                <w:sz w:val="19"/>
                <w:szCs w:val="19"/>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w:t>
            </w: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activities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(45,912 )</w:t>
            </w:r>
          </w:p>
        </w:tc>
        <w:tc>
          <w:tcPr>
            <w:tcW w:w="98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(44,756 )</w:t>
            </w:r>
          </w:p>
        </w:tc>
      </w:tr>
      <w:tr>
        <w:trPr>
          <w:trHeight w:val="239"/>
        </w:trPr>
        <w:tc>
          <w:tcPr>
            <w:tcW w:w="7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Investing activities</w:t>
            </w:r>
          </w:p>
        </w:tc>
        <w:tc>
          <w:tcPr>
            <w:tcW w:w="10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(59,031 )</w:t>
            </w: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100" w:type="dxa"/>
            <w:vAlign w:val="bottom"/>
            <w:shd w:val="clear" w:color="auto" w:fill="CFF0FC"/>
          </w:tcPr>
          <w:p>
            <w:pPr>
              <w:spacing w:after="0"/>
              <w:rPr>
                <w:sz w:val="20"/>
                <w:szCs w:val="20"/>
                <w:color w:val="auto"/>
              </w:rPr>
            </w:pPr>
          </w:p>
        </w:tc>
      </w:tr>
      <w:tr>
        <w:trPr>
          <w:trHeight w:val="223"/>
        </w:trPr>
        <w:tc>
          <w:tcPr>
            <w:tcW w:w="7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Financing activities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68,610</w:t>
            </w:r>
          </w:p>
        </w:tc>
        <w:tc>
          <w:tcPr>
            <w:tcW w:w="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100" w:type="dxa"/>
            <w:vAlign w:val="bottom"/>
          </w:tcPr>
          <w:p>
            <w:pPr>
              <w:spacing w:after="0"/>
              <w:rPr>
                <w:sz w:val="19"/>
                <w:szCs w:val="19"/>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(36,333 )</w:t>
            </w:r>
          </w:p>
        </w:tc>
        <w:tc>
          <w:tcPr>
            <w:tcW w:w="98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(36,836 )</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-25400</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69"/>
        <w:spacing w:after="0" w:line="255" w:lineRule="auto"/>
        <w:rPr>
          <w:sz w:val="20"/>
          <w:szCs w:val="20"/>
          <w:color w:val="auto"/>
        </w:rPr>
      </w:pPr>
      <w:r>
        <w:rPr>
          <w:rFonts w:ascii="Times New Roman" w:cs="Times New Roman" w:eastAsia="Times New Roman" w:hAnsi="Times New Roman"/>
          <w:sz w:val="18"/>
          <w:szCs w:val="18"/>
          <w:color w:val="auto"/>
        </w:rPr>
        <w:t>The net cash used in operating activities of $45.9 million for the three months ended March 31, 2024 was due to a net loss of $39.9 million, the amortization of premiums on investments of $1.6 million and a net cash outflow from the change in our operating assets and liabilities of $15.5 million, which were adjusted by stock-based compensation expense of $8.2 million, depreciation and amortization of $1.5 million, non-cash interest expense of $0.6 million, provision for inventories of $0.5 million, and non-cash lease expense of $0.3 million. The net cash outflow from operating assets and liabilities was primarily driven by an increase in inventory, a decrease in accrued compensation and related benefits primarily due to annual cash bonus payouts for 2023, an increase in accounts receivable resulting from the timing of collection, and a decrease in accrued expenses and other current liabilities. The net cash outflow from operating assets and liabilities was partially offset by an increase in deferred revenue and accounts payable.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40" w:firstLine="569"/>
        <w:spacing w:after="0" w:line="266" w:lineRule="auto"/>
        <w:rPr>
          <w:sz w:val="20"/>
          <w:szCs w:val="20"/>
          <w:color w:val="auto"/>
        </w:rPr>
      </w:pPr>
      <w:r>
        <w:rPr>
          <w:rFonts w:ascii="Times New Roman" w:cs="Times New Roman" w:eastAsia="Times New Roman" w:hAnsi="Times New Roman"/>
          <w:sz w:val="18"/>
          <w:szCs w:val="18"/>
          <w:color w:val="auto"/>
        </w:rPr>
        <w:t>The net cash used in investing activities of $59.0 million for the three months ended March 31, 2024 was due to the purchases of short-term investment securities of $98.7 million and the purchases of property and equipment of $0.4 million, which was partially offset by the maturities of short-term investment securities of $40.0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80" w:firstLine="569"/>
        <w:spacing w:after="0" w:line="282" w:lineRule="auto"/>
        <w:rPr>
          <w:sz w:val="20"/>
          <w:szCs w:val="20"/>
          <w:color w:val="auto"/>
        </w:rPr>
      </w:pPr>
      <w:r>
        <w:rPr>
          <w:rFonts w:ascii="Times New Roman" w:cs="Times New Roman" w:eastAsia="Times New Roman" w:hAnsi="Times New Roman"/>
          <w:sz w:val="18"/>
          <w:szCs w:val="18"/>
          <w:color w:val="auto"/>
        </w:rPr>
        <w:t>The net cash provided by financing activities of $68.6 million for the three months ended March 31, 2024 was due to the net proceeds of $66.5 million from borrowings under the SLR Term Loan Facility and the proceeds from employee exercises of stock options and ESPP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0" w:firstLine="569"/>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320" w:firstLine="569"/>
        <w:spacing w:after="0" w:line="282" w:lineRule="auto"/>
        <w:rPr>
          <w:sz w:val="20"/>
          <w:szCs w:val="20"/>
          <w:color w:val="auto"/>
        </w:rPr>
      </w:pPr>
      <w:r>
        <w:rPr>
          <w:rFonts w:ascii="Times New Roman" w:cs="Times New Roman" w:eastAsia="Times New Roman" w:hAnsi="Times New Roman"/>
          <w:sz w:val="18"/>
          <w:szCs w:val="18"/>
          <w:color w:val="auto"/>
        </w:rPr>
        <w:t>There have been no new or significant changes in our critical accounting estimates as compared to the critical accounting estimates disclosed in Part II Item 7 “Management’s Discussion and Analysis of Financial Condition and Results of Operations” of our 2023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760" w:firstLine="569"/>
        <w:spacing w:after="0" w:line="312" w:lineRule="auto"/>
        <w:rPr>
          <w:sz w:val="20"/>
          <w:szCs w:val="20"/>
          <w:color w:val="auto"/>
        </w:rPr>
      </w:pPr>
      <w:r>
        <w:rPr>
          <w:rFonts w:ascii="Times New Roman" w:cs="Times New Roman" w:eastAsia="Times New Roman" w:hAnsi="Times New Roman"/>
          <w:sz w:val="17"/>
          <w:szCs w:val="17"/>
          <w:color w:val="auto"/>
        </w:rPr>
        <w:t>Our market risks related to interest rate and foreign currency exchange rates are described in Part II Item 7A, “Qualitative and Qualitative Disclosures About Market Risk” of our 2023 Annual Report. Our exposure to market risks has not changed materially since December 31, 2023.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6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6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6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69"/>
        <w:spacing w:after="0" w:line="256"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2023 Annual Report, which could materially affect our business, financial position, or future results of operations. There have been no material changes to the risk factors described in our 2023 Annual Report, except as set forth below. The risks described in our 2023 Annual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recently resumed distribution of TabloCart with Prefiltration following the FDA’s clearance of our 510(k) submission, we may continue to experience disruptions as a result of the warning letter and our prior distribution pause on TabloCart with Prefiltration.</w:t>
      </w:r>
    </w:p>
    <w:p>
      <w:pPr>
        <w:spacing w:after="0" w:line="15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July 2023, we received a warning letter (the Warning Letter) from the FDA that raised two observations. The first observation asserted that certain content reviewed by the FDA and found on our website promoted CRRT, a modality outside of the current indications for Tablo. The second observation asserted that TabloCart with Prefiltration requires prior 510(k) clearance for marketing authorization. TabloCart with Prefiltration is an accessory to Tablo launched in the third quarter of 2022.</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also been effectively addressed. Although we evaluated TabloCart with Prefiltration prior to marketing and distributing the product and concluded that no marketing authorization was necessary, we paused distribution of TabloCart with Prefiltration pending the FDA’s review and clearance of a 510(k) application that we submitted in September 2023. In early May 2024, we received 510(k) clearance from the FDA for TabloCart with Prefiltration, and we have resumed distribution of TabloCart with Prefiltration.</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While we believe we have now taken appropriate measures to fully address the matters raised in the Warning Letter, we cannot guarantee that the FDA will be fully satisfied with our response or the remedial measures we have taken, or that we will not receive other warning letters or be subject to other FDA enforcement actions in the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4" w:name="page25"/>
    <w:bookmarkEnd w:id="24"/>
    <w:p>
      <w:pPr>
        <w:ind w:right="220" w:firstLine="749"/>
        <w:spacing w:after="0" w:line="269" w:lineRule="auto"/>
        <w:rPr>
          <w:sz w:val="20"/>
          <w:szCs w:val="20"/>
          <w:color w:val="auto"/>
        </w:rPr>
      </w:pPr>
      <w:r>
        <w:rPr>
          <w:rFonts w:ascii="Times New Roman" w:cs="Times New Roman" w:eastAsia="Times New Roman" w:hAnsi="Times New Roman"/>
          <w:sz w:val="17"/>
          <w:szCs w:val="17"/>
          <w:color w:val="auto"/>
        </w:rPr>
        <w:t>Moreover, our business and operations have experienced disruptions as a result of the Warning Letter and our pause on the distribution of TabloCart with Prefiltration, including reputational harm, customer uncertainty regarding the matters addressed in the Warning Letter, diversion of management’s time and attention, as well as adverse impacts on our bookings and revenues. For example, beginning in the third quarter of 2023 and continuing through the first quarter of 2024, we observed more customers than we anticipated choosing to defer their Tablo console purchasing and installation until TabloCart with Prefiltration became available again, and we also experienced marketplace confusion in relation to the Warning Letter, particularly regarding Tablo’s range of therapeutic modalities. These factors, combined with other macroeconomic factors, served to elongate our sales cycle and the timing of delivery and installations which, in turn, had an adverse impact on our bookings and revenues for the second half of 2023 and the first quarter of 2024. Even as we resume distribution of TabloCart with Prefiltration following its FDA clearance, if we are unable to sufficiently recover from these disruptions and any reputational harm at the levels or on the timeframes we anticipate, we may experience further disruptions which could include adverse impacts on our backlog, our ability to expand customer relationships or attract new customers, as well as reduced demand for TabloCart and/or, potentially, Tablo. Any of these factors could materially and adversely affect our results of operations, financial condition and growth prospects.</w:t>
      </w:r>
    </w:p>
    <w:p>
      <w:pPr>
        <w:spacing w:after="0" w:line="17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5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The QSR requires that each manufacturer establish a quality systems program by which the manufacturer monitors the manufacturing process and maintains records that show compliance with FDA regulations and the manufacturer’s written specifications and procedures relating to the devices. QSR compliance is necessary to receive and maintain FDA clearance or approval to market new and existing products. Regulatory bodies, such as the FDA, enforce the QSR and other regulations through periodic audits and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84" w:lineRule="exact"/>
        <w:rPr>
          <w:sz w:val="20"/>
          <w:szCs w:val="20"/>
          <w:color w:val="auto"/>
        </w:rPr>
      </w:pPr>
    </w:p>
    <w:p>
      <w:pPr>
        <w:ind w:left="1020" w:right="1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untitled letters, FDA Form 483s, FDA warning letters, it has come to our attention letters, fines, injunctions, consent decrees and civil penalties;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PMA approval of new products or modified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clearances or PMA approvals that have already been granted;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For example, the FDA conducted their first quality system inspection of our San Jose, California facility which concluded in February 2023. At completion, the FDA issued a Form FDA-483 identifying four inspectional observations. We provided our response plan to the FDA in March 2023 and have since completed the associated remediation workstreams to fully address these observations. We continue to provide the FDA with updates as to the status of these 483-related workstreams. Although we believe we are in material compliance with the QSR and have addressed the observations identified in the Form-483, there is no guarantee that subsequent inspections of our facility by the FDA or other regulatory authorities will not result in similar observations with respect to our quality system, which could adversely affect our business.</w:t>
      </w:r>
    </w:p>
    <w:p>
      <w:pPr>
        <w:spacing w:after="0" w:line="7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FDA can also publish Safety Communications or Letters to Health Care Providers when the agency becomes aware of new issues involving a specific product or, or more broadly, a product family. These communications are posted on the FDA’s website and describe the FDA’s analysis of a current issue and provide specific regulatory approaches and clinical recommendations for patient management. If any of these actions were to occur it would harm our reputation and cause our product sales and profitability to suffer and may prevent us from generating revenue. Furthermore, our key component suppliers may not currently be or may not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120"/>
        <w:spacing w:after="0" w:line="282" w:lineRule="auto"/>
        <w:rPr>
          <w:sz w:val="20"/>
          <w:szCs w:val="20"/>
          <w:color w:val="auto"/>
        </w:rPr>
      </w:pPr>
      <w:r>
        <w:rPr>
          <w:rFonts w:ascii="Times New Roman" w:cs="Times New Roman" w:eastAsia="Times New Roman" w:hAnsi="Times New Roman"/>
          <w:sz w:val="18"/>
          <w:szCs w:val="18"/>
          <w:color w:val="auto"/>
        </w:rPr>
        <w:t>continue to be in compliance with all applicable regulatory requirements which could result in our failure to produce our products on a timely basis and in the required quantities, if at all.</w:t>
      </w:r>
    </w:p>
    <w:p>
      <w:pPr>
        <w:spacing w:after="0" w:line="54"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w:t>
      </w:r>
    </w:p>
    <w:p>
      <w:pPr>
        <w:spacing w:after="0" w:line="54"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5"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For example, in May 2022, the FDA published a Letter to Healthcare Providers entitled "Potential Risk of Exposure to Toxic Compounds When Using Certain Hemodialysis Machines Manufactured by Fresenius Medical Care – Letter to Health Care Providers." In that communication, the agency stated that it is evaluating the potential risk of exposure to non-dioxin-like (NDL) polychlorinated biphenyl acids (PCBAs) and NDL polychlorinated biphenyls (PCBs) with certain hemodialysis machines marketed in the United States. The FDA stated that the source of the NDL PCBAs and NDL PCBs is from the silicone tubing used as a part of the hydraulics in those machines and the dialysate lines. Although Tablo was not the subject of the FDA’s Letter to Healthcare Providers, the FDA reached out to Outset regarding the tubing used in Tablo. In a series of discussions with the FDA, the agency requested that we conduct a targeted analysis and a screening analysis on the tubing currently used in Tablo. We aligned with the FDA on testing and screening protocols prior to conducting our analysis of the data. In parallel, we filed a 510(k) application, and received subsequent 510(k) clearance from the FDA for, PCB-free silicone tubing in December 2023. As previously disclosed, in early March 2024, we proactively initiated a workstream to replace the remaining few silicone segments in new and existing Tablo consoles with the new, PCB-free, silicone tubing, and this action is well underway. In April 2024, we were notified by the FDA that it has designated this correction as a Class 1 recall, similar to the classification they have made with respect to other manufacturers whose medical devices contain NDL PCBAs and NDL PCBs with the potential of patient exposure. While we are continuing with the field correction as planned, and this recall does not at this time involve the removal of Tablo from the marketplace, the recall may nevertheless damage our reputation with customers and harm our financial results and business. Furthermore, these negative impacts could be exacerbated if the FDA publishes a safety notice specific to Tablo or subjects us to other enforcement actions.</w:t>
      </w:r>
    </w:p>
    <w:p>
      <w:pPr>
        <w:spacing w:after="0" w:line="1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 in a cost-effective manner.</w:t>
      </w:r>
    </w:p>
    <w:p>
      <w:pPr>
        <w:spacing w:after="0" w:line="5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or if we are unable to do so in a cost-effective manner, it would have a material adverse effect on our business, financial condition, and results of operations.</w:t>
      </w:r>
    </w:p>
    <w:p>
      <w:pPr>
        <w:spacing w:after="0" w:line="7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Competition for skilled personnel in our market is intense and has recently intensified further due to industry trends in many areas where our employees are located. Further, the increased availability of hybrid or remote working arrangements has expanded the pool of companies that can compete for our employees and employment candidates. Such competition may limit our ability to hire and retain highly qualified personnel on acceptable terms, or at all. We may experience higher compensation costs to retain senior management and experienced personnel that may not be offset by improved productivity. Moreover, in order to improve operational efficiencies, reduce operating expenses, and streamline our overall organizational structure, we substantially completed a restructuring of our organization in the fourth quarter of 2023, and we implemented an additional workforce reduction plan in May 2024. These recent restructurings, as well as any future restructurings, may adversely affect our ability to attract and retain employees.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are facing financial pressures including capital budget constraints, staffing shortages and increased costs, that have had, and may continue to have, a negative impact on our revenue.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right="80" w:firstLine="749"/>
        <w:spacing w:after="0" w:line="268" w:lineRule="auto"/>
        <w:rPr>
          <w:sz w:val="20"/>
          <w:szCs w:val="20"/>
          <w:color w:val="auto"/>
        </w:rPr>
      </w:pPr>
      <w:r>
        <w:rPr>
          <w:rFonts w:ascii="Times New Roman" w:cs="Times New Roman" w:eastAsia="Times New Roman" w:hAnsi="Times New Roman"/>
          <w:sz w:val="17"/>
          <w:szCs w:val="17"/>
          <w:color w:val="auto"/>
        </w:rPr>
        <w:t>Beginning in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starting in the second half of 2023, and we expect these negative impacts to continue into 2024. Beginning in 2022, our existing and prospective customers faced shortages of skilled nurses and other clinical personnel as well as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and, to a lesser extent, 2023. Moreover, in February 2024, Change Healthcare, a large provider of healthcare payment systems, experienced a cyberattack on its information technology systems, causing disruptions to healthcare providers across the United States, including financial impacts such as reduced reimbursements and cash flow. We believe several of our customers experiencing these disruptions deferred both Tablo console and treatment purchases until their cash flow normalized, adversely impacting our revenues for the first quarter of 2024. If our customers continue to face prolonged periods of rising interest rates, capital budget constraints, volatility, uncertainty, staffing shortages, cash flow challenges, rising costs and other financial pressures, whether due to general macroeconomic conditions, cybersecurity events or otherwise, it could ultimately adversely impact our ability to expand existing customer relationships or attract new customers of Tablo, timely collect amounts due, effectively manage our inventory levels, and have a material adverse effect on our bookings, revenues, results of operations, financial condition, and, ultimately, our future growth and profitability.</w:t>
      </w:r>
    </w:p>
    <w:p>
      <w:pPr>
        <w:spacing w:after="0" w:line="7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However, our pilot clinical and administrative services program may not be successful in achieving the objectives we intend and anticipate, may fail to meet our customers’ expectations, may not generate sufficient returns to justify our investment, or may result in unanticipated costs, which could harm our reputation and customer relationships and adversely impact our operating margins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8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8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Amended and Restated Certificate of Incorporation of Outset</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Amended and Restated Bylaws of Outset Medical, Inc.</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Form of Common Stock Certificate</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Registration Rights Agreement</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Series A Warrant Agreement #1</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Form of Series A Warrant Agreement #2</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180" w:type="dxa"/>
            <w:vAlign w:val="bottom"/>
            <w:gridSpan w:val="12"/>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Outset Medical, Inc. 2020 Equity Incentive Plan , as amended and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4"/>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2"/>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restated</w:t>
              </w:r>
            </w:hyperlink>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Amendment to Manufacturing Services Agreement by and between</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4"/>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TACNA Services, Inc. and Outset Medical, Inc. effective as of February</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1"/>
              </w:rPr>
              <w:t>12, 2024</w:t>
            </w: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1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gridSpan w:val="6"/>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gridSpan w:val="6"/>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16510</wp:posOffset>
            </wp:positionV>
            <wp:extent cx="30600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375"/>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594"/>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92"/>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7"/>
              </w:rPr>
              <w:t>S-1/A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392"/>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2"/>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2"/>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333-248225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rPr>
              <w:t>August 21, 2020</w:t>
            </w:r>
          </w:p>
        </w:tc>
      </w:tr>
      <w:tr>
        <w:trPr>
          <w:trHeight w:val="391"/>
        </w:trPr>
        <w:tc>
          <w:tcPr>
            <w:tcW w:w="6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001-39513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February 21, 2024</w:t>
            </w:r>
          </w:p>
        </w:tc>
      </w:tr>
    </w:tbl>
    <w:p>
      <w:pPr>
        <w:spacing w:after="0" w:line="1953" w:lineRule="exact"/>
        <w:rPr>
          <w:sz w:val="20"/>
          <w:szCs w:val="20"/>
          <w:color w:val="auto"/>
        </w:rPr>
      </w:pPr>
    </w:p>
    <w:p>
      <w:pPr>
        <w:sectPr>
          <w:pgSz w:w="11900" w:h="16838" w:orient="portrait"/>
          <w:cols w:equalWidth="0" w:num="2">
            <w:col w:w="6280" w:space="320"/>
            <w:col w:w="4620"/>
          </w:cols>
          <w:pgMar w:left="320" w:top="981" w:right="359" w:bottom="1440" w:gutter="0" w:footer="0" w:header="0"/>
        </w:sect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w:t>
            </w: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and 15d-14(a) of the Exchange Act of 1934, as adopted pursuant to</w:t>
            </w:r>
          </w:p>
        </w:tc>
      </w:tr>
      <w:tr>
        <w:trPr>
          <w:trHeight w:val="20"/>
        </w:trPr>
        <w:tc>
          <w:tcPr>
            <w:tcW w:w="1080" w:type="dxa"/>
            <w:vAlign w:val="bottom"/>
          </w:tcPr>
          <w:p>
            <w:pPr>
              <w:spacing w:after="0" w:line="20" w:lineRule="exact"/>
              <w:rPr>
                <w:sz w:val="1"/>
                <w:szCs w:val="1"/>
                <w:color w:val="auto"/>
              </w:rPr>
            </w:pP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5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r>
      <w:tr>
        <w:trPr>
          <w:trHeight w:val="20"/>
        </w:trPr>
        <w:tc>
          <w:tcPr>
            <w:tcW w:w="108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w:t>
            </w:r>
          </w:p>
        </w:tc>
      </w:tr>
      <w:tr>
        <w:trPr>
          <w:trHeight w:val="20"/>
        </w:trPr>
        <w:tc>
          <w:tcPr>
            <w:tcW w:w="1080" w:type="dxa"/>
            <w:vAlign w:val="bottom"/>
          </w:tcPr>
          <w:p>
            <w:pPr>
              <w:spacing w:after="0" w:line="20" w:lineRule="exact"/>
              <w:rPr>
                <w:sz w:val="1"/>
                <w:szCs w:val="1"/>
                <w:color w:val="auto"/>
              </w:rPr>
            </w:pPr>
          </w:p>
        </w:tc>
        <w:tc>
          <w:tcPr>
            <w:tcW w:w="4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1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340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38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r>
      <w:tr>
        <w:trPr>
          <w:trHeight w:val="216"/>
        </w:trPr>
        <w:tc>
          <w:tcPr>
            <w:tcW w:w="1080" w:type="dxa"/>
            <w:vAlign w:val="bottom"/>
          </w:tcPr>
          <w:p>
            <w:pPr>
              <w:spacing w:after="0"/>
              <w:rPr>
                <w:sz w:val="18"/>
                <w:szCs w:val="18"/>
                <w:color w:val="auto"/>
              </w:rPr>
            </w:pP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appear in the Interactive Data File because its XBRL tags are embedded</w:t>
            </w:r>
          </w:p>
        </w:tc>
      </w:tr>
      <w:tr>
        <w:trPr>
          <w:trHeight w:val="230"/>
        </w:trPr>
        <w:tc>
          <w:tcPr>
            <w:tcW w:w="1080" w:type="dxa"/>
            <w:vAlign w:val="bottom"/>
          </w:tcPr>
          <w:p>
            <w:pPr>
              <w:spacing w:after="0"/>
              <w:rPr>
                <w:sz w:val="19"/>
                <w:szCs w:val="19"/>
                <w:color w:val="auto"/>
              </w:rPr>
            </w:pP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r>
      <w:tr>
        <w:trPr>
          <w:trHeight w:val="234"/>
        </w:trPr>
        <w:tc>
          <w:tcPr>
            <w:tcW w:w="1080" w:type="dxa"/>
            <w:vAlign w:val="bottom"/>
          </w:tcPr>
          <w:p>
            <w:pPr>
              <w:spacing w:after="0"/>
              <w:rPr>
                <w:sz w:val="20"/>
                <w:szCs w:val="20"/>
                <w:color w:val="auto"/>
              </w:rPr>
            </w:pPr>
          </w:p>
        </w:tc>
        <w:tc>
          <w:tcPr>
            <w:tcW w:w="5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Documents</w:t>
            </w:r>
          </w:p>
        </w:tc>
      </w:tr>
    </w:tbl>
    <w:p>
      <w:pPr>
        <w:ind w:left="1080" w:right="5060" w:hanging="1059"/>
        <w:spacing w:after="0" w:line="306" w:lineRule="auto"/>
        <w:tabs>
          <w:tab w:leader="none" w:pos="108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5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17" w:lineRule="exact"/>
        <w:rPr>
          <w:sz w:val="20"/>
          <w:szCs w:val="20"/>
          <w:color w:val="auto"/>
        </w:rPr>
      </w:pPr>
    </w:p>
    <w:p>
      <w:pPr>
        <w:ind w:left="520" w:hanging="512"/>
        <w:spacing w:after="0" w:line="282" w:lineRule="auto"/>
        <w:tabs>
          <w:tab w:leader="none" w:pos="37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or will be excluded because it is both not material and is the type of information that the registrant treats as private or confidential.</w:t>
      </w:r>
    </w:p>
    <w:p>
      <w:pPr>
        <w:spacing w:after="0" w:line="54" w:lineRule="exact"/>
        <w:rPr>
          <w:sz w:val="20"/>
          <w:szCs w:val="20"/>
          <w:color w:val="auto"/>
        </w:rPr>
      </w:pPr>
    </w:p>
    <w:p>
      <w:pPr>
        <w:ind w:left="520" w:right="560" w:hanging="512"/>
        <w:spacing w:after="0" w:line="282" w:lineRule="auto"/>
        <w:tabs>
          <w:tab w:leader="none" w:pos="37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herein solely to correct an incorrect hyperlink in the Exhibit Index to the Company’s Annual Report on Form 10-K for the year ended December 31,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w w:val="97"/>
              </w:rPr>
              <w:t>Outset Medical, Inc.</w:t>
            </w:r>
          </w:p>
        </w:tc>
        <w:tc>
          <w:tcPr>
            <w:tcW w:w="4340" w:type="dxa"/>
            <w:vAlign w:val="bottom"/>
          </w:tcPr>
          <w:p>
            <w:pPr>
              <w:spacing w:after="0"/>
              <w:rPr>
                <w:sz w:val="20"/>
                <w:szCs w:val="20"/>
                <w:color w:val="auto"/>
              </w:rPr>
            </w:pPr>
          </w:p>
        </w:tc>
      </w:tr>
      <w:tr>
        <w:trPr>
          <w:trHeight w:val="472"/>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Leslie Trigg</w:t>
            </w:r>
          </w:p>
        </w:tc>
      </w:tr>
      <w:tr>
        <w:trPr>
          <w:trHeight w:val="205"/>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w w:val="99"/>
              </w:rPr>
              <w:t>Leslie Trigg</w:t>
            </w:r>
          </w:p>
        </w:tc>
      </w:tr>
      <w:tr>
        <w:trPr>
          <w:trHeight w:val="214"/>
        </w:trPr>
        <w:tc>
          <w:tcPr>
            <w:tcW w:w="34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6"/>
        </w:trPr>
        <w:tc>
          <w:tcPr>
            <w:tcW w:w="3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47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350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jc w:val="center"/>
              <w:ind w:right="950"/>
              <w:spacing w:after="0"/>
              <w:rPr>
                <w:sz w:val="20"/>
                <w:szCs w:val="20"/>
                <w:color w:val="auto"/>
              </w:rPr>
            </w:pPr>
            <w:r>
              <w:rPr>
                <w:rFonts w:ascii="Times New Roman" w:cs="Times New Roman" w:eastAsia="Times New Roman" w:hAnsi="Times New Roman"/>
                <w:sz w:val="18"/>
                <w:szCs w:val="18"/>
                <w:color w:val="auto"/>
                <w:w w:val="99"/>
              </w:rPr>
              <w:t>/s/ Nabeel Ahmed</w:t>
            </w:r>
          </w:p>
        </w:tc>
      </w:tr>
      <w:tr>
        <w:trPr>
          <w:trHeight w:val="205"/>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340" w:type="dxa"/>
            <w:vAlign w:val="bottom"/>
            <w:tcBorders>
              <w:top w:val="single" w:sz="8" w:color="auto"/>
            </w:tcBorders>
          </w:tcPr>
          <w:p>
            <w:pPr>
              <w:jc w:val="center"/>
              <w:ind w:right="930"/>
              <w:spacing w:after="0" w:line="205" w:lineRule="exact"/>
              <w:rPr>
                <w:sz w:val="20"/>
                <w:szCs w:val="20"/>
                <w:color w:val="auto"/>
              </w:rPr>
            </w:pPr>
            <w:r>
              <w:rPr>
                <w:rFonts w:ascii="Times New Roman" w:cs="Times New Roman" w:eastAsia="Times New Roman" w:hAnsi="Times New Roman"/>
                <w:sz w:val="18"/>
                <w:szCs w:val="18"/>
                <w:color w:val="auto"/>
                <w:w w:val="99"/>
              </w:rPr>
              <w:t>Nabeel Ahmed</w:t>
            </w:r>
          </w:p>
        </w:tc>
      </w:tr>
      <w:tr>
        <w:trPr>
          <w:trHeight w:val="214"/>
        </w:trPr>
        <w:tc>
          <w:tcPr>
            <w:tcW w:w="34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4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r>
      <w:tr>
        <w:trPr>
          <w:trHeight w:val="662"/>
        </w:trPr>
        <w:tc>
          <w:tcPr>
            <w:tcW w:w="3400" w:type="dxa"/>
            <w:vAlign w:val="bottom"/>
          </w:tcPr>
          <w:p>
            <w:pPr>
              <w:spacing w:after="0"/>
              <w:rPr>
                <w:sz w:val="24"/>
                <w:szCs w:val="24"/>
                <w:color w:val="auto"/>
              </w:rPr>
            </w:pPr>
          </w:p>
        </w:tc>
        <w:tc>
          <w:tcPr>
            <w:tcW w:w="2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04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10400"/>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21"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6"/>
          <w:szCs w:val="16"/>
          <w:b w:val="1"/>
          <w:bCs w:val="1"/>
          <w:color w:val="auto"/>
        </w:rPr>
        <w:t>*Portions of this exhibit have been excluded because it is both (i) not material and (ii) the type of information that the Registrant both customarily and actually treats as private and confidential.</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920" w:type="dxa"/>
            <w:vAlign w:val="bottom"/>
            <w:gridSpan w:val="2"/>
          </w:tcPr>
          <w:p>
            <w:pPr>
              <w:jc w:val="right"/>
              <w:ind w:right="4490"/>
              <w:spacing w:after="0"/>
              <w:rPr>
                <w:sz w:val="20"/>
                <w:szCs w:val="20"/>
                <w:color w:val="auto"/>
              </w:rPr>
            </w:pPr>
            <w:r>
              <w:rPr>
                <w:rFonts w:ascii="Times New Roman" w:cs="Times New Roman" w:eastAsia="Times New Roman" w:hAnsi="Times New Roman"/>
                <w:sz w:val="18"/>
                <w:szCs w:val="18"/>
                <w:b w:val="1"/>
                <w:bCs w:val="1"/>
                <w:color w:val="auto"/>
              </w:rPr>
              <w:t>TACNA Services, Inc.</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520" w:type="dxa"/>
            <w:vAlign w:val="bottom"/>
            <w:gridSpan w:val="3"/>
          </w:tcPr>
          <w:p>
            <w:pPr>
              <w:jc w:val="right"/>
              <w:ind w:right="3490"/>
              <w:spacing w:after="0"/>
              <w:rPr>
                <w:sz w:val="20"/>
                <w:szCs w:val="20"/>
                <w:color w:val="auto"/>
              </w:rPr>
            </w:pPr>
            <w:r>
              <w:rPr>
                <w:rFonts w:ascii="Times New Roman" w:cs="Times New Roman" w:eastAsia="Times New Roman" w:hAnsi="Times New Roman"/>
                <w:sz w:val="18"/>
                <w:szCs w:val="18"/>
                <w:b w:val="1"/>
                <w:bCs w:val="1"/>
                <w:color w:val="auto"/>
              </w:rPr>
              <w:t>MANUFACTURING SERVICE AGREEMENT</w:t>
            </w:r>
          </w:p>
        </w:tc>
        <w:tc>
          <w:tcPr>
            <w:tcW w:w="0" w:type="dxa"/>
            <w:vAlign w:val="bottom"/>
          </w:tcPr>
          <w:p>
            <w:pPr>
              <w:spacing w:after="0"/>
              <w:rPr>
                <w:sz w:val="1"/>
                <w:szCs w:val="1"/>
                <w:color w:val="auto"/>
              </w:rPr>
            </w:pPr>
          </w:p>
        </w:tc>
      </w:tr>
      <w:tr>
        <w:trPr>
          <w:trHeight w:val="302"/>
        </w:trPr>
        <w:tc>
          <w:tcPr>
            <w:tcW w:w="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920" w:type="dxa"/>
            <w:vAlign w:val="bottom"/>
            <w:gridSpan w:val="2"/>
          </w:tcPr>
          <w:p>
            <w:pPr>
              <w:jc w:val="center"/>
              <w:ind w:right="4270"/>
              <w:spacing w:after="0"/>
              <w:rPr>
                <w:sz w:val="20"/>
                <w:szCs w:val="20"/>
                <w:color w:val="auto"/>
              </w:rPr>
            </w:pPr>
            <w:r>
              <w:rPr>
                <w:rFonts w:ascii="Times New Roman" w:cs="Times New Roman" w:eastAsia="Times New Roman" w:hAnsi="Times New Roman"/>
                <w:sz w:val="18"/>
                <w:szCs w:val="18"/>
                <w:b w:val="1"/>
                <w:bCs w:val="1"/>
                <w:color w:val="auto"/>
              </w:rPr>
              <w:t>Client: Outset Medical</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20" w:type="dxa"/>
            <w:vAlign w:val="bottom"/>
            <w:gridSpan w:val="2"/>
          </w:tcPr>
          <w:p>
            <w:pPr>
              <w:jc w:val="center"/>
              <w:ind w:right="4210"/>
              <w:spacing w:after="0"/>
              <w:rPr>
                <w:sz w:val="20"/>
                <w:szCs w:val="20"/>
                <w:color w:val="auto"/>
              </w:rPr>
            </w:pPr>
            <w:r>
              <w:rPr>
                <w:rFonts w:ascii="Times New Roman" w:cs="Times New Roman" w:eastAsia="Times New Roman" w:hAnsi="Times New Roman"/>
                <w:sz w:val="18"/>
                <w:szCs w:val="18"/>
                <w:b w:val="1"/>
                <w:bCs w:val="1"/>
                <w:color w:val="auto"/>
              </w:rPr>
              <w:t>ANNEX "A"</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920" w:type="dxa"/>
            <w:vAlign w:val="bottom"/>
            <w:gridSpan w:val="2"/>
          </w:tcPr>
          <w:p>
            <w:pPr>
              <w:jc w:val="center"/>
              <w:ind w:right="4230"/>
              <w:spacing w:after="0"/>
              <w:rPr>
                <w:sz w:val="20"/>
                <w:szCs w:val="20"/>
                <w:color w:val="auto"/>
              </w:rPr>
            </w:pPr>
            <w:r>
              <w:rPr>
                <w:rFonts w:ascii="Times New Roman" w:cs="Times New Roman" w:eastAsia="Times New Roman" w:hAnsi="Times New Roman"/>
                <w:sz w:val="18"/>
                <w:szCs w:val="18"/>
                <w:b w:val="1"/>
                <w:bCs w:val="1"/>
                <w:color w:val="auto"/>
                <w:w w:val="99"/>
              </w:rPr>
              <w:t>(Service Fee Schedule)</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920" w:type="dxa"/>
            <w:vAlign w:val="bottom"/>
            <w:gridSpan w:val="2"/>
          </w:tcPr>
          <w:p>
            <w:pPr>
              <w:jc w:val="center"/>
              <w:ind w:right="4230"/>
              <w:spacing w:after="0"/>
              <w:rPr>
                <w:sz w:val="20"/>
                <w:szCs w:val="20"/>
                <w:color w:val="auto"/>
              </w:rPr>
            </w:pPr>
            <w:r>
              <w:rPr>
                <w:rFonts w:ascii="Times New Roman" w:cs="Times New Roman" w:eastAsia="Times New Roman" w:hAnsi="Times New Roman"/>
                <w:sz w:val="18"/>
                <w:szCs w:val="18"/>
                <w:b w:val="1"/>
                <w:bCs w:val="1"/>
                <w:color w:val="auto"/>
                <w:w w:val="99"/>
              </w:rPr>
              <w:t>Effective February 12, 2024</w:t>
            </w:r>
          </w:p>
        </w:tc>
        <w:tc>
          <w:tcPr>
            <w:tcW w:w="0" w:type="dxa"/>
            <w:vAlign w:val="bottom"/>
          </w:tcPr>
          <w:p>
            <w:pPr>
              <w:spacing w:after="0"/>
              <w:rPr>
                <w:sz w:val="1"/>
                <w:szCs w:val="1"/>
                <w:color w:val="auto"/>
              </w:rPr>
            </w:pPr>
          </w:p>
        </w:tc>
      </w:tr>
      <w:tr>
        <w:trPr>
          <w:trHeight w:val="425"/>
        </w:trPr>
        <w:tc>
          <w:tcPr>
            <w:tcW w:w="400" w:type="dxa"/>
            <w:vAlign w:val="bottom"/>
          </w:tcPr>
          <w:p>
            <w:pPr>
              <w:spacing w:after="0"/>
              <w:rPr>
                <w:sz w:val="24"/>
                <w:szCs w:val="24"/>
                <w:color w:val="auto"/>
              </w:rPr>
            </w:pPr>
          </w:p>
        </w:tc>
        <w:tc>
          <w:tcPr>
            <w:tcW w:w="2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 of Employees</w:t>
            </w:r>
          </w:p>
        </w:tc>
        <w:tc>
          <w:tcPr>
            <w:tcW w:w="16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2320" w:type="dxa"/>
            <w:vAlign w:val="bottom"/>
            <w:vMerge w:val="continue"/>
          </w:tcPr>
          <w:p>
            <w:pPr>
              <w:spacing w:after="0"/>
              <w:rPr>
                <w:sz w:val="23"/>
                <w:szCs w:val="2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Paid Hours</w:t>
            </w:r>
          </w:p>
        </w:tc>
        <w:tc>
          <w:tcPr>
            <w:tcW w:w="2400" w:type="dxa"/>
            <w:vAlign w:val="bottom"/>
            <w:tcBorders>
              <w:right w:val="single" w:sz="8" w:color="auto"/>
            </w:tcBorders>
          </w:tcPr>
          <w:p>
            <w:pPr>
              <w:spacing w:after="0"/>
              <w:rPr>
                <w:sz w:val="23"/>
                <w:szCs w:val="23"/>
                <w:color w:val="auto"/>
              </w:rPr>
            </w:pPr>
          </w:p>
        </w:tc>
        <w:tc>
          <w:tcPr>
            <w:tcW w:w="4520" w:type="dxa"/>
            <w:vAlign w:val="bottom"/>
            <w:tcBorders>
              <w:right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rPr>
              <w:t>Weekly Fee Per Paid Hour ($/Hour)</w:t>
            </w:r>
          </w:p>
        </w:tc>
        <w:tc>
          <w:tcPr>
            <w:tcW w:w="0" w:type="dxa"/>
            <w:vAlign w:val="bottom"/>
          </w:tcPr>
          <w:p>
            <w:pPr>
              <w:spacing w:after="0"/>
              <w:rPr>
                <w:sz w:val="1"/>
                <w:szCs w:val="1"/>
                <w:color w:val="auto"/>
              </w:rPr>
            </w:pPr>
          </w:p>
        </w:tc>
      </w:tr>
      <w:tr>
        <w:trPr>
          <w:trHeight w:val="156"/>
        </w:trPr>
        <w:tc>
          <w:tcPr>
            <w:tcW w:w="2720" w:type="dxa"/>
            <w:vAlign w:val="bottom"/>
            <w:gridSpan w:val="2"/>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0" w:type="dxa"/>
            <w:vAlign w:val="bottom"/>
            <w:tcBorders>
              <w:bottom w:val="single" w:sz="8" w:color="auto"/>
              <w:right w:val="single" w:sz="8" w:color="auto"/>
            </w:tcBorders>
          </w:tcPr>
          <w:p>
            <w:pPr>
              <w:spacing w:after="0"/>
              <w:rPr>
                <w:sz w:val="13"/>
                <w:szCs w:val="13"/>
                <w:color w:val="auto"/>
              </w:rPr>
            </w:pPr>
          </w:p>
        </w:tc>
        <w:tc>
          <w:tcPr>
            <w:tcW w:w="45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2720" w:type="dxa"/>
            <w:vAlign w:val="bottom"/>
            <w:tcBorders>
              <w:left w:val="single" w:sz="8" w:color="auto"/>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0 - 100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 – 4,800</w:t>
            </w:r>
          </w:p>
        </w:tc>
        <w:tc>
          <w:tcPr>
            <w:tcW w:w="240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8"/>
        </w:trPr>
        <w:tc>
          <w:tcPr>
            <w:tcW w:w="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101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- 200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4,801 – 9,600</w:t>
            </w:r>
          </w:p>
        </w:tc>
        <w:tc>
          <w:tcPr>
            <w:tcW w:w="240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201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9,601 – 14,000</w:t>
            </w:r>
          </w:p>
        </w:tc>
        <w:tc>
          <w:tcPr>
            <w:tcW w:w="240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301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- 400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14,001 – 19,200</w:t>
            </w:r>
          </w:p>
        </w:tc>
        <w:tc>
          <w:tcPr>
            <w:tcW w:w="240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401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- 500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19,201 – 24,000</w:t>
            </w:r>
          </w:p>
        </w:tc>
        <w:tc>
          <w:tcPr>
            <w:tcW w:w="2400" w:type="dxa"/>
            <w:vAlign w:val="bottom"/>
            <w:tcBorders>
              <w:bottom w:val="single" w:sz="8" w:color="auto"/>
              <w:right w:val="single" w:sz="8" w:color="auto"/>
            </w:tcBorders>
          </w:tcPr>
          <w:p>
            <w:pPr>
              <w:spacing w:after="0"/>
              <w:rPr>
                <w:sz w:val="22"/>
                <w:szCs w:val="22"/>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501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24,001 – 28,800</w:t>
            </w:r>
          </w:p>
        </w:tc>
        <w:tc>
          <w:tcPr>
            <w:tcW w:w="2400" w:type="dxa"/>
            <w:vAlign w:val="bottom"/>
            <w:tcBorders>
              <w:bottom w:val="single" w:sz="8" w:color="auto"/>
              <w:right w:val="single" w:sz="8" w:color="auto"/>
            </w:tcBorders>
          </w:tcPr>
          <w:p>
            <w:pPr>
              <w:spacing w:after="0"/>
              <w:rPr>
                <w:sz w:val="24"/>
                <w:szCs w:val="24"/>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601</w:t>
            </w:r>
          </w:p>
        </w:tc>
        <w:tc>
          <w:tcPr>
            <w:tcW w:w="2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- 700</w:t>
            </w: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28,801 – 33,600</w:t>
            </w:r>
          </w:p>
        </w:tc>
        <w:tc>
          <w:tcPr>
            <w:tcW w:w="2400" w:type="dxa"/>
            <w:vAlign w:val="bottom"/>
            <w:tcBorders>
              <w:bottom w:val="single" w:sz="8" w:color="auto"/>
              <w:right w:val="single" w:sz="8" w:color="auto"/>
            </w:tcBorders>
          </w:tcPr>
          <w:p>
            <w:pPr>
              <w:spacing w:after="0"/>
              <w:rPr>
                <w:sz w:val="23"/>
                <w:szCs w:val="23"/>
                <w:color w:val="auto"/>
              </w:rPr>
            </w:pPr>
          </w:p>
        </w:tc>
        <w:tc>
          <w:tcPr>
            <w:tcW w:w="4520" w:type="dxa"/>
            <w:vAlign w:val="bottom"/>
            <w:tcBorders>
              <w:bottom w:val="single" w:sz="8" w:color="auto"/>
              <w:right w:val="single" w:sz="8" w:color="auto"/>
            </w:tcBorders>
          </w:tcPr>
          <w:p>
            <w:pPr>
              <w:jc w:val="right"/>
              <w:ind w:right="38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-1649095</wp:posOffset>
            </wp:positionV>
            <wp:extent cx="1748155" cy="3429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1748155" cy="342900"/>
                    </a:xfrm>
                    <a:prstGeom prst="rect">
                      <a:avLst/>
                    </a:prstGeom>
                    <a:noFill/>
                  </pic:spPr>
                </pic:pic>
              </a:graphicData>
            </a:graphic>
          </wp:anchor>
        </w:drawing>
      </w:r>
    </w:p>
    <w:p>
      <w:pPr>
        <w:spacing w:after="0" w:line="70" w:lineRule="exact"/>
        <w:rPr>
          <w:sz w:val="20"/>
          <w:szCs w:val="20"/>
          <w:color w:val="auto"/>
        </w:rPr>
      </w:pPr>
    </w:p>
    <w:p>
      <w:pPr>
        <w:ind w:left="20" w:right="180" w:hanging="5"/>
        <w:spacing w:after="0" w:line="282" w:lineRule="auto"/>
        <w:rPr>
          <w:sz w:val="20"/>
          <w:szCs w:val="20"/>
          <w:color w:val="auto"/>
        </w:rPr>
      </w:pPr>
      <w:r>
        <w:rPr>
          <w:rFonts w:ascii="Times New Roman" w:cs="Times New Roman" w:eastAsia="Times New Roman" w:hAnsi="Times New Roman"/>
          <w:sz w:val="18"/>
          <w:szCs w:val="18"/>
          <w:color w:val="auto"/>
        </w:rPr>
        <w:t>Prices are increased annually based on changes in San Diego CPI for the most recent 12 months published as of the November preceding the change with the next change effective January 1, 2025</w:t>
      </w:r>
    </w:p>
    <w:p>
      <w:pPr>
        <w:spacing w:after="0" w:line="54" w:lineRule="exact"/>
        <w:rPr>
          <w:sz w:val="20"/>
          <w:szCs w:val="20"/>
          <w:color w:val="auto"/>
        </w:rPr>
      </w:pPr>
    </w:p>
    <w:p>
      <w:pPr>
        <w:ind w:right="40" w:firstLine="4"/>
        <w:spacing w:after="0" w:line="261" w:lineRule="auto"/>
        <w:rPr>
          <w:sz w:val="20"/>
          <w:szCs w:val="20"/>
          <w:color w:val="auto"/>
        </w:rPr>
      </w:pPr>
      <w:r>
        <w:rPr>
          <w:rFonts w:ascii="Times New Roman" w:cs="Times New Roman" w:eastAsia="Times New Roman" w:hAnsi="Times New Roman"/>
          <w:sz w:val="18"/>
          <w:szCs w:val="18"/>
          <w:color w:val="auto"/>
        </w:rPr>
        <w:t>This serves as an amendment to the Manufacturing Services Agreement ("MSA") between Outset Medical, Inc ("Outset"). and TACNA Services, Inc. ("TACNA"). In the coming years Outset anticipates growth to over [***] people ([***] weekly hours) and beyond in its Mexico operation. With such growth TACNA and Outset have agreed to lower pricing associated with higher tiers of growth in exchange for increasing the defined contact term through a minimum of February 12, 2027, after which the 120-day notice clause of article B.15 of that contract provision shall apply.</w:t>
      </w:r>
    </w:p>
    <w:p>
      <w:pPr>
        <w:spacing w:after="0" w:line="72" w:lineRule="exact"/>
        <w:rPr>
          <w:sz w:val="20"/>
          <w:szCs w:val="20"/>
          <w:color w:val="auto"/>
        </w:rPr>
      </w:pPr>
    </w:p>
    <w:p>
      <w:pPr>
        <w:ind w:firstLine="3"/>
        <w:spacing w:after="0" w:line="282" w:lineRule="auto"/>
        <w:rPr>
          <w:sz w:val="20"/>
          <w:szCs w:val="20"/>
          <w:color w:val="auto"/>
        </w:rPr>
      </w:pPr>
      <w:r>
        <w:rPr>
          <w:rFonts w:ascii="Times New Roman" w:cs="Times New Roman" w:eastAsia="Times New Roman" w:hAnsi="Times New Roman"/>
          <w:sz w:val="18"/>
          <w:szCs w:val="18"/>
          <w:color w:val="auto"/>
        </w:rPr>
        <w:t>Outset agrees to meet with TACNA as needed to confidentially review cash flows, the path to profitability, and accumulated severance risk as needed, but no less frequently than annually.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among the Parties by signing below using facsimile signatures: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TACNA SERVICES, INC.</w:t>
            </w:r>
          </w:p>
        </w:tc>
        <w:tc>
          <w:tcPr>
            <w:tcW w:w="9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Outset Medical, Inc.</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194"/>
        </w:trPr>
        <w:tc>
          <w:tcPr>
            <w:tcW w:w="21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 Ross Baldwin</w:t>
            </w:r>
          </w:p>
        </w:tc>
        <w:tc>
          <w:tcPr>
            <w:tcW w:w="720" w:type="dxa"/>
            <w:vAlign w:val="bottom"/>
          </w:tcPr>
          <w:p>
            <w:pPr>
              <w:spacing w:after="0"/>
              <w:rPr>
                <w:sz w:val="16"/>
                <w:szCs w:val="16"/>
                <w:color w:val="auto"/>
              </w:rPr>
            </w:pPr>
          </w:p>
        </w:tc>
        <w:tc>
          <w:tcPr>
            <w:tcW w:w="28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/s/ Kulwant Sandhu</w:t>
            </w:r>
          </w:p>
        </w:tc>
        <w:tc>
          <w:tcPr>
            <w:tcW w:w="5480" w:type="dxa"/>
            <w:vAlign w:val="bottom"/>
          </w:tcPr>
          <w:p>
            <w:pPr>
              <w:spacing w:after="0"/>
              <w:rPr>
                <w:sz w:val="16"/>
                <w:szCs w:val="16"/>
                <w:color w:val="auto"/>
              </w:rPr>
            </w:pPr>
          </w:p>
        </w:tc>
      </w:tr>
      <w:tr>
        <w:trPr>
          <w:trHeight w:val="21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Ross K. Baldwin</w:t>
            </w:r>
          </w:p>
        </w:tc>
        <w:tc>
          <w:tcPr>
            <w:tcW w:w="9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Print Name: Kulwant Sandhu</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9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VP, Integrated Supply Chain</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Dated:   2/21/2024</w:t>
            </w:r>
          </w:p>
        </w:tc>
        <w:tc>
          <w:tcPr>
            <w:tcW w:w="90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Dated:   2/15/2024</w:t>
            </w:r>
          </w:p>
        </w:tc>
      </w:tr>
      <w:tr>
        <w:trPr>
          <w:trHeight w:val="1411"/>
        </w:trPr>
        <w:tc>
          <w:tcPr>
            <w:tcW w:w="21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Leslie Trigg, certify that:</w:t>
      </w:r>
    </w:p>
    <w:p>
      <w:pPr>
        <w:spacing w:after="0" w:line="198" w:lineRule="exact"/>
        <w:rPr>
          <w:sz w:val="20"/>
          <w:szCs w:val="20"/>
          <w:color w:val="auto"/>
        </w:rPr>
      </w:pPr>
    </w:p>
    <w:p>
      <w:pPr>
        <w:ind w:left="760" w:hanging="752"/>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80" w:val="left"/>
          <w:tab w:leader="none" w:pos="86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Leslie Trigg</w:t>
      </w:r>
    </w:p>
    <w:p>
      <w:pPr>
        <w:spacing w:after="0" w:line="36"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Nabeel Ahmed, certify that:</w:t>
      </w:r>
    </w:p>
    <w:p>
      <w:pPr>
        <w:spacing w:after="0" w:line="198"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Outset Medical, Inc.;</w:t>
      </w:r>
    </w:p>
    <w:p>
      <w:pPr>
        <w:spacing w:after="0" w:line="18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760" w:hanging="752"/>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500" w:hanging="743"/>
        <w:spacing w:after="0" w:line="282" w:lineRule="auto"/>
        <w:tabs>
          <w:tab w:leader="none" w:pos="15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80" w:val="left"/>
          <w:tab w:leader="none" w:pos="856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8"/>
          <w:szCs w:val="18"/>
          <w:color w:val="auto"/>
        </w:rPr>
        <w:t>Nabeel Ahmed</w:t>
      </w:r>
    </w:p>
    <w:p>
      <w:pPr>
        <w:spacing w:after="0" w:line="3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Outset Medical, Inc. (the “Company”) on Form 10-Q for the period ending March 31, 2024, as filed with the Securities and Exchange Commission on the date hereof (the “Report”), each of the undersigned certifies, pursuant to 18 U.S.C. §1350, as adopted pursuant to §906 of the Sarbanes-Oxley Act of 2002, that, to her/his knowledge:</w:t>
      </w:r>
    </w:p>
    <w:p>
      <w:pPr>
        <w:spacing w:after="0" w:line="13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the Company.</w:t>
      </w:r>
    </w:p>
    <w:p>
      <w:pPr>
        <w:spacing w:after="0" w:line="239" w:lineRule="exact"/>
        <w:rPr>
          <w:sz w:val="20"/>
          <w:szCs w:val="20"/>
          <w:color w:val="auto"/>
        </w:rPr>
      </w:pPr>
    </w:p>
    <w:p>
      <w:pPr>
        <w:ind w:left="20"/>
        <w:spacing w:after="0"/>
        <w:tabs>
          <w:tab w:leader="none" w:pos="4560" w:val="left"/>
          <w:tab w:leader="none" w:pos="5200" w:val="left"/>
        </w:tabs>
        <w:rPr>
          <w:sz w:val="20"/>
          <w:szCs w:val="20"/>
          <w:color w:val="auto"/>
        </w:rPr>
      </w:pP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26035</wp:posOffset>
            </wp:positionV>
            <wp:extent cx="38315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Leslie Trigg</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20"/>
        <w:spacing w:after="0"/>
        <w:tabs>
          <w:tab w:leader="none" w:pos="4560" w:val="left"/>
          <w:tab w:leader="none" w:pos="5200" w:val="left"/>
        </w:tabs>
        <w:rPr>
          <w:sz w:val="20"/>
          <w:szCs w:val="20"/>
          <w:color w:val="auto"/>
        </w:rPr>
      </w:pP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26035</wp:posOffset>
            </wp:positionV>
            <wp:extent cx="38315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Nabeel Ahmed</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3"/>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2"/>
      <w:numFmt w:val="decimal"/>
      <w:start w:val="10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76" Type="http://schemas.openxmlformats.org/officeDocument/2006/relationships/hyperlink" Target="https://www.sec.gov/Archives/edgar/data/1484612/000119312520241516/d941853dex31.htm" TargetMode="External"/><Relationship Id="rId177" Type="http://schemas.openxmlformats.org/officeDocument/2006/relationships/hyperlink" Target="https://www.sec.gov/Archives/edgar/data/1484612/000119312520241516/d941853dex32.htm" TargetMode="External"/><Relationship Id="rId178" Type="http://schemas.openxmlformats.org/officeDocument/2006/relationships/hyperlink" Target="https://www.sec.gov/Archives/edgar/data/1484612/000119312520241516/d941853dex41.htm" TargetMode="External"/><Relationship Id="rId179" Type="http://schemas.openxmlformats.org/officeDocument/2006/relationships/hyperlink" Target="https://www.sec.gov/Archives/edgar/data/1484612/000119312520226746/d941853dex42.htm" TargetMode="External"/><Relationship Id="rId180" Type="http://schemas.openxmlformats.org/officeDocument/2006/relationships/hyperlink" Target="https://www.sec.gov/Archives/edgar/data/1484612/000119312520226746/d941853dex43.htm" TargetMode="External"/><Relationship Id="rId181" Type="http://schemas.openxmlformats.org/officeDocument/2006/relationships/hyperlink" Target="https://www.sec.gov/Archives/edgar/data/1484612/000119312520226746/d941853dex44.htm" TargetMode="External"/><Relationship Id="rId182" Type="http://schemas.openxmlformats.org/officeDocument/2006/relationships/hyperlink" Target="https://www.sec.gov/Archives/edgar/data/1484612/000095017024018093/om-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2024-05-09T05:17:02Z</dcterms:created>
  <dcterms:modified xsi:type="dcterms:W3CDTF">2024-05-09T05:17:02Z</dcterms:modified>
</cp:coreProperties>
</file>