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20" w:right="1500" w:hanging="3799"/>
        <w:spacing w:after="0" w:line="352" w:lineRule="auto"/>
        <w:tabs>
          <w:tab w:leader="none" w:pos="59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06"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-4445</wp:posOffset>
            </wp:positionV>
            <wp:extent cx="308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341" w:right="339" w:bottom="1440" w:gutter="0" w:footer="0" w:header="0"/>
        </w:sectPr>
      </w:pPr>
    </w:p>
    <w:p>
      <w:pPr>
        <w:spacing w:after="0" w:line="2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Delaware</w:t>
      </w:r>
    </w:p>
    <w:p>
      <w:pPr>
        <w:ind w:left="2020"/>
        <w:spacing w:after="0" w:line="226"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4"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20-0514392</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34" w:lineRule="exact"/>
        <w:rPr>
          <w:sz w:val="24"/>
          <w:szCs w:val="24"/>
          <w:color w:val="auto"/>
        </w:rPr>
      </w:pPr>
    </w:p>
    <w:p>
      <w:pPr>
        <w:sectPr>
          <w:pgSz w:w="11900" w:h="16838" w:orient="portrait"/>
          <w:cols w:equalWidth="0" w:num="2">
            <w:col w:w="7480" w:space="460"/>
            <w:col w:w="3300"/>
          </w:cols>
          <w:pgMar w:left="320" w:top="341" w:right="339" w:bottom="1440" w:gutter="0" w:footer="0" w:header="0"/>
          <w:type w:val="continuous"/>
        </w:sectPr>
      </w:pPr>
    </w:p>
    <w:p>
      <w:pPr>
        <w:ind w:left="2280"/>
        <w:spacing w:after="0"/>
        <w:rPr>
          <w:sz w:val="20"/>
          <w:szCs w:val="20"/>
          <w:color w:val="auto"/>
        </w:rPr>
      </w:pPr>
      <w:r>
        <w:rPr>
          <w:rFonts w:ascii="Arial" w:cs="Arial" w:eastAsia="Arial" w:hAnsi="Arial"/>
          <w:sz w:val="14"/>
          <w:szCs w:val="14"/>
          <w:b w:val="1"/>
          <w:bCs w:val="1"/>
          <w:color w:val="auto"/>
        </w:rPr>
        <w:t>3052 Orchard Dr.</w:t>
      </w:r>
    </w:p>
    <w:p>
      <w:pPr>
        <w:spacing w:after="0" w:line="10" w:lineRule="exact"/>
        <w:rPr>
          <w:sz w:val="24"/>
          <w:szCs w:val="24"/>
          <w:color w:val="auto"/>
        </w:rPr>
      </w:pPr>
    </w:p>
    <w:p>
      <w:pPr>
        <w:ind w:left="2180"/>
        <w:spacing w:after="0"/>
        <w:tabs>
          <w:tab w:leader="none" w:pos="8240" w:val="left"/>
        </w:tabs>
        <w:rPr>
          <w:sz w:val="20"/>
          <w:szCs w:val="20"/>
          <w:color w:val="auto"/>
        </w:rPr>
      </w:pPr>
      <w:r>
        <w:rPr>
          <w:rFonts w:ascii="Arial" w:cs="Arial" w:eastAsia="Arial" w:hAnsi="Arial"/>
          <w:sz w:val="14"/>
          <w:szCs w:val="14"/>
          <w:b w:val="1"/>
          <w:bCs w:val="1"/>
          <w:color w:val="auto"/>
        </w:rPr>
        <w:t>San Jose, California</w:t>
      </w:r>
      <w:r>
        <w:rPr>
          <w:sz w:val="20"/>
          <w:szCs w:val="20"/>
          <w:color w:val="auto"/>
        </w:rPr>
        <w:tab/>
      </w:r>
      <w:r>
        <w:rPr>
          <w:rFonts w:ascii="Arial" w:cs="Arial" w:eastAsia="Arial" w:hAnsi="Arial"/>
          <w:sz w:val="12"/>
          <w:szCs w:val="12"/>
          <w:b w:val="1"/>
          <w:bCs w:val="1"/>
          <w:color w:val="auto"/>
        </w:rPr>
        <w:t>95134</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97"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120" w:firstLine="509"/>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80" w:firstLine="509"/>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509"/>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85" w:lineRule="exact"/>
        <w:rPr>
          <w:sz w:val="24"/>
          <w:szCs w:val="24"/>
          <w:color w:val="auto"/>
        </w:rPr>
      </w:pPr>
    </w:p>
    <w:p>
      <w:pPr>
        <w:jc w:val="both"/>
        <w:ind w:right="60" w:firstLine="50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520" w:right="3080"/>
        <w:spacing w:after="0" w:line="24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April 22, 2022, the registrant had 47,794,265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4"/>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21"/>
            <w:vMerge w:val="restart"/>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FINANCIAL INFORMATION</w:t>
              </w:r>
            </w:hyperlink>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80" w:type="dxa"/>
            <w:vAlign w:val="bottom"/>
            <w:gridSpan w:val="3"/>
            <w:vMerge w:val="continue"/>
          </w:tcPr>
          <w:p>
            <w:pPr>
              <w:spacing w:after="0"/>
              <w:rPr>
                <w:sz w:val="13"/>
                <w:szCs w:val="13"/>
                <w:color w:val="auto"/>
              </w:rPr>
            </w:pPr>
          </w:p>
        </w:tc>
        <w:tc>
          <w:tcPr>
            <w:tcW w:w="9440" w:type="dxa"/>
            <w:vAlign w:val="bottom"/>
            <w:gridSpan w:val="21"/>
            <w:vMerge w:val="continue"/>
          </w:tcPr>
          <w:p>
            <w:pPr>
              <w:spacing w:after="0"/>
              <w:rPr>
                <w:sz w:val="13"/>
                <w:szCs w:val="13"/>
                <w:color w:val="auto"/>
              </w:rPr>
            </w:pPr>
          </w:p>
        </w:tc>
        <w:tc>
          <w:tcPr>
            <w:tcW w:w="72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563C1"/>
              <w:bottom w:val="single" w:sz="8" w:color="0563C1"/>
            </w:tcBorders>
            <w:gridSpan w:val="10"/>
          </w:tcPr>
          <w:p>
            <w:pPr>
              <w:spacing w:after="0" w:line="169" w:lineRule="exact"/>
              <w:rPr>
                <w:rFonts w:ascii="Arial" w:cs="Arial" w:eastAsia="Arial" w:hAnsi="Arial"/>
                <w:sz w:val="18"/>
                <w:szCs w:val="18"/>
                <w:color w:val="0563C1"/>
                <w:w w:val="83"/>
              </w:rPr>
            </w:pPr>
            <w:hyperlink w:anchor="page3">
              <w:r>
                <w:rPr>
                  <w:rFonts w:ascii="Arial" w:cs="Arial" w:eastAsia="Arial" w:hAnsi="Arial"/>
                  <w:sz w:val="18"/>
                  <w:szCs w:val="18"/>
                  <w:color w:val="0563C1"/>
                  <w:w w:val="83"/>
                </w:rPr>
                <w:t>Financial Statements (Unaudited)</w:t>
              </w:r>
            </w:hyperlink>
          </w:p>
        </w:tc>
        <w:tc>
          <w:tcPr>
            <w:tcW w:w="80" w:type="dxa"/>
            <w:vAlign w:val="bottom"/>
            <w:tcBorders>
              <w:bottom w:val="single" w:sz="8" w:color="0563C1"/>
            </w:tcBorders>
          </w:tcPr>
          <w:p>
            <w:pPr>
              <w:spacing w:after="0"/>
              <w:rPr>
                <w:sz w:val="14"/>
                <w:szCs w:val="14"/>
                <w:color w:val="auto"/>
              </w:rPr>
            </w:pPr>
          </w:p>
        </w:tc>
        <w:tc>
          <w:tcPr>
            <w:tcW w:w="80" w:type="dxa"/>
            <w:vAlign w:val="bottom"/>
            <w:tcBorders>
              <w:bottom w:val="single" w:sz="8" w:color="0563C1"/>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12"/>
          </w:tcPr>
          <w:p>
            <w:pPr>
              <w:spacing w:after="0" w:line="169" w:lineRule="exact"/>
              <w:rPr>
                <w:rFonts w:ascii="Arial" w:cs="Arial" w:eastAsia="Arial" w:hAnsi="Arial"/>
                <w:sz w:val="18"/>
                <w:szCs w:val="18"/>
                <w:color w:val="0563C1"/>
              </w:rPr>
            </w:pPr>
            <w:hyperlink w:anchor="page3">
              <w:r>
                <w:rPr>
                  <w:rFonts w:ascii="Arial" w:cs="Arial" w:eastAsia="Arial" w:hAnsi="Arial"/>
                  <w:sz w:val="18"/>
                  <w:szCs w:val="18"/>
                  <w:color w:val="0563C1"/>
                </w:rPr>
                <w:t>Condensed Balance Sheets</w:t>
              </w:r>
            </w:hyperlink>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Borders>
              <w:top w:val="single" w:sz="8" w:color="0563C1"/>
              <w:bottom w:val="single" w:sz="8" w:color="0563C1"/>
            </w:tcBorders>
            <w:gridSpan w:val="9"/>
          </w:tcPr>
          <w:p>
            <w:pPr>
              <w:spacing w:after="0" w:line="169" w:lineRule="exact"/>
              <w:rPr>
                <w:rFonts w:ascii="Arial" w:cs="Arial" w:eastAsia="Arial" w:hAnsi="Arial"/>
                <w:sz w:val="18"/>
                <w:szCs w:val="18"/>
                <w:color w:val="0563C1"/>
                <w:w w:val="92"/>
              </w:rPr>
            </w:pPr>
            <w:hyperlink w:anchor="page4">
              <w:r>
                <w:rPr>
                  <w:rFonts w:ascii="Arial" w:cs="Arial" w:eastAsia="Arial" w:hAnsi="Arial"/>
                  <w:sz w:val="18"/>
                  <w:szCs w:val="18"/>
                  <w:color w:val="0563C1"/>
                  <w:w w:val="92"/>
                </w:rPr>
                <w:t>Condensed Statements of</w:t>
              </w:r>
            </w:hyperlink>
          </w:p>
        </w:tc>
        <w:tc>
          <w:tcPr>
            <w:tcW w:w="740" w:type="dxa"/>
            <w:vAlign w:val="bottom"/>
            <w:tcBorders>
              <w:bottom w:val="single" w:sz="8" w:color="0563C1"/>
            </w:tcBorders>
            <w:gridSpan w:val="4"/>
          </w:tcPr>
          <w:p>
            <w:pPr>
              <w:jc w:val="center"/>
              <w:spacing w:after="0" w:line="169" w:lineRule="exact"/>
              <w:rPr>
                <w:rFonts w:ascii="Arial" w:cs="Arial" w:eastAsia="Arial" w:hAnsi="Arial"/>
                <w:sz w:val="18"/>
                <w:szCs w:val="18"/>
                <w:color w:val="0563C1"/>
                <w:w w:val="83"/>
              </w:rPr>
            </w:pPr>
            <w:hyperlink w:anchor="page4">
              <w:r>
                <w:rPr>
                  <w:rFonts w:ascii="Arial" w:cs="Arial" w:eastAsia="Arial" w:hAnsi="Arial"/>
                  <w:sz w:val="18"/>
                  <w:szCs w:val="18"/>
                  <w:color w:val="0563C1"/>
                  <w:w w:val="83"/>
                </w:rPr>
                <w:t>Operations</w:t>
              </w:r>
            </w:hyperlink>
          </w:p>
        </w:tc>
        <w:tc>
          <w:tcPr>
            <w:tcW w:w="6760" w:type="dxa"/>
            <w:vAlign w:val="bottom"/>
            <w:gridSpan w:val="8"/>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40" w:type="dxa"/>
            <w:vAlign w:val="bottom"/>
            <w:gridSpan w:val="21"/>
          </w:tcPr>
          <w:p>
            <w:pPr>
              <w:spacing w:after="0" w:line="169" w:lineRule="exact"/>
              <w:rPr>
                <w:rFonts w:ascii="Arial" w:cs="Arial" w:eastAsia="Arial" w:hAnsi="Arial"/>
                <w:sz w:val="18"/>
                <w:szCs w:val="18"/>
                <w:color w:val="0563C1"/>
              </w:rPr>
            </w:pPr>
            <w:hyperlink w:anchor="page5">
              <w:r>
                <w:rPr>
                  <w:rFonts w:ascii="Arial" w:cs="Arial" w:eastAsia="Arial" w:hAnsi="Arial"/>
                  <w:sz w:val="18"/>
                  <w:szCs w:val="18"/>
                  <w:color w:val="0563C1"/>
                </w:rPr>
                <w:t>Condensed Statements of Comprehensive Loss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0" w:type="dxa"/>
            <w:vAlign w:val="bottom"/>
            <w:tcBorders>
              <w:top w:val="single" w:sz="8" w:color="0563C1"/>
            </w:tcBorders>
            <w:gridSpan w:val="16"/>
          </w:tcPr>
          <w:p>
            <w:pPr>
              <w:spacing w:after="0" w:line="169" w:lineRule="exact"/>
              <w:rPr>
                <w:rFonts w:ascii="Arial" w:cs="Arial" w:eastAsia="Arial" w:hAnsi="Arial"/>
                <w:sz w:val="18"/>
                <w:szCs w:val="18"/>
                <w:color w:val="0563C1"/>
                <w:w w:val="89"/>
              </w:rPr>
            </w:pPr>
            <w:hyperlink w:anchor="page6">
              <w:r>
                <w:rPr>
                  <w:rFonts w:ascii="Arial" w:cs="Arial" w:eastAsia="Arial" w:hAnsi="Arial"/>
                  <w:sz w:val="18"/>
                  <w:szCs w:val="18"/>
                  <w:color w:val="0563C1"/>
                  <w:w w:val="89"/>
                </w:rPr>
                <w:t>Condensed Statements of Stockholders’ Equity</w:t>
              </w:r>
            </w:hyperlink>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Borders>
              <w:top w:val="single" w:sz="8" w:color="0000EE"/>
            </w:tcBorders>
            <w:gridSpan w:val="7"/>
          </w:tcPr>
          <w:p>
            <w:pPr>
              <w:spacing w:after="0" w:line="169" w:lineRule="exact"/>
              <w:rPr>
                <w:rFonts w:ascii="Arial" w:cs="Arial" w:eastAsia="Arial" w:hAnsi="Arial"/>
                <w:sz w:val="18"/>
                <w:szCs w:val="18"/>
                <w:color w:val="0563C1"/>
                <w:w w:val="89"/>
              </w:rPr>
            </w:pPr>
            <w:hyperlink w:anchor="page8">
              <w:r>
                <w:rPr>
                  <w:rFonts w:ascii="Arial" w:cs="Arial" w:eastAsia="Arial" w:hAnsi="Arial"/>
                  <w:sz w:val="18"/>
                  <w:szCs w:val="18"/>
                  <w:color w:val="0563C1"/>
                  <w:w w:val="89"/>
                </w:rPr>
                <w:t>Condensed Statements of</w:t>
              </w:r>
            </w:hyperlink>
          </w:p>
        </w:tc>
        <w:tc>
          <w:tcPr>
            <w:tcW w:w="1540" w:type="dxa"/>
            <w:vAlign w:val="bottom"/>
            <w:tcBorders>
              <w:top w:val="single" w:sz="8" w:color="0563C1"/>
            </w:tcBorders>
            <w:gridSpan w:val="10"/>
          </w:tcPr>
          <w:p>
            <w:pPr>
              <w:jc w:val="center"/>
              <w:ind w:right="700"/>
              <w:spacing w:after="0" w:line="169" w:lineRule="exact"/>
              <w:rPr>
                <w:rFonts w:ascii="Arial" w:cs="Arial" w:eastAsia="Arial" w:hAnsi="Arial"/>
                <w:sz w:val="18"/>
                <w:szCs w:val="18"/>
                <w:color w:val="0563C1"/>
                <w:w w:val="89"/>
              </w:rPr>
            </w:pPr>
            <w:hyperlink w:anchor="page8">
              <w:r>
                <w:rPr>
                  <w:rFonts w:ascii="Arial" w:cs="Arial" w:eastAsia="Arial" w:hAnsi="Arial"/>
                  <w:sz w:val="18"/>
                  <w:szCs w:val="18"/>
                  <w:color w:val="0563C1"/>
                  <w:w w:val="89"/>
                </w:rPr>
                <w:t>Cash Flows</w:t>
              </w:r>
            </w:hyperlink>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40" w:type="dxa"/>
            <w:vAlign w:val="bottom"/>
            <w:gridSpan w:val="21"/>
          </w:tcPr>
          <w:p>
            <w:pPr>
              <w:spacing w:after="0" w:line="169" w:lineRule="exact"/>
              <w:rPr>
                <w:rFonts w:ascii="Arial" w:cs="Arial" w:eastAsia="Arial" w:hAnsi="Arial"/>
                <w:sz w:val="18"/>
                <w:szCs w:val="18"/>
                <w:color w:val="0563C1"/>
              </w:rPr>
            </w:pPr>
            <w:hyperlink w:anchor="page9">
              <w:r>
                <w:rPr>
                  <w:rFonts w:ascii="Arial" w:cs="Arial" w:eastAsia="Arial" w:hAnsi="Arial"/>
                  <w:sz w:val="18"/>
                  <w:szCs w:val="18"/>
                  <w:color w:val="0563C1"/>
                </w:rPr>
                <w:t>Notes to Condensed Financial Statements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auto"/>
              </w:rPr>
              <w:t>Item 2.</w:t>
            </w: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440" w:type="dxa"/>
            <w:vAlign w:val="bottom"/>
            <w:gridSpan w:val="3"/>
            <w:shd w:val="clear" w:color="auto" w:fill="0563C1"/>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169"/>
        </w:trPr>
        <w:tc>
          <w:tcPr>
            <w:tcW w:w="1080" w:type="dxa"/>
            <w:vAlign w:val="bottom"/>
            <w:gridSpan w:val="3"/>
            <w:vMerge w:val="continue"/>
          </w:tcPr>
          <w:p>
            <w:pPr>
              <w:spacing w:after="0"/>
              <w:rPr>
                <w:sz w:val="14"/>
                <w:szCs w:val="14"/>
                <w:color w:val="auto"/>
              </w:rPr>
            </w:pPr>
          </w:p>
        </w:tc>
        <w:tc>
          <w:tcPr>
            <w:tcW w:w="9440" w:type="dxa"/>
            <w:vAlign w:val="bottom"/>
            <w:gridSpan w:val="21"/>
          </w:tcPr>
          <w:p>
            <w:pPr>
              <w:spacing w:after="0" w:line="169" w:lineRule="exact"/>
              <w:rPr>
                <w:rFonts w:ascii="Arial" w:cs="Arial" w:eastAsia="Arial" w:hAnsi="Arial"/>
                <w:sz w:val="18"/>
                <w:szCs w:val="18"/>
                <w:color w:val="0563C1"/>
              </w:rPr>
            </w:pPr>
            <w:hyperlink w:anchor="page15">
              <w:r>
                <w:rPr>
                  <w:rFonts w:ascii="Arial" w:cs="Arial" w:eastAsia="Arial" w:hAnsi="Arial"/>
                  <w:sz w:val="18"/>
                  <w:szCs w:val="18"/>
                  <w:color w:val="0563C1"/>
                </w:rPr>
                <w:t>Management’s Discussion and Analysis of Financial Condition and Results of Operations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563C1"/>
            </w:tcBorders>
            <w:gridSpan w:val="20"/>
          </w:tcPr>
          <w:p>
            <w:pPr>
              <w:spacing w:after="0" w:line="169" w:lineRule="exact"/>
              <w:rPr>
                <w:rFonts w:ascii="Arial" w:cs="Arial" w:eastAsia="Arial" w:hAnsi="Arial"/>
                <w:sz w:val="18"/>
                <w:szCs w:val="18"/>
                <w:color w:val="0563C1"/>
              </w:rPr>
            </w:pPr>
            <w:hyperlink w:anchor="page22">
              <w:r>
                <w:rPr>
                  <w:rFonts w:ascii="Arial" w:cs="Arial" w:eastAsia="Arial" w:hAnsi="Arial"/>
                  <w:sz w:val="18"/>
                  <w:szCs w:val="18"/>
                  <w:color w:val="0563C1"/>
                </w:rPr>
                <w:t>Quantitative and Qualitative Disclosures About Market Risk</w:t>
              </w:r>
            </w:hyperlink>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563C1"/>
              <w:bottom w:val="single" w:sz="8" w:color="0563C1"/>
            </w:tcBorders>
            <w:gridSpan w:val="5"/>
          </w:tcPr>
          <w:p>
            <w:pPr>
              <w:spacing w:after="0" w:line="169" w:lineRule="exact"/>
              <w:rPr>
                <w:rFonts w:ascii="Arial" w:cs="Arial" w:eastAsia="Arial" w:hAnsi="Arial"/>
                <w:sz w:val="18"/>
                <w:szCs w:val="18"/>
                <w:color w:val="0563C1"/>
                <w:w w:val="88"/>
              </w:rPr>
            </w:pPr>
            <w:hyperlink w:anchor="page22">
              <w:r>
                <w:rPr>
                  <w:rFonts w:ascii="Arial" w:cs="Arial" w:eastAsia="Arial" w:hAnsi="Arial"/>
                  <w:sz w:val="18"/>
                  <w:szCs w:val="18"/>
                  <w:color w:val="0563C1"/>
                  <w:w w:val="88"/>
                </w:rPr>
                <w:t>Controls and Procedures</w:t>
              </w:r>
            </w:hyperlink>
          </w:p>
        </w:tc>
        <w:tc>
          <w:tcPr>
            <w:tcW w:w="20" w:type="dxa"/>
            <w:vAlign w:val="bottom"/>
            <w:tcBorders>
              <w:top w:val="single" w:sz="8" w:color="0563C1"/>
              <w:bottom w:val="single" w:sz="8" w:color="0000EE"/>
            </w:tcBorders>
          </w:tcPr>
          <w:p>
            <w:pPr>
              <w:spacing w:after="0"/>
              <w:rPr>
                <w:sz w:val="14"/>
                <w:szCs w:val="14"/>
                <w:color w:val="auto"/>
              </w:rPr>
            </w:pPr>
          </w:p>
        </w:tc>
        <w:tc>
          <w:tcPr>
            <w:tcW w:w="2580" w:type="dxa"/>
            <w:vAlign w:val="bottom"/>
            <w:tcBorders>
              <w:top w:val="single" w:sz="8" w:color="0563C1"/>
            </w:tcBorders>
            <w:gridSpan w:val="13"/>
          </w:tcPr>
          <w:p>
            <w:pPr>
              <w:spacing w:after="0"/>
              <w:rPr>
                <w:sz w:val="14"/>
                <w:szCs w:val="14"/>
                <w:color w:val="auto"/>
              </w:rPr>
            </w:pPr>
          </w:p>
        </w:tc>
        <w:tc>
          <w:tcPr>
            <w:tcW w:w="5060" w:type="dxa"/>
            <w:vAlign w:val="bottom"/>
            <w:gridSpan w:val="2"/>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563C1"/>
            </w:tcBorders>
            <w:gridSpan w:val="6"/>
          </w:tcPr>
          <w:p>
            <w:pPr>
              <w:spacing w:after="0" w:line="169" w:lineRule="exact"/>
              <w:rPr>
                <w:rFonts w:ascii="Arial" w:cs="Arial" w:eastAsia="Arial" w:hAnsi="Arial"/>
                <w:sz w:val="18"/>
                <w:szCs w:val="18"/>
                <w:color w:val="0563C1"/>
                <w:w w:val="91"/>
              </w:rPr>
            </w:pPr>
            <w:hyperlink w:anchor="page23">
              <w:r>
                <w:rPr>
                  <w:rFonts w:ascii="Arial" w:cs="Arial" w:eastAsia="Arial" w:hAnsi="Arial"/>
                  <w:sz w:val="18"/>
                  <w:szCs w:val="18"/>
                  <w:color w:val="0563C1"/>
                  <w:w w:val="91"/>
                </w:rPr>
                <w:t>OTHER INFORMATION</w:t>
              </w:r>
            </w:hyperlink>
          </w:p>
        </w:tc>
        <w:tc>
          <w:tcPr>
            <w:tcW w:w="100" w:type="dxa"/>
            <w:vAlign w:val="bottom"/>
            <w:tcBorders>
              <w:bottom w:val="single" w:sz="8" w:color="0563C1"/>
            </w:tcBorders>
            <w:gridSpan w:val="2"/>
          </w:tcPr>
          <w:p>
            <w:pPr>
              <w:spacing w:after="0"/>
              <w:rPr>
                <w:sz w:val="14"/>
                <w:szCs w:val="14"/>
                <w:color w:val="auto"/>
              </w:rPr>
            </w:pPr>
          </w:p>
        </w:tc>
        <w:tc>
          <w:tcPr>
            <w:tcW w:w="440" w:type="dxa"/>
            <w:vAlign w:val="bottom"/>
            <w:gridSpan w:val="3"/>
          </w:tcPr>
          <w:p>
            <w:pPr>
              <w:spacing w:after="0"/>
              <w:rPr>
                <w:sz w:val="14"/>
                <w:szCs w:val="14"/>
                <w:color w:val="auto"/>
              </w:rPr>
            </w:pPr>
          </w:p>
        </w:tc>
        <w:tc>
          <w:tcPr>
            <w:tcW w:w="2020" w:type="dxa"/>
            <w:vAlign w:val="bottom"/>
            <w:gridSpan w:val="7"/>
          </w:tcPr>
          <w:p>
            <w:pPr>
              <w:spacing w:after="0"/>
              <w:rPr>
                <w:sz w:val="14"/>
                <w:szCs w:val="14"/>
                <w:color w:val="auto"/>
              </w:rPr>
            </w:pPr>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69" w:lineRule="exact"/>
              <w:rPr>
                <w:rFonts w:ascii="Arial" w:cs="Arial" w:eastAsia="Arial" w:hAnsi="Arial"/>
                <w:sz w:val="18"/>
                <w:szCs w:val="18"/>
                <w:color w:val="0563C1"/>
              </w:rPr>
            </w:pPr>
            <w:hyperlink w:anchor="page23">
              <w:r>
                <w:rPr>
                  <w:rFonts w:ascii="Arial" w:cs="Arial" w:eastAsia="Arial" w:hAnsi="Arial"/>
                  <w:sz w:val="18"/>
                  <w:szCs w:val="18"/>
                  <w:color w:val="0563C1"/>
                </w:rPr>
                <w:t>Legal Proceedings</w:t>
              </w:r>
            </w:hyperlink>
          </w:p>
        </w:tc>
        <w:tc>
          <w:tcPr>
            <w:tcW w:w="440" w:type="dxa"/>
            <w:vAlign w:val="bottom"/>
            <w:gridSpan w:val="3"/>
          </w:tcPr>
          <w:p>
            <w:pPr>
              <w:spacing w:after="0"/>
              <w:rPr>
                <w:sz w:val="14"/>
                <w:szCs w:val="14"/>
                <w:color w:val="auto"/>
              </w:rPr>
            </w:pPr>
          </w:p>
        </w:tc>
        <w:tc>
          <w:tcPr>
            <w:tcW w:w="2020" w:type="dxa"/>
            <w:vAlign w:val="bottom"/>
            <w:gridSpan w:val="7"/>
          </w:tcPr>
          <w:p>
            <w:pPr>
              <w:spacing w:after="0"/>
              <w:rPr>
                <w:sz w:val="14"/>
                <w:szCs w:val="14"/>
                <w:color w:val="auto"/>
              </w:rPr>
            </w:pPr>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563C1"/>
            </w:tcBorders>
            <w:gridSpan w:val="4"/>
          </w:tcPr>
          <w:p>
            <w:pPr>
              <w:spacing w:after="0" w:line="169" w:lineRule="exact"/>
              <w:rPr>
                <w:rFonts w:ascii="Arial" w:cs="Arial" w:eastAsia="Arial" w:hAnsi="Arial"/>
                <w:sz w:val="18"/>
                <w:szCs w:val="18"/>
                <w:color w:val="0563C1"/>
              </w:rPr>
            </w:pPr>
            <w:hyperlink w:anchor="page23">
              <w:r>
                <w:rPr>
                  <w:rFonts w:ascii="Arial" w:cs="Arial" w:eastAsia="Arial" w:hAnsi="Arial"/>
                  <w:sz w:val="18"/>
                  <w:szCs w:val="18"/>
                  <w:color w:val="0563C1"/>
                </w:rPr>
                <w:t>Risk Factors</w:t>
              </w:r>
            </w:hyperlink>
          </w:p>
        </w:tc>
        <w:tc>
          <w:tcPr>
            <w:tcW w:w="1000" w:type="dxa"/>
            <w:vAlign w:val="bottom"/>
            <w:gridSpan w:val="7"/>
          </w:tcPr>
          <w:p>
            <w:pPr>
              <w:spacing w:after="0"/>
              <w:rPr>
                <w:sz w:val="14"/>
                <w:szCs w:val="14"/>
                <w:color w:val="auto"/>
              </w:rPr>
            </w:pPr>
          </w:p>
        </w:tc>
        <w:tc>
          <w:tcPr>
            <w:tcW w:w="2020" w:type="dxa"/>
            <w:vAlign w:val="bottom"/>
            <w:gridSpan w:val="7"/>
          </w:tcPr>
          <w:p>
            <w:pPr>
              <w:spacing w:after="0"/>
              <w:rPr>
                <w:sz w:val="14"/>
                <w:szCs w:val="14"/>
                <w:color w:val="auto"/>
              </w:rPr>
            </w:pPr>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2.</w:t>
            </w:r>
          </w:p>
        </w:tc>
        <w:tc>
          <w:tcPr>
            <w:tcW w:w="920" w:type="dxa"/>
            <w:vAlign w:val="bottom"/>
            <w:tcBorders>
              <w:top w:val="single" w:sz="8" w:color="0563C1"/>
            </w:tcBorders>
            <w:gridSpan w:val="2"/>
          </w:tcPr>
          <w:p>
            <w:pPr>
              <w:spacing w:after="0" w:line="169" w:lineRule="exact"/>
              <w:rPr>
                <w:rFonts w:ascii="Arial" w:cs="Arial" w:eastAsia="Arial" w:hAnsi="Arial"/>
                <w:sz w:val="18"/>
                <w:szCs w:val="18"/>
                <w:color w:val="0563C1"/>
                <w:w w:val="87"/>
              </w:rPr>
            </w:pPr>
            <w:hyperlink w:anchor="page24">
              <w:r>
                <w:rPr>
                  <w:rFonts w:ascii="Arial" w:cs="Arial" w:eastAsia="Arial" w:hAnsi="Arial"/>
                  <w:sz w:val="18"/>
                  <w:szCs w:val="18"/>
                  <w:color w:val="0563C1"/>
                  <w:w w:val="87"/>
                </w:rPr>
                <w:t>Unregistered</w:t>
              </w:r>
            </w:hyperlink>
          </w:p>
        </w:tc>
        <w:tc>
          <w:tcPr>
            <w:tcW w:w="8520" w:type="dxa"/>
            <w:vAlign w:val="bottom"/>
            <w:gridSpan w:val="19"/>
          </w:tcPr>
          <w:p>
            <w:pPr>
              <w:ind w:left="60"/>
              <w:spacing w:after="0" w:line="169" w:lineRule="exact"/>
              <w:rPr>
                <w:rFonts w:ascii="Arial" w:cs="Arial" w:eastAsia="Arial" w:hAnsi="Arial"/>
                <w:sz w:val="18"/>
                <w:szCs w:val="18"/>
                <w:color w:val="0563C1"/>
              </w:rPr>
            </w:pPr>
            <w:hyperlink w:anchor="page24">
              <w:r>
                <w:rPr>
                  <w:rFonts w:ascii="Arial" w:cs="Arial" w:eastAsia="Arial" w:hAnsi="Arial"/>
                  <w:sz w:val="18"/>
                  <w:szCs w:val="18"/>
                  <w:color w:val="0563C1"/>
                </w:rPr>
                <w:t>Sales of Equity Securities and Use of Proceeds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24">
              <w:r>
                <w:rPr>
                  <w:rFonts w:ascii="Arial" w:cs="Arial" w:eastAsia="Arial" w:hAnsi="Arial"/>
                  <w:sz w:val="18"/>
                  <w:szCs w:val="18"/>
                  <w:color w:val="0563C1"/>
                </w:rPr>
                <w:t>Defaults Upon Senior Securities</w:t>
              </w:r>
            </w:hyperlink>
          </w:p>
        </w:tc>
        <w:tc>
          <w:tcPr>
            <w:tcW w:w="508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563C1"/>
            </w:tcBorders>
            <w:gridSpan w:val="11"/>
          </w:tcPr>
          <w:p>
            <w:pPr>
              <w:spacing w:after="0" w:line="169" w:lineRule="exact"/>
              <w:rPr>
                <w:rFonts w:ascii="Arial" w:cs="Arial" w:eastAsia="Arial" w:hAnsi="Arial"/>
                <w:sz w:val="18"/>
                <w:szCs w:val="18"/>
                <w:color w:val="0563C1"/>
              </w:rPr>
            </w:pPr>
            <w:hyperlink w:anchor="page24">
              <w:r>
                <w:rPr>
                  <w:rFonts w:ascii="Arial" w:cs="Arial" w:eastAsia="Arial" w:hAnsi="Arial"/>
                  <w:sz w:val="18"/>
                  <w:szCs w:val="18"/>
                  <w:color w:val="0563C1"/>
                </w:rPr>
                <w:t>Mine Safety Disclosures</w:t>
              </w:r>
            </w:hyperlink>
          </w:p>
        </w:tc>
        <w:tc>
          <w:tcPr>
            <w:tcW w:w="7100" w:type="dxa"/>
            <w:vAlign w:val="bottom"/>
            <w:gridSpan w:val="10"/>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563C1"/>
            </w:tcBorders>
            <w:gridSpan w:val="5"/>
          </w:tcPr>
          <w:p>
            <w:pPr>
              <w:spacing w:after="0" w:line="169" w:lineRule="exact"/>
              <w:rPr>
                <w:rFonts w:ascii="Arial" w:cs="Arial" w:eastAsia="Arial" w:hAnsi="Arial"/>
                <w:sz w:val="18"/>
                <w:szCs w:val="18"/>
                <w:color w:val="0563C1"/>
              </w:rPr>
            </w:pPr>
            <w:hyperlink w:anchor="page25">
              <w:r>
                <w:rPr>
                  <w:rFonts w:ascii="Arial" w:cs="Arial" w:eastAsia="Arial" w:hAnsi="Arial"/>
                  <w:sz w:val="18"/>
                  <w:szCs w:val="18"/>
                  <w:color w:val="0563C1"/>
                </w:rPr>
                <w:t>Other Information</w:t>
              </w:r>
            </w:hyperlink>
          </w:p>
        </w:tc>
        <w:tc>
          <w:tcPr>
            <w:tcW w:w="7660" w:type="dxa"/>
            <w:vAlign w:val="bottom"/>
            <w:gridSpan w:val="16"/>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563C1"/>
            </w:tcBorders>
            <w:gridSpan w:val="3"/>
          </w:tcPr>
          <w:p>
            <w:pPr>
              <w:spacing w:after="0" w:line="169" w:lineRule="exact"/>
              <w:rPr>
                <w:rFonts w:ascii="Arial" w:cs="Arial" w:eastAsia="Arial" w:hAnsi="Arial"/>
                <w:sz w:val="18"/>
                <w:szCs w:val="18"/>
                <w:color w:val="0563C1"/>
              </w:rPr>
            </w:pPr>
            <w:hyperlink w:anchor="page26">
              <w:r>
                <w:rPr>
                  <w:rFonts w:ascii="Arial" w:cs="Arial" w:eastAsia="Arial" w:hAnsi="Arial"/>
                  <w:sz w:val="18"/>
                  <w:szCs w:val="18"/>
                  <w:color w:val="0563C1"/>
                </w:rPr>
                <w:t>Exhibits</w:t>
              </w:r>
            </w:hyperlink>
          </w:p>
        </w:tc>
        <w:tc>
          <w:tcPr>
            <w:tcW w:w="8120" w:type="dxa"/>
            <w:vAlign w:val="bottom"/>
            <w:gridSpan w:val="18"/>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69"/>
        </w:trPr>
        <w:tc>
          <w:tcPr>
            <w:tcW w:w="1080" w:type="dxa"/>
            <w:vAlign w:val="bottom"/>
            <w:gridSpan w:val="3"/>
          </w:tcPr>
          <w:p>
            <w:pPr>
              <w:ind w:left="20"/>
              <w:spacing w:after="0" w:line="169" w:lineRule="exact"/>
              <w:rPr>
                <w:rFonts w:ascii="Arial" w:cs="Arial" w:eastAsia="Arial" w:hAnsi="Arial"/>
                <w:sz w:val="18"/>
                <w:szCs w:val="18"/>
                <w:color w:val="0563C1"/>
              </w:rPr>
            </w:pPr>
            <w:hyperlink w:anchor="page27">
              <w:r>
                <w:rPr>
                  <w:rFonts w:ascii="Arial" w:cs="Arial" w:eastAsia="Arial" w:hAnsi="Arial"/>
                  <w:sz w:val="18"/>
                  <w:szCs w:val="18"/>
                  <w:color w:val="0563C1"/>
                </w:rPr>
                <w:t>Signatures</w:t>
              </w:r>
            </w:hyperlink>
          </w:p>
        </w:tc>
        <w:tc>
          <w:tcPr>
            <w:tcW w:w="600" w:type="dxa"/>
            <w:vAlign w:val="bottom"/>
            <w:tcBorders>
              <w:top w:val="single" w:sz="8" w:color="0563C1"/>
            </w:tcBorders>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8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2"/>
              </w:rPr>
              <w:t>Outset Medical,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86"/>
              </w:rPr>
              <w:t>Condensed Balance Sheets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tcPr>
          <w:p>
            <w:pPr>
              <w:jc w:val="center"/>
              <w:ind w:left="329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1"/>
        </w:trPr>
        <w:tc>
          <w:tcPr>
            <w:tcW w:w="78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0"/>
              <w:spacing w:after="0"/>
              <w:rPr>
                <w:sz w:val="20"/>
                <w:szCs w:val="20"/>
                <w:color w:val="auto"/>
              </w:rPr>
            </w:pPr>
            <w:r>
              <w:rPr>
                <w:rFonts w:ascii="Arial" w:cs="Arial" w:eastAsia="Arial" w:hAnsi="Arial"/>
                <w:sz w:val="16"/>
                <w:szCs w:val="16"/>
                <w:b w:val="1"/>
                <w:bCs w:val="1"/>
                <w:color w:val="auto"/>
                <w:w w:val="94"/>
              </w:rPr>
              <w:t>(Unaudited)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114,346</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182,348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187,921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157,140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26,899</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42,873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39,185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5,387</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377,426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409,802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33,311</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13,882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6,962</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161</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431,742</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463,464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6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5,149</w:t>
            </w: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and related benefits</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13,478</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18,610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warranty liability</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3,628</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current</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6,833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1,192</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48,890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51,695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interest, noncurrent</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noncurrent</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6,581</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Term loan, noncurrent</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29,784</w:t>
            </w: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86,289</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89,383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00"/>
              <w:spacing w:after="0" w:line="162" w:lineRule="exact"/>
              <w:rPr>
                <w:sz w:val="20"/>
                <w:szCs w:val="20"/>
                <w:color w:val="auto"/>
              </w:rPr>
            </w:pPr>
            <w:r>
              <w:rPr>
                <w:rFonts w:ascii="Arial" w:cs="Arial" w:eastAsia="Arial" w:hAnsi="Arial"/>
                <w:sz w:val="18"/>
                <w:szCs w:val="18"/>
                <w:color w:val="auto"/>
                <w:w w:val="92"/>
              </w:rPr>
              <w:t>Preferred stock, $0.001 par value; 5,000 shares authorized, and no shares issued and outstanding as of</w:t>
            </w:r>
          </w:p>
        </w:tc>
        <w:tc>
          <w:tcPr>
            <w:tcW w:w="200" w:type="dxa"/>
            <w:vAlign w:val="bottom"/>
          </w:tcPr>
          <w:p>
            <w:pPr>
              <w:spacing w:after="0"/>
              <w:rPr>
                <w:sz w:val="14"/>
                <w:szCs w:val="14"/>
                <w:color w:val="auto"/>
              </w:rPr>
            </w:pPr>
          </w:p>
        </w:tc>
        <w:tc>
          <w:tcPr>
            <w:tcW w:w="15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200"/>
              <w:spacing w:after="0"/>
              <w:rPr>
                <w:sz w:val="20"/>
                <w:szCs w:val="20"/>
                <w:color w:val="auto"/>
              </w:rPr>
            </w:pPr>
            <w:r>
              <w:rPr>
                <w:rFonts w:ascii="Arial" w:cs="Arial" w:eastAsia="Arial" w:hAnsi="Arial"/>
                <w:sz w:val="18"/>
                <w:szCs w:val="18"/>
                <w:color w:val="auto"/>
              </w:rPr>
              <w:t>March 31, 2022 and December 31, 2021</w:t>
            </w:r>
          </w:p>
        </w:tc>
        <w:tc>
          <w:tcPr>
            <w:tcW w:w="2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3"/>
              </w:rPr>
              <w:t>Common stock, $0.001 par value; 300,000 shares authorized as of March 31, 2022 and December 31,</w:t>
            </w:r>
          </w:p>
        </w:tc>
        <w:tc>
          <w:tcPr>
            <w:tcW w:w="2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2"/>
              </w:rPr>
              <w:t>2021; 47,712 and 47,241 shares issued and outstanding as of March 31, 2022 and December 31, 2021,</w:t>
            </w:r>
          </w:p>
        </w:tc>
        <w:tc>
          <w:tcPr>
            <w:tcW w:w="20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1,008,940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1,000,212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(649 )</w:t>
            </w:r>
          </w:p>
        </w:tc>
        <w:tc>
          <w:tcPr>
            <w:tcW w:w="1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03"/>
        </w:trPr>
        <w:tc>
          <w:tcPr>
            <w:tcW w:w="786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(662,886 )</w:t>
            </w:r>
          </w:p>
        </w:tc>
        <w:tc>
          <w:tcPr>
            <w:tcW w:w="160" w:type="dxa"/>
            <w:vAlign w:val="bottom"/>
          </w:tcPr>
          <w:p>
            <w:pPr>
              <w:spacing w:after="0"/>
              <w:rPr>
                <w:sz w:val="17"/>
                <w:szCs w:val="17"/>
                <w:color w:val="auto"/>
              </w:rPr>
            </w:pPr>
          </w:p>
        </w:tc>
        <w:tc>
          <w:tcPr>
            <w:tcW w:w="1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(625,994 )</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345,453</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374,081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6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431,742</w:t>
            </w:r>
          </w:p>
        </w:tc>
        <w:tc>
          <w:tcPr>
            <w:tcW w:w="3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-4171315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-4171315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-3385820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-3368040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-2327910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-2327910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-1539240</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-1539240</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-159385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ind w:left="4140"/>
              <w:spacing w:after="0"/>
              <w:rPr>
                <w:sz w:val="20"/>
                <w:szCs w:val="20"/>
                <w:color w:val="auto"/>
              </w:rPr>
            </w:pPr>
            <w:r>
              <w:rPr>
                <w:rFonts w:ascii="Arial" w:cs="Arial" w:eastAsia="Arial" w:hAnsi="Arial"/>
                <w:sz w:val="18"/>
                <w:szCs w:val="18"/>
                <w:i w:val="1"/>
                <w:iCs w:val="1"/>
                <w:color w:val="auto"/>
              </w:rPr>
              <w:t>(in thousands, except per share amounts)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5"/>
        </w:trPr>
        <w:tc>
          <w:tcPr>
            <w:tcW w:w="7840" w:type="dxa"/>
            <w:vAlign w:val="bottom"/>
          </w:tcPr>
          <w:p>
            <w:pPr>
              <w:spacing w:after="0"/>
              <w:rPr>
                <w:sz w:val="24"/>
                <w:szCs w:val="24"/>
                <w:color w:val="auto"/>
              </w:rPr>
            </w:pPr>
          </w:p>
        </w:tc>
        <w:tc>
          <w:tcPr>
            <w:tcW w:w="340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Product revenue</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25,664</w:t>
            </w:r>
          </w:p>
        </w:tc>
        <w:tc>
          <w:tcPr>
            <w:tcW w:w="2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18,210</w:t>
            </w:r>
          </w:p>
        </w:tc>
        <w:tc>
          <w:tcPr>
            <w:tcW w:w="80" w:type="dxa"/>
            <w:vAlign w:val="bottom"/>
          </w:tcPr>
          <w:p>
            <w:pPr>
              <w:spacing w:after="0"/>
              <w:rPr>
                <w:sz w:val="17"/>
                <w:szCs w:val="17"/>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 and other revenue</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4,886</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4,706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color w:val="auto"/>
              </w:rPr>
              <w:t>Total revenue</w:t>
            </w:r>
          </w:p>
        </w:tc>
        <w:tc>
          <w:tcPr>
            <w:tcW w:w="9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30,550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22,916</w:t>
            </w:r>
          </w:p>
        </w:tc>
        <w:tc>
          <w:tcPr>
            <w:tcW w:w="80" w:type="dxa"/>
            <w:vAlign w:val="bottom"/>
          </w:tcPr>
          <w:p>
            <w:pPr>
              <w:spacing w:after="0"/>
              <w:rPr>
                <w:sz w:val="17"/>
                <w:szCs w:val="17"/>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Cost of product revenue</w:t>
            </w: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23,110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20,577</w:t>
            </w:r>
          </w:p>
        </w:tc>
        <w:tc>
          <w:tcPr>
            <w:tcW w:w="80" w:type="dxa"/>
            <w:vAlign w:val="bottom"/>
          </w:tcPr>
          <w:p>
            <w:pPr>
              <w:spacing w:after="0"/>
              <w:rPr>
                <w:sz w:val="17"/>
                <w:szCs w:val="17"/>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service and other revenue</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26,108</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22,627</w:t>
            </w:r>
          </w:p>
        </w:tc>
        <w:tc>
          <w:tcPr>
            <w:tcW w:w="80" w:type="dxa"/>
            <w:vAlign w:val="bottom"/>
          </w:tcPr>
          <w:p>
            <w:pPr>
              <w:spacing w:after="0"/>
              <w:rPr>
                <w:sz w:val="17"/>
                <w:szCs w:val="17"/>
                <w:color w:val="auto"/>
              </w:rPr>
            </w:pPr>
          </w:p>
        </w:tc>
      </w:tr>
      <w:tr>
        <w:trPr>
          <w:trHeight w:val="196"/>
        </w:trPr>
        <w:tc>
          <w:tcPr>
            <w:tcW w:w="7840" w:type="dxa"/>
            <w:vAlign w:val="bottom"/>
            <w:shd w:val="clear" w:color="auto" w:fill="CFF0FC"/>
          </w:tcPr>
          <w:p>
            <w:pPr>
              <w:ind w:left="480"/>
              <w:spacing w:after="0" w:line="196" w:lineRule="exact"/>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w:t>
            </w: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7,570</w:t>
            </w:r>
          </w:p>
        </w:tc>
        <w:tc>
          <w:tcPr>
            <w:tcW w:w="80" w:type="dxa"/>
            <w:vAlign w:val="bottom"/>
            <w:shd w:val="clear" w:color="auto" w:fill="CFF0FC"/>
          </w:tcPr>
          <w:p>
            <w:pPr>
              <w:spacing w:after="0"/>
              <w:rPr>
                <w:sz w:val="17"/>
                <w:szCs w:val="17"/>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20,377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13,149</w:t>
            </w:r>
          </w:p>
        </w:tc>
        <w:tc>
          <w:tcPr>
            <w:tcW w:w="80" w:type="dxa"/>
            <w:vAlign w:val="bottom"/>
          </w:tcPr>
          <w:p>
            <w:pPr>
              <w:spacing w:after="0"/>
              <w:rPr>
                <w:sz w:val="17"/>
                <w:szCs w:val="17"/>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9,709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9,246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40,917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29,965</w:t>
            </w:r>
          </w:p>
        </w:tc>
        <w:tc>
          <w:tcPr>
            <w:tcW w:w="80" w:type="dxa"/>
            <w:vAlign w:val="bottom"/>
          </w:tcPr>
          <w:p>
            <w:pPr>
              <w:spacing w:after="0"/>
              <w:rPr>
                <w:sz w:val="17"/>
                <w:szCs w:val="17"/>
                <w:color w:val="auto"/>
              </w:rPr>
            </w:pP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(36,475</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(29,676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and other income, net</w:t>
            </w:r>
          </w:p>
        </w:tc>
        <w:tc>
          <w:tcPr>
            <w:tcW w:w="9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(422 )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(422 )</w:t>
            </w: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(36,777</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(29,986</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2"/>
        </w:trPr>
        <w:tc>
          <w:tcPr>
            <w:tcW w:w="7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w w:val="88"/>
              </w:rPr>
              <w:t>(36,892 )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(30,025 )</w:t>
            </w:r>
          </w:p>
        </w:tc>
      </w:tr>
      <w:tr>
        <w:trPr>
          <w:trHeight w:val="20"/>
        </w:trPr>
        <w:tc>
          <w:tcPr>
            <w:tcW w:w="7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r>
      <w:tr>
        <w:trPr>
          <w:trHeight w:val="24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per share, basic and diluted</w:t>
            </w:r>
          </w:p>
        </w:tc>
        <w:tc>
          <w:tcPr>
            <w:tcW w:w="96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(0.78 )</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(0.70 )</w:t>
            </w:r>
          </w:p>
        </w:tc>
      </w:tr>
      <w:tr>
        <w:trPr>
          <w:trHeight w:val="183"/>
        </w:trPr>
        <w:tc>
          <w:tcPr>
            <w:tcW w:w="78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Shares used in computing net loss per share, basic and diluted</w:t>
            </w:r>
          </w:p>
        </w:tc>
        <w:tc>
          <w:tcPr>
            <w:tcW w:w="9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47,487</w:t>
            </w: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42,760</w:t>
            </w:r>
          </w:p>
        </w:tc>
        <w:tc>
          <w:tcPr>
            <w:tcW w:w="80" w:type="dxa"/>
            <w:vAlign w:val="bottom"/>
            <w:tcBorders>
              <w:top w:val="single" w:sz="8" w:color="CFF0FC"/>
            </w:tcBorders>
          </w:tcPr>
          <w:p>
            <w:pPr>
              <w:spacing w:after="0"/>
              <w:rPr>
                <w:sz w:val="15"/>
                <w:szCs w:val="15"/>
                <w:color w:val="auto"/>
              </w:rPr>
            </w:pPr>
          </w:p>
        </w:tc>
      </w:tr>
      <w:tr>
        <w:trPr>
          <w:trHeight w:val="20"/>
        </w:trPr>
        <w:tc>
          <w:tcPr>
            <w:tcW w:w="7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-2705100</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-2705100</wp:posOffset>
            </wp:positionV>
            <wp:extent cx="5143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-2182495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-2182495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-1393825</wp:posOffset>
            </wp:positionV>
            <wp:extent cx="5143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-1393825</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-596265</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-596265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-179070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-161925</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840" w:type="dxa"/>
            <w:vAlign w:val="bottom"/>
          </w:tcPr>
          <w:p>
            <w:pPr>
              <w:spacing w:after="0"/>
              <w:rPr>
                <w:sz w:val="19"/>
                <w:szCs w:val="19"/>
                <w:color w:val="auto"/>
              </w:rPr>
            </w:pPr>
          </w:p>
        </w:tc>
        <w:tc>
          <w:tcPr>
            <w:tcW w:w="340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8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7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(36,892</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(30,025</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9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(465 )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r>
      <w:tr>
        <w:trPr>
          <w:trHeight w:val="20"/>
        </w:trPr>
        <w:tc>
          <w:tcPr>
            <w:tcW w:w="78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96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w w:val="88"/>
              </w:rPr>
              <w:t>(37,357 )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(30,034 )</w:t>
            </w:r>
          </w:p>
        </w:tc>
      </w:tr>
      <w:tr>
        <w:trPr>
          <w:trHeight w:val="20"/>
        </w:trPr>
        <w:tc>
          <w:tcPr>
            <w:tcW w:w="7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-159385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39"/>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60" w:type="dxa"/>
            <w:vAlign w:val="bottom"/>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119"/>
              <w:spacing w:after="0" w:line="162" w:lineRule="exact"/>
              <w:rPr>
                <w:sz w:val="20"/>
                <w:szCs w:val="20"/>
                <w:color w:val="auto"/>
              </w:rPr>
            </w:pPr>
            <w:r>
              <w:rPr>
                <w:rFonts w:ascii="Arial" w:cs="Arial" w:eastAsia="Arial" w:hAnsi="Arial"/>
                <w:sz w:val="16"/>
                <w:szCs w:val="16"/>
                <w:b w:val="1"/>
                <w:bCs w:val="1"/>
                <w:color w:val="auto"/>
                <w:w w:val="89"/>
              </w:rPr>
              <w:t>Comprehensiv</w:t>
            </w:r>
          </w:p>
        </w:tc>
        <w:tc>
          <w:tcPr>
            <w:tcW w:w="1260" w:type="dxa"/>
            <w:vAlign w:val="bottom"/>
            <w:gridSpan w:val="3"/>
            <w:vMerge w:val="restart"/>
          </w:tcPr>
          <w:p>
            <w:pPr>
              <w:jc w:val="right"/>
              <w:ind w:right="199"/>
              <w:spacing w:after="0"/>
              <w:rPr>
                <w:sz w:val="20"/>
                <w:szCs w:val="20"/>
                <w:color w:val="auto"/>
              </w:rPr>
            </w:pPr>
            <w:r>
              <w:rPr>
                <w:rFonts w:ascii="Arial" w:cs="Arial" w:eastAsia="Arial" w:hAnsi="Arial"/>
                <w:sz w:val="16"/>
                <w:szCs w:val="16"/>
                <w:b w:val="1"/>
                <w:bCs w:val="1"/>
                <w:color w:val="auto"/>
                <w:w w:val="95"/>
              </w:rPr>
              <w:t>Accumulated</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rPr>
              <w:t>Paid-in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19"/>
              <w:spacing w:after="0"/>
              <w:rPr>
                <w:sz w:val="20"/>
                <w:szCs w:val="20"/>
                <w:color w:val="auto"/>
              </w:rPr>
            </w:pPr>
            <w:r>
              <w:rPr>
                <w:rFonts w:ascii="Arial" w:cs="Arial" w:eastAsia="Arial" w:hAnsi="Arial"/>
                <w:sz w:val="16"/>
                <w:szCs w:val="16"/>
                <w:b w:val="1"/>
                <w:bCs w:val="1"/>
                <w:color w:val="auto"/>
                <w:w w:val="89"/>
              </w:rPr>
              <w:t>e</w:t>
            </w:r>
          </w:p>
        </w:tc>
        <w:tc>
          <w:tcPr>
            <w:tcW w:w="1260" w:type="dxa"/>
            <w:vAlign w:val="bottom"/>
            <w:gridSpan w:val="3"/>
            <w:vMerge w:val="continue"/>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040" w:type="dxa"/>
            <w:vAlign w:val="bottom"/>
          </w:tcPr>
          <w:p>
            <w:pPr>
              <w:jc w:val="right"/>
              <w:ind w:right="199"/>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9"/>
              <w:spacing w:after="0" w:line="183" w:lineRule="exact"/>
              <w:rPr>
                <w:sz w:val="20"/>
                <w:szCs w:val="20"/>
                <w:color w:val="auto"/>
              </w:rPr>
            </w:pPr>
            <w:r>
              <w:rPr>
                <w:rFonts w:ascii="Arial" w:cs="Arial" w:eastAsia="Arial" w:hAnsi="Arial"/>
                <w:sz w:val="16"/>
                <w:szCs w:val="16"/>
                <w:b w:val="1"/>
                <w:bCs w:val="1"/>
                <w:color w:val="auto"/>
              </w:rPr>
              <w:t>Capital</w:t>
            </w:r>
          </w:p>
        </w:tc>
        <w:tc>
          <w:tcPr>
            <w:tcW w:w="200" w:type="dxa"/>
            <w:vAlign w:val="bottom"/>
          </w:tcPr>
          <w:p>
            <w:pPr>
              <w:spacing w:after="0"/>
              <w:rPr>
                <w:sz w:val="15"/>
                <w:szCs w:val="15"/>
                <w:color w:val="auto"/>
              </w:rPr>
            </w:pPr>
          </w:p>
        </w:tc>
        <w:tc>
          <w:tcPr>
            <w:tcW w:w="1280" w:type="dxa"/>
            <w:vAlign w:val="bottom"/>
            <w:gridSpan w:val="3"/>
          </w:tcPr>
          <w:p>
            <w:pPr>
              <w:jc w:val="center"/>
              <w:ind w:right="139"/>
              <w:spacing w:after="0" w:line="183" w:lineRule="exact"/>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5"/>
                <w:szCs w:val="15"/>
                <w:color w:val="auto"/>
              </w:rPr>
            </w:pPr>
          </w:p>
        </w:tc>
        <w:tc>
          <w:tcPr>
            <w:tcW w:w="1060" w:type="dxa"/>
            <w:vAlign w:val="bottom"/>
            <w:gridSpan w:val="2"/>
          </w:tcPr>
          <w:p>
            <w:pPr>
              <w:jc w:val="right"/>
              <w:ind w:right="419"/>
              <w:spacing w:after="0" w:line="183" w:lineRule="exact"/>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5"/>
                <w:szCs w:val="15"/>
                <w:color w:val="auto"/>
              </w:rPr>
            </w:pPr>
          </w:p>
        </w:tc>
        <w:tc>
          <w:tcPr>
            <w:tcW w:w="940" w:type="dxa"/>
            <w:vAlign w:val="bottom"/>
          </w:tcPr>
          <w:p>
            <w:pPr>
              <w:jc w:val="center"/>
              <w:ind w:right="179"/>
              <w:spacing w:after="0" w:line="183" w:lineRule="exact"/>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2021</w:t>
            </w: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47,241</w:t>
            </w:r>
          </w:p>
        </w:tc>
        <w:tc>
          <w:tcPr>
            <w:tcW w:w="200" w:type="dxa"/>
            <w:vAlign w:val="bottom"/>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ind w:right="639"/>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w:t>
            </w: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1,000,212</w:t>
            </w:r>
          </w:p>
        </w:tc>
        <w:tc>
          <w:tcPr>
            <w:tcW w:w="2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(184</w:t>
            </w:r>
          </w:p>
        </w:tc>
        <w:tc>
          <w:tcPr>
            <w:tcW w:w="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(625,994</w:t>
            </w:r>
          </w:p>
        </w:tc>
        <w:tc>
          <w:tcPr>
            <w:tcW w:w="2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374,081</w:t>
            </w:r>
          </w:p>
        </w:tc>
        <w:tc>
          <w:tcPr>
            <w:tcW w:w="0" w:type="dxa"/>
            <w:vAlign w:val="bottom"/>
          </w:tcPr>
          <w:p>
            <w:pPr>
              <w:spacing w:after="0"/>
              <w:rPr>
                <w:sz w:val="1"/>
                <w:szCs w:val="1"/>
                <w:color w:val="auto"/>
              </w:rPr>
            </w:pPr>
          </w:p>
        </w:tc>
      </w:tr>
      <w:tr>
        <w:trPr>
          <w:trHeight w:val="152"/>
        </w:trPr>
        <w:tc>
          <w:tcPr>
            <w:tcW w:w="3860" w:type="dxa"/>
            <w:vAlign w:val="bottom"/>
          </w:tcPr>
          <w:p>
            <w:pPr>
              <w:ind w:left="200"/>
              <w:spacing w:after="0" w:line="152" w:lineRule="exact"/>
              <w:rPr>
                <w:sz w:val="20"/>
                <w:szCs w:val="20"/>
                <w:color w:val="auto"/>
              </w:rPr>
            </w:pPr>
            <w:r>
              <w:rPr>
                <w:rFonts w:ascii="Arial" w:cs="Arial" w:eastAsia="Arial" w:hAnsi="Arial"/>
                <w:sz w:val="16"/>
                <w:szCs w:val="16"/>
                <w:color w:val="auto"/>
              </w:rPr>
              <w:t>Issuance of common stock through employee stock</w:t>
            </w: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200"/>
              <w:spacing w:after="0" w:line="162" w:lineRule="exact"/>
              <w:rPr>
                <w:sz w:val="20"/>
                <w:szCs w:val="20"/>
                <w:color w:val="auto"/>
              </w:rPr>
            </w:pPr>
            <w:r>
              <w:rPr>
                <w:rFonts w:ascii="Arial" w:cs="Arial" w:eastAsia="Arial" w:hAnsi="Arial"/>
                <w:sz w:val="16"/>
                <w:szCs w:val="16"/>
                <w:color w:val="auto"/>
              </w:rPr>
              <w:t>purchase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2,063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6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199"/>
        </w:trPr>
        <w:tc>
          <w:tcPr>
            <w:tcW w:w="3860" w:type="dxa"/>
            <w:vAlign w:val="bottom"/>
          </w:tcPr>
          <w:p>
            <w:pPr>
              <w:ind w:left="280"/>
              <w:spacing w:after="0"/>
              <w:rPr>
                <w:sz w:val="20"/>
                <w:szCs w:val="20"/>
                <w:color w:val="auto"/>
              </w:rPr>
            </w:pPr>
            <w:r>
              <w:rPr>
                <w:rFonts w:ascii="Arial" w:cs="Arial" w:eastAsia="Arial" w:hAnsi="Arial"/>
                <w:sz w:val="16"/>
                <w:szCs w:val="16"/>
                <w:color w:val="auto"/>
              </w:rPr>
              <w:t>plan</w:t>
            </w:r>
          </w:p>
        </w:tc>
        <w:tc>
          <w:tcPr>
            <w:tcW w:w="10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860" w:type="dxa"/>
            <w:vAlign w:val="bottom"/>
          </w:tcPr>
          <w:p>
            <w:pPr>
              <w:ind w:left="200"/>
              <w:spacing w:after="0"/>
              <w:rPr>
                <w:sz w:val="20"/>
                <w:szCs w:val="20"/>
                <w:color w:val="auto"/>
              </w:rPr>
            </w:pPr>
            <w:r>
              <w:rPr>
                <w:rFonts w:ascii="Arial" w:cs="Arial" w:eastAsia="Arial" w:hAnsi="Arial"/>
                <w:sz w:val="16"/>
                <w:szCs w:val="16"/>
                <w:color w:val="auto"/>
              </w:rPr>
              <w:t>Stock option exercises</w:t>
            </w:r>
          </w:p>
        </w:tc>
        <w:tc>
          <w:tcPr>
            <w:tcW w:w="1040" w:type="dxa"/>
            <w:vAlign w:val="bottom"/>
          </w:tcPr>
          <w:p>
            <w:pPr>
              <w:jc w:val="right"/>
              <w:spacing w:after="0"/>
              <w:rPr>
                <w:sz w:val="20"/>
                <w:szCs w:val="20"/>
                <w:color w:val="auto"/>
              </w:rPr>
            </w:pPr>
            <w:r>
              <w:rPr>
                <w:rFonts w:ascii="Arial" w:cs="Arial" w:eastAsia="Arial" w:hAnsi="Arial"/>
                <w:sz w:val="16"/>
                <w:szCs w:val="16"/>
                <w:color w:val="auto"/>
              </w:rPr>
              <w:t>328</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5,006</w:t>
            </w:r>
          </w:p>
        </w:tc>
        <w:tc>
          <w:tcPr>
            <w:tcW w:w="0" w:type="dxa"/>
            <w:vAlign w:val="bottom"/>
          </w:tcPr>
          <w:p>
            <w:pPr>
              <w:spacing w:after="0"/>
              <w:rPr>
                <w:sz w:val="1"/>
                <w:szCs w:val="1"/>
                <w:color w:val="auto"/>
              </w:rPr>
            </w:pPr>
          </w:p>
        </w:tc>
      </w:tr>
      <w:tr>
        <w:trPr>
          <w:trHeight w:val="189"/>
        </w:trPr>
        <w:tc>
          <w:tcPr>
            <w:tcW w:w="3860" w:type="dxa"/>
            <w:vAlign w:val="bottom"/>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Arial" w:cs="Arial" w:eastAsia="Arial" w:hAnsi="Arial"/>
                <w:sz w:val="16"/>
                <w:szCs w:val="16"/>
                <w:color w:val="auto"/>
              </w:rPr>
              <w:t>(465 )</w:t>
            </w:r>
          </w:p>
        </w:tc>
        <w:tc>
          <w:tcPr>
            <w:tcW w:w="200" w:type="dxa"/>
            <w:vAlign w:val="bottom"/>
          </w:tcPr>
          <w:p>
            <w:pPr>
              <w:spacing w:after="0"/>
              <w:rPr>
                <w:sz w:val="16"/>
                <w:szCs w:val="16"/>
                <w:color w:val="auto"/>
              </w:rPr>
            </w:pPr>
          </w:p>
        </w:tc>
        <w:tc>
          <w:tcPr>
            <w:tcW w:w="10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(36,892 )</w:t>
            </w:r>
          </w:p>
        </w:tc>
        <w:tc>
          <w:tcPr>
            <w:tcW w:w="2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(36,892 )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as of March 31, 2022</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47,712</w:t>
            </w:r>
          </w:p>
        </w:tc>
        <w:tc>
          <w:tcPr>
            <w:tcW w:w="200" w:type="dxa"/>
            <w:vAlign w:val="bottom"/>
          </w:tcPr>
          <w:p>
            <w:pPr>
              <w:spacing w:after="0"/>
              <w:rPr>
                <w:sz w:val="15"/>
                <w:szCs w:val="15"/>
                <w:color w:val="auto"/>
              </w:rPr>
            </w:pPr>
          </w:p>
        </w:tc>
        <w:tc>
          <w:tcPr>
            <w:tcW w:w="820" w:type="dxa"/>
            <w:vAlign w:val="bottom"/>
          </w:tcPr>
          <w:p>
            <w:pPr>
              <w:jc w:val="right"/>
              <w:ind w:right="639"/>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20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1,008,940</w:t>
            </w:r>
          </w:p>
        </w:tc>
        <w:tc>
          <w:tcPr>
            <w:tcW w:w="200" w:type="dxa"/>
            <w:vAlign w:val="bottom"/>
          </w:tcPr>
          <w:p>
            <w:pPr>
              <w:spacing w:after="0"/>
              <w:rPr>
                <w:sz w:val="15"/>
                <w:szCs w:val="15"/>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(649 )</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(662,886 )</w:t>
            </w:r>
          </w:p>
        </w:tc>
        <w:tc>
          <w:tcPr>
            <w:tcW w:w="200" w:type="dxa"/>
            <w:vAlign w:val="bottom"/>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345,453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-150495</wp:posOffset>
            </wp:positionV>
            <wp:extent cx="342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-150495</wp:posOffset>
            </wp:positionV>
            <wp:extent cx="342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-150495</wp:posOffset>
            </wp:positionV>
            <wp:extent cx="3429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-150495</wp:posOffset>
            </wp:positionV>
            <wp:extent cx="431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-150495</wp:posOffset>
            </wp:positionV>
            <wp:extent cx="4254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-150495</wp:posOffset>
            </wp:positionV>
            <wp:extent cx="431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Stockholders’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99"/>
              <w:spacing w:after="0" w:line="162" w:lineRule="exact"/>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98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99"/>
              <w:spacing w:after="0" w:line="162" w:lineRule="exact"/>
              <w:rPr>
                <w:sz w:val="20"/>
                <w:szCs w:val="20"/>
                <w:color w:val="auto"/>
              </w:rPr>
            </w:pPr>
            <w:r>
              <w:rPr>
                <w:rFonts w:ascii="Arial" w:cs="Arial" w:eastAsia="Arial" w:hAnsi="Arial"/>
                <w:sz w:val="16"/>
                <w:szCs w:val="16"/>
                <w:b w:val="1"/>
                <w:bCs w:val="1"/>
                <w:color w:val="auto"/>
                <w:w w:val="91"/>
              </w:rPr>
              <w:t>Comprehensiv</w:t>
            </w:r>
          </w:p>
        </w:tc>
        <w:tc>
          <w:tcPr>
            <w:tcW w:w="1240" w:type="dxa"/>
            <w:vAlign w:val="bottom"/>
            <w:gridSpan w:val="3"/>
            <w:vMerge w:val="restart"/>
          </w:tcPr>
          <w:p>
            <w:pPr>
              <w:jc w:val="right"/>
              <w:ind w:right="179"/>
              <w:spacing w:after="0"/>
              <w:rPr>
                <w:sz w:val="20"/>
                <w:szCs w:val="20"/>
                <w:color w:val="auto"/>
              </w:rPr>
            </w:pPr>
            <w:r>
              <w:rPr>
                <w:rFonts w:ascii="Arial" w:cs="Arial" w:eastAsia="Arial" w:hAnsi="Arial"/>
                <w:sz w:val="16"/>
                <w:szCs w:val="16"/>
                <w:b w:val="1"/>
                <w:bCs w:val="1"/>
                <w:color w:val="auto"/>
                <w:w w:val="95"/>
              </w:rPr>
              <w:t>Accumulated</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98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99"/>
              <w:spacing w:after="0"/>
              <w:rPr>
                <w:sz w:val="20"/>
                <w:szCs w:val="20"/>
                <w:color w:val="auto"/>
              </w:rPr>
            </w:pPr>
            <w:r>
              <w:rPr>
                <w:rFonts w:ascii="Arial" w:cs="Arial" w:eastAsia="Arial" w:hAnsi="Arial"/>
                <w:sz w:val="15"/>
                <w:szCs w:val="15"/>
                <w:b w:val="1"/>
                <w:bCs w:val="1"/>
                <w:color w:val="auto"/>
                <w:w w:val="71"/>
              </w:rPr>
              <w:t>e</w:t>
            </w:r>
          </w:p>
        </w:tc>
        <w:tc>
          <w:tcPr>
            <w:tcW w:w="1240" w:type="dxa"/>
            <w:vAlign w:val="bottom"/>
            <w:gridSpan w:val="3"/>
            <w:vMerge w:val="continue"/>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1000" w:type="dxa"/>
            <w:vAlign w:val="bottom"/>
          </w:tcPr>
          <w:p>
            <w:pPr>
              <w:jc w:val="right"/>
              <w:ind w:right="179"/>
              <w:spacing w:after="0" w:line="183" w:lineRule="exact"/>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9"/>
              <w:spacing w:after="0" w:line="183" w:lineRule="exact"/>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5"/>
                <w:szCs w:val="15"/>
                <w:color w:val="auto"/>
              </w:rPr>
            </w:pPr>
          </w:p>
        </w:tc>
        <w:tc>
          <w:tcPr>
            <w:tcW w:w="1240" w:type="dxa"/>
            <w:vAlign w:val="bottom"/>
            <w:gridSpan w:val="3"/>
          </w:tcPr>
          <w:p>
            <w:pPr>
              <w:jc w:val="center"/>
              <w:ind w:right="99"/>
              <w:spacing w:after="0" w:line="183" w:lineRule="exact"/>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5"/>
                <w:szCs w:val="15"/>
                <w:color w:val="auto"/>
              </w:rPr>
            </w:pPr>
          </w:p>
        </w:tc>
        <w:tc>
          <w:tcPr>
            <w:tcW w:w="1040" w:type="dxa"/>
            <w:vAlign w:val="bottom"/>
            <w:gridSpan w:val="2"/>
          </w:tcPr>
          <w:p>
            <w:pPr>
              <w:jc w:val="right"/>
              <w:ind w:right="399"/>
              <w:spacing w:after="0" w:line="183" w:lineRule="exact"/>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line="183"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83"/>
        </w:trPr>
        <w:tc>
          <w:tcPr>
            <w:tcW w:w="4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December 31, 2020</w:t>
            </w:r>
          </w:p>
        </w:tc>
        <w:tc>
          <w:tcPr>
            <w:tcW w:w="10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42,722</w:t>
            </w:r>
          </w:p>
        </w:tc>
        <w:tc>
          <w:tcPr>
            <w:tcW w:w="18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822,624</w:t>
            </w:r>
          </w:p>
        </w:tc>
        <w:tc>
          <w:tcPr>
            <w:tcW w:w="1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(494,059</w:t>
            </w:r>
          </w:p>
        </w:tc>
        <w:tc>
          <w:tcPr>
            <w:tcW w:w="2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328,609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100" w:type="dxa"/>
            <w:vAlign w:val="bottom"/>
          </w:tcPr>
          <w:p>
            <w:pPr>
              <w:ind w:left="200"/>
              <w:spacing w:after="0" w:line="152" w:lineRule="exact"/>
              <w:rPr>
                <w:sz w:val="20"/>
                <w:szCs w:val="20"/>
                <w:color w:val="auto"/>
              </w:rPr>
            </w:pPr>
            <w:r>
              <w:rPr>
                <w:rFonts w:ascii="Arial" w:cs="Arial" w:eastAsia="Arial" w:hAnsi="Arial"/>
                <w:sz w:val="16"/>
                <w:szCs w:val="16"/>
                <w:color w:val="auto"/>
              </w:rPr>
              <w:t>Issuance of common stock through employee stock</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0"/>
              <w:spacing w:after="0" w:line="162" w:lineRule="exact"/>
              <w:rPr>
                <w:sz w:val="20"/>
                <w:szCs w:val="20"/>
                <w:color w:val="auto"/>
              </w:rPr>
            </w:pPr>
            <w:r>
              <w:rPr>
                <w:rFonts w:ascii="Arial" w:cs="Arial" w:eastAsia="Arial" w:hAnsi="Arial"/>
                <w:sz w:val="16"/>
                <w:szCs w:val="16"/>
                <w:color w:val="auto"/>
              </w:rPr>
              <w:t>purchase</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1,838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1,838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100" w:type="dxa"/>
            <w:vAlign w:val="bottom"/>
          </w:tcPr>
          <w:p>
            <w:pPr>
              <w:ind w:left="280"/>
              <w:spacing w:after="0"/>
              <w:rPr>
                <w:sz w:val="20"/>
                <w:szCs w:val="20"/>
                <w:color w:val="auto"/>
              </w:rPr>
            </w:pPr>
            <w:r>
              <w:rPr>
                <w:rFonts w:ascii="Arial" w:cs="Arial" w:eastAsia="Arial" w:hAnsi="Arial"/>
                <w:sz w:val="16"/>
                <w:szCs w:val="16"/>
                <w:color w:val="auto"/>
              </w:rPr>
              <w:t>plan</w:t>
            </w:r>
          </w:p>
        </w:tc>
        <w:tc>
          <w:tcPr>
            <w:tcW w:w="1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 option exercises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5,852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loss on available-for-sale securities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(9 )</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9"/>
        </w:trPr>
        <w:tc>
          <w:tcPr>
            <w:tcW w:w="41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39"/>
              <w:spacing w:after="0"/>
              <w:rPr>
                <w:sz w:val="20"/>
                <w:szCs w:val="20"/>
                <w:color w:val="auto"/>
              </w:rPr>
            </w:pPr>
            <w:r>
              <w:rPr>
                <w:rFonts w:ascii="Arial" w:cs="Arial" w:eastAsia="Arial" w:hAnsi="Arial"/>
                <w:sz w:val="16"/>
                <w:szCs w:val="16"/>
                <w:color w:val="auto"/>
              </w:rPr>
              <w:t>(30,025 )</w:t>
            </w:r>
          </w:p>
        </w:tc>
        <w:tc>
          <w:tcPr>
            <w:tcW w:w="1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(30,025 )</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as of March 31, 2021</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42,888</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830,694</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w:t>
            </w:r>
          </w:p>
        </w:tc>
        <w:tc>
          <w:tcPr>
            <w:tcW w:w="18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(524,084</w:t>
            </w:r>
          </w:p>
        </w:tc>
        <w:tc>
          <w:tcPr>
            <w:tcW w:w="200" w:type="dxa"/>
            <w:vAlign w:val="bottom"/>
            <w:tcBorders>
              <w:bottom w:val="single" w:sz="8" w:color="CFF0FC"/>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306,645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-24765</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43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43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80" w:type="dxa"/>
            <w:vAlign w:val="bottom"/>
          </w:tcPr>
          <w:p>
            <w:pPr>
              <w:spacing w:after="0"/>
              <w:rPr>
                <w:sz w:val="19"/>
                <w:szCs w:val="19"/>
                <w:color w:val="auto"/>
              </w:rPr>
            </w:pPr>
          </w:p>
        </w:tc>
        <w:tc>
          <w:tcPr>
            <w:tcW w:w="3560" w:type="dxa"/>
            <w:vAlign w:val="bottom"/>
            <w:gridSpan w:val="7"/>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r>
      <w:tr>
        <w:trPr>
          <w:trHeight w:val="196"/>
        </w:trPr>
        <w:tc>
          <w:tcPr>
            <w:tcW w:w="76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(36,892 )</w:t>
            </w:r>
          </w:p>
        </w:tc>
        <w:tc>
          <w:tcPr>
            <w:tcW w:w="16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(30,025 )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5,852</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1,246</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249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Accretion of discount on investments, net</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inventories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non-cash items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(1,299 )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(5,646 )</w:t>
            </w: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Inventories</w:t>
            </w:r>
          </w:p>
        </w:tc>
        <w:tc>
          <w:tcPr>
            <w:tcW w:w="10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(4,184 )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(7,247 )</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(981 )</w:t>
            </w:r>
          </w:p>
        </w:tc>
      </w:tr>
      <w:tr>
        <w:trPr>
          <w:trHeight w:val="202"/>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Accrued payroll and related benefits</w:t>
            </w:r>
          </w:p>
        </w:tc>
        <w:tc>
          <w:tcPr>
            <w:tcW w:w="10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(11,470 )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(4,244 )</w:t>
            </w: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Accrued warranty liability</w:t>
            </w:r>
          </w:p>
        </w:tc>
        <w:tc>
          <w:tcPr>
            <w:tcW w:w="10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(53 )</w:t>
            </w: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Operating lease liabilities</w:t>
            </w:r>
          </w:p>
        </w:tc>
        <w:tc>
          <w:tcPr>
            <w:tcW w:w="10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(169 )</w:t>
            </w:r>
          </w:p>
        </w:tc>
      </w:tr>
      <w:tr>
        <w:trPr>
          <w:trHeight w:val="183"/>
        </w:trPr>
        <w:tc>
          <w:tcPr>
            <w:tcW w:w="7680" w:type="dxa"/>
            <w:vAlign w:val="bottom"/>
            <w:tcBorders>
              <w:top w:val="single" w:sz="8" w:color="CFF0FC"/>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4"/>
              </w:rPr>
              <w:t>(38,335</w:t>
            </w:r>
          </w:p>
        </w:tc>
        <w:tc>
          <w:tcPr>
            <w:tcW w:w="10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(38,616</w:t>
            </w:r>
          </w:p>
        </w:tc>
        <w:tc>
          <w:tcPr>
            <w:tcW w:w="8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10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(1,478 )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(919 )</w:t>
            </w: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 securities</w:t>
            </w:r>
          </w:p>
        </w:tc>
        <w:tc>
          <w:tcPr>
            <w:tcW w:w="10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(64,712 )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(25,788 )</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maturities of investment securities</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19,900</w:t>
            </w:r>
          </w:p>
        </w:tc>
        <w:tc>
          <w:tcPr>
            <w:tcW w:w="80" w:type="dxa"/>
            <w:vAlign w:val="bottom"/>
            <w:shd w:val="clear" w:color="auto" w:fill="CFF0FC"/>
          </w:tcPr>
          <w:p>
            <w:pPr>
              <w:spacing w:after="0"/>
              <w:rPr>
                <w:sz w:val="17"/>
                <w:szCs w:val="17"/>
                <w:color w:val="auto"/>
              </w:rPr>
            </w:pPr>
          </w:p>
        </w:tc>
      </w:tr>
      <w:tr>
        <w:trPr>
          <w:trHeight w:val="183"/>
        </w:trPr>
        <w:tc>
          <w:tcPr>
            <w:tcW w:w="7680" w:type="dxa"/>
            <w:vAlign w:val="bottom"/>
          </w:tcPr>
          <w:p>
            <w:pPr>
              <w:ind w:left="20"/>
              <w:spacing w:after="0" w:line="182" w:lineRule="exact"/>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4"/>
              </w:rPr>
              <w:t>(33,390</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(6,807</w:t>
            </w:r>
          </w:p>
        </w:tc>
        <w:tc>
          <w:tcPr>
            <w:tcW w:w="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Borders>
              <w:bottom w:val="single" w:sz="8" w:color="CFF0FC"/>
            </w:tcBorders>
          </w:tcPr>
          <w:p>
            <w:pPr>
              <w:ind w:left="200"/>
              <w:spacing w:after="0" w:line="202" w:lineRule="exact"/>
              <w:rPr>
                <w:sz w:val="20"/>
                <w:szCs w:val="20"/>
                <w:color w:val="auto"/>
              </w:rPr>
            </w:pPr>
            <w:r>
              <w:rPr>
                <w:rFonts w:ascii="Arial" w:cs="Arial" w:eastAsia="Arial" w:hAnsi="Arial"/>
                <w:sz w:val="18"/>
                <w:szCs w:val="18"/>
                <w:color w:val="auto"/>
              </w:rPr>
              <w:t>Proceeds from stock option exercises and employee stock purchase plan purchases</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3,723</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80" w:type="dxa"/>
            <w:vAlign w:val="bottom"/>
            <w:tcBorders>
              <w:bottom w:val="single" w:sz="8" w:color="CFF0FC"/>
            </w:tcBorders>
          </w:tcPr>
          <w:p>
            <w:pPr>
              <w:spacing w:after="0"/>
              <w:rPr>
                <w:sz w:val="17"/>
                <w:szCs w:val="17"/>
                <w:color w:val="auto"/>
              </w:rPr>
            </w:pPr>
          </w:p>
        </w:tc>
      </w:tr>
      <w:tr>
        <w:trPr>
          <w:trHeight w:val="183"/>
        </w:trPr>
        <w:tc>
          <w:tcPr>
            <w:tcW w:w="76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3,723</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2,218</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102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(68,002 )</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(43,205 )</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as of beginning of period</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215,659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328,283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as of end of period</w:t>
            </w:r>
          </w:p>
        </w:tc>
        <w:tc>
          <w:tcPr>
            <w:tcW w:w="10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147,657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285,078</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Supplemental cash flow disclosures: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paid for income taxes</w:t>
            </w:r>
          </w:p>
        </w:tc>
        <w:tc>
          <w:tcPr>
            <w:tcW w:w="102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shd w:val="clear" w:color="auto" w:fill="CFF0FC"/>
          </w:tcPr>
          <w:p>
            <w:pPr>
              <w:jc w:val="right"/>
              <w:ind w:right="810"/>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282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1020" w:type="dxa"/>
            <w:vAlign w:val="bottom"/>
            <w:tcBorders>
              <w:bottom w:val="single" w:sz="8" w:color="auto"/>
            </w:tcBorders>
          </w:tcPr>
          <w:p>
            <w:pPr>
              <w:jc w:val="right"/>
              <w:ind w:right="810"/>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169</w:t>
            </w:r>
          </w:p>
        </w:tc>
        <w:tc>
          <w:tcPr>
            <w:tcW w:w="8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non-cash investing and financing activities:</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 included in accounts payable and accrued expenses</w:t>
            </w:r>
          </w:p>
        </w:tc>
        <w:tc>
          <w:tcPr>
            <w:tcW w:w="1020" w:type="dxa"/>
            <w:vAlign w:val="bottom"/>
            <w:tcBorders>
              <w:bottom w:val="single" w:sz="8" w:color="auto"/>
            </w:tcBorders>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w:t>
            </w:r>
          </w:p>
        </w:tc>
        <w:tc>
          <w:tcPr>
            <w:tcW w:w="8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Transfer of inventories to property and equipment</w:t>
            </w:r>
          </w:p>
        </w:tc>
        <w:tc>
          <w:tcPr>
            <w:tcW w:w="1020" w:type="dxa"/>
            <w:vAlign w:val="bottom"/>
            <w:tcBorders>
              <w:bottom w:val="single" w:sz="8" w:color="auto"/>
            </w:tcBorders>
            <w:shd w:val="clear" w:color="auto" w:fill="CFF0FC"/>
          </w:tcPr>
          <w:p>
            <w:pPr>
              <w:jc w:val="right"/>
              <w:ind w:right="810"/>
              <w:spacing w:after="0" w:line="18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962</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-2772410</wp:posOffset>
            </wp:positionV>
            <wp:extent cx="7683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-2772410</wp:posOffset>
            </wp:positionV>
            <wp:extent cx="7683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-2120900</wp:posOffset>
            </wp:positionV>
            <wp:extent cx="7683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-2120900</wp:posOffset>
            </wp:positionV>
            <wp:extent cx="76835"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-1726565</wp:posOffset>
            </wp:positionV>
            <wp:extent cx="76835"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-1726565</wp:posOffset>
            </wp:positionV>
            <wp:extent cx="76835"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-1316355</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-1316355</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-616585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-599440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-599440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Outset Medical,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8" w:lineRule="exact"/>
        <w:rPr>
          <w:sz w:val="20"/>
          <w:szCs w:val="20"/>
          <w:color w:val="auto"/>
        </w:rPr>
      </w:pPr>
    </w:p>
    <w:p>
      <w:pPr>
        <w:ind w:firstLine="569"/>
        <w:spacing w:after="0" w:line="255" w:lineRule="auto"/>
        <w:rPr>
          <w:sz w:val="20"/>
          <w:szCs w:val="20"/>
          <w:color w:val="auto"/>
        </w:rPr>
      </w:pPr>
      <w:r>
        <w:rPr>
          <w:rFonts w:ascii="Arial" w:cs="Arial" w:eastAsia="Arial" w:hAnsi="Arial"/>
          <w:sz w:val="17"/>
          <w:szCs w:val="17"/>
          <w:color w:val="auto"/>
        </w:rPr>
        <w:t>Outset Medical, Inc. (the Company) is a medical technology company pioneering a first-of-its-kind technology to reduce the cost and complexity of dialysis. The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jc w:val="both"/>
        <w:ind w:right="40" w:firstLine="569"/>
        <w:spacing w:after="0" w:line="248"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three months ended March 31, 2022 and 2021, the Company incurred a net loss of $36.9 million and $30.0 million, respectively. As of March 31, 2022, the Company had an accumulated deficit of $662.9 million.</w:t>
      </w:r>
    </w:p>
    <w:p>
      <w:pPr>
        <w:spacing w:after="0" w:line="74" w:lineRule="exact"/>
        <w:rPr>
          <w:sz w:val="20"/>
          <w:szCs w:val="20"/>
          <w:color w:val="auto"/>
        </w:rPr>
      </w:pPr>
    </w:p>
    <w:p>
      <w:pPr>
        <w:ind w:right="60" w:firstLine="569"/>
        <w:spacing w:after="0"/>
        <w:rPr>
          <w:sz w:val="20"/>
          <w:szCs w:val="20"/>
          <w:color w:val="auto"/>
        </w:rPr>
      </w:pPr>
      <w:r>
        <w:rPr>
          <w:rFonts w:ascii="Arial" w:cs="Arial" w:eastAsia="Arial" w:hAnsi="Arial"/>
          <w:sz w:val="18"/>
          <w:szCs w:val="18"/>
          <w:color w:val="auto"/>
        </w:rPr>
        <w:t>As of March 31, 2022, the Company had cash, cash equivalents and short-term investments of $302.3 million, which are available to fund future operations, and restricted cash of $33.3 million, for a total cash, cash equivalents, restricted cash and short-term investments balance of $335.6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and cash generated from sales, will be sufficient to meet its anticipated needs for at least the next 12 months from the issuance date of the accompanying condensed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40" w:firstLine="569"/>
        <w:spacing w:after="0" w:line="255" w:lineRule="auto"/>
        <w:rPr>
          <w:sz w:val="20"/>
          <w:szCs w:val="20"/>
          <w:color w:val="auto"/>
        </w:rPr>
      </w:pPr>
      <w:r>
        <w:rPr>
          <w:rFonts w:ascii="Arial" w:cs="Arial" w:eastAsia="Arial" w:hAnsi="Arial"/>
          <w:sz w:val="17"/>
          <w:szCs w:val="17"/>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three-month period are also unaudited. The results of operations for the three months ended March 31, 2022 are not necessarily indicative of the results of operations to be anticipated for any other future annual or interim period. The condensed balance sheet as of December 31, 2021 included herein was derived from the audited financial statements as of that date.</w:t>
      </w:r>
    </w:p>
    <w:p>
      <w:pPr>
        <w:spacing w:after="0" w:line="72" w:lineRule="exact"/>
        <w:rPr>
          <w:sz w:val="20"/>
          <w:szCs w:val="20"/>
          <w:color w:val="auto"/>
        </w:rPr>
      </w:pPr>
    </w:p>
    <w:p>
      <w:pPr>
        <w:jc w:val="both"/>
        <w:ind w:right="100" w:firstLine="569"/>
        <w:spacing w:after="0" w:line="248" w:lineRule="auto"/>
        <w:rPr>
          <w:sz w:val="20"/>
          <w:szCs w:val="20"/>
          <w:color w:val="auto"/>
        </w:rPr>
      </w:pPr>
      <w:r>
        <w:rPr>
          <w:rFonts w:ascii="Arial" w:cs="Arial" w:eastAsia="Arial" w:hAnsi="Arial"/>
          <w:sz w:val="18"/>
          <w:szCs w:val="18"/>
          <w:color w:val="auto"/>
        </w:rPr>
        <w:t>These unaudited condensed financial statements should be read in conjunction with the Company’s audited financial statements and related notes for the year ended December 31, 2021, which are included in the Annual Report on Form 10-K for the fiscal year ended December 31, 2021 filed with the Securities and Exchange Commission (SEC) on February 23, 2022 (2021 Annual Report).</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share amounts disclosed in the notes to the condensed financial statements are rounded to the nearest thousand except for per share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8" w:lineRule="exact"/>
        <w:rPr>
          <w:sz w:val="20"/>
          <w:szCs w:val="20"/>
          <w:color w:val="auto"/>
        </w:rPr>
      </w:pPr>
    </w:p>
    <w:p>
      <w:pPr>
        <w:ind w:right="40" w:firstLine="569"/>
        <w:spacing w:after="0" w:line="291" w:lineRule="auto"/>
        <w:rPr>
          <w:sz w:val="20"/>
          <w:szCs w:val="20"/>
          <w:color w:val="auto"/>
        </w:rPr>
      </w:pPr>
      <w:r>
        <w:rPr>
          <w:rFonts w:ascii="Arial" w:cs="Arial" w:eastAsia="Arial" w:hAnsi="Arial"/>
          <w:sz w:val="17"/>
          <w:szCs w:val="17"/>
          <w:color w:val="auto"/>
        </w:rPr>
        <w:t>During the three months ended March 31, 2022, there have been no material changes to the Company’s significant accounting policies as described in its 2021 Annual Report that have had a material impact on the Company’s condensed financial statements and related notes.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4"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 xml:space="preserve">In June 2016, the Financial Accounting Standards Board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 which requires an entity to utilize a new impairment model known as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Dates</w:t>
      </w:r>
      <w:r>
        <w:rPr>
          <w:rFonts w:ascii="Arial" w:cs="Arial" w:eastAsia="Arial" w:hAnsi="Arial"/>
          <w:sz w:val="17"/>
          <w:szCs w:val="17"/>
          <w:color w:val="auto"/>
        </w:rPr>
        <w:t>, which defers the effective date of ASU 2016-13 to fiscal years beginning after December 15, 2022 for all entities except SEC reporting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smaller reporting companies. ASU 2016-13 will be effective for the Company beginning January 1, 2023. The Company is currently evaluating the impact of the adoption of ASU 2016-13 on its financial statements.</w:t>
      </w:r>
    </w:p>
    <w:p>
      <w:pPr>
        <w:spacing w:after="0" w:line="176" w:lineRule="exact"/>
        <w:rPr>
          <w:sz w:val="20"/>
          <w:szCs w:val="20"/>
          <w:color w:val="auto"/>
        </w:rPr>
      </w:pPr>
    </w:p>
    <w:p>
      <w:pPr>
        <w:ind w:right="8580" w:firstLine="8"/>
        <w:spacing w:after="0" w:line="407"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and Deferred Revenue </w:t>
      </w:r>
      <w:r>
        <w:rPr>
          <w:rFonts w:ascii="Arial" w:cs="Arial" w:eastAsia="Arial" w:hAnsi="Arial"/>
          <w:sz w:val="16"/>
          <w:szCs w:val="16"/>
          <w:b w:val="1"/>
          <w:bCs w:val="1"/>
          <w:i w:val="1"/>
          <w:iCs w:val="1"/>
          <w:color w:val="auto"/>
        </w:rPr>
        <w:t>Disaggregation of Revenue</w:t>
      </w:r>
    </w:p>
    <w:p>
      <w:pPr>
        <w:ind w:left="580"/>
        <w:spacing w:after="0"/>
        <w:rPr>
          <w:rFonts w:ascii="Arial" w:cs="Arial" w:eastAsia="Arial" w:hAnsi="Arial"/>
          <w:sz w:val="16"/>
          <w:szCs w:val="16"/>
          <w:b w:val="1"/>
          <w:bCs w:val="1"/>
          <w:color w:val="auto"/>
        </w:rPr>
      </w:pPr>
      <w:r>
        <w:rPr>
          <w:rFonts w:ascii="Arial" w:cs="Arial" w:eastAsia="Arial" w:hAnsi="Arial"/>
          <w:sz w:val="18"/>
          <w:szCs w:val="18"/>
          <w:color w:val="auto"/>
        </w:rPr>
        <w:t>Revenue by source consists of the following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678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60" w:type="dxa"/>
            <w:vAlign w:val="bottom"/>
          </w:tcPr>
          <w:p>
            <w:pPr>
              <w:spacing w:after="0"/>
              <w:rPr>
                <w:sz w:val="19"/>
                <w:szCs w:val="19"/>
                <w:color w:val="auto"/>
              </w:rPr>
            </w:pPr>
          </w:p>
        </w:tc>
      </w:tr>
      <w:tr>
        <w:trPr>
          <w:trHeight w:val="196"/>
        </w:trPr>
        <w:tc>
          <w:tcPr>
            <w:tcW w:w="67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Consoles</w:t>
            </w:r>
          </w:p>
        </w:tc>
        <w:tc>
          <w:tcPr>
            <w:tcW w:w="980" w:type="dxa"/>
            <w:vAlign w:val="bottom"/>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18,051</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14,766</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Consumables</w:t>
            </w: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7,613</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3,444</w:t>
            </w:r>
          </w:p>
        </w:tc>
        <w:tc>
          <w:tcPr>
            <w:tcW w:w="60" w:type="dxa"/>
            <w:vAlign w:val="bottom"/>
          </w:tcPr>
          <w:p>
            <w:pPr>
              <w:spacing w:after="0"/>
              <w:rPr>
                <w:sz w:val="17"/>
                <w:szCs w:val="17"/>
                <w:color w:val="auto"/>
              </w:rPr>
            </w:pPr>
          </w:p>
        </w:tc>
      </w:tr>
      <w:tr>
        <w:trPr>
          <w:trHeight w:val="196"/>
        </w:trPr>
        <w:tc>
          <w:tcPr>
            <w:tcW w:w="678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product revenue</w:t>
            </w: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25,664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18,210</w:t>
            </w:r>
          </w:p>
        </w:tc>
        <w:tc>
          <w:tcPr>
            <w:tcW w:w="6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Service and other revenue</w:t>
            </w:r>
          </w:p>
        </w:tc>
        <w:tc>
          <w:tcPr>
            <w:tcW w:w="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4,886</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4,706</w:t>
            </w:r>
          </w:p>
        </w:tc>
        <w:tc>
          <w:tcPr>
            <w:tcW w:w="6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980" w:type="dxa"/>
            <w:vAlign w:val="bottom"/>
            <w:tcBorders>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30,550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22,916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ind w:right="220" w:firstLine="569"/>
        <w:spacing w:after="0" w:line="261" w:lineRule="auto"/>
        <w:rPr>
          <w:sz w:val="20"/>
          <w:szCs w:val="20"/>
          <w:color w:val="auto"/>
        </w:rPr>
      </w:pPr>
      <w:r>
        <w:rPr>
          <w:rFonts w:ascii="Arial" w:cs="Arial" w:eastAsia="Arial" w:hAnsi="Arial"/>
          <w:sz w:val="18"/>
          <w:szCs w:val="18"/>
          <w:color w:val="auto"/>
        </w:rPr>
        <w:t>For the three months ended March 31, 2022, $0.7 million of consoles revenue was from console operating lease arrangements, compared to $1.3 million for the three months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Contract Liabilities</w:t>
      </w:r>
    </w:p>
    <w:p>
      <w:pPr>
        <w:spacing w:after="0" w:line="104" w:lineRule="exact"/>
        <w:rPr>
          <w:sz w:val="20"/>
          <w:szCs w:val="20"/>
          <w:color w:val="auto"/>
        </w:rPr>
      </w:pPr>
    </w:p>
    <w:p>
      <w:pPr>
        <w:ind w:firstLine="569"/>
        <w:spacing w:after="0" w:line="270" w:lineRule="auto"/>
        <w:rPr>
          <w:sz w:val="20"/>
          <w:szCs w:val="20"/>
          <w:color w:val="auto"/>
        </w:rPr>
      </w:pPr>
      <w:r>
        <w:rPr>
          <w:rFonts w:ascii="Arial" w:cs="Arial" w:eastAsia="Arial" w:hAnsi="Arial"/>
          <w:sz w:val="17"/>
          <w:szCs w:val="17"/>
          <w:color w:val="auto"/>
        </w:rPr>
        <w:t>As of March 31, 2022, the aggregate amount of the transaction price allocated to the remaining performance obligations related to customer service contracts that are unsatisfied or partially unsatisfied was $7.0 million, which is recorded as deferred revenue on the Company’s condensed balance sheets. Of that amount, $6.8 million will be recognized as revenue during the next 12 months and $0.2 million thereafter.</w:t>
      </w:r>
    </w:p>
    <w:p>
      <w:pPr>
        <w:spacing w:after="0" w:line="56" w:lineRule="exact"/>
        <w:rPr>
          <w:sz w:val="20"/>
          <w:szCs w:val="20"/>
          <w:color w:val="auto"/>
        </w:rPr>
      </w:pPr>
    </w:p>
    <w:p>
      <w:pPr>
        <w:ind w:right="280" w:firstLine="569"/>
        <w:spacing w:after="0" w:line="248"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Revenue under these agreements is recognized over the related service period. During the three months ended March 31, 2022, the Company recognized $2.5 million of previously deferred revenue.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Fair Value Measurements</w:t>
      </w:r>
    </w:p>
    <w:p>
      <w:pPr>
        <w:spacing w:after="0" w:line="108" w:lineRule="exact"/>
        <w:rPr>
          <w:sz w:val="20"/>
          <w:szCs w:val="20"/>
          <w:color w:val="auto"/>
        </w:rPr>
      </w:pPr>
    </w:p>
    <w:p>
      <w:pPr>
        <w:ind w:right="140" w:firstLine="569"/>
        <w:spacing w:after="0" w:line="261"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440"/>
              <w:spacing w:after="0" w:line="156"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3"/>
                <w:szCs w:val="13"/>
                <w:color w:val="auto"/>
              </w:rPr>
            </w:pPr>
          </w:p>
        </w:tc>
        <w:tc>
          <w:tcPr>
            <w:tcW w:w="1280" w:type="dxa"/>
            <w:vAlign w:val="bottom"/>
            <w:gridSpan w:val="2"/>
          </w:tcPr>
          <w:p>
            <w:pPr>
              <w:jc w:val="center"/>
              <w:ind w:right="360"/>
              <w:spacing w:after="0" w:line="156"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Valuation</w:t>
            </w:r>
          </w:p>
        </w:tc>
        <w:tc>
          <w:tcPr>
            <w:tcW w:w="160" w:type="dxa"/>
            <w:vAlign w:val="bottom"/>
          </w:tcPr>
          <w:p>
            <w:pPr>
              <w:spacing w:after="0"/>
              <w:rPr>
                <w:sz w:val="15"/>
                <w:szCs w:val="15"/>
                <w:color w:val="auto"/>
              </w:rPr>
            </w:pP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44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2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460"/>
              <w:spacing w:after="0" w:line="176"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5"/>
                <w:szCs w:val="15"/>
                <w:color w:val="auto"/>
              </w:rPr>
            </w:pPr>
          </w:p>
        </w:tc>
        <w:tc>
          <w:tcPr>
            <w:tcW w:w="12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Hierarchy</w:t>
            </w: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32,747</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32,747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2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68,129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(275 )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Corporate debt</w:t>
            </w:r>
          </w:p>
        </w:tc>
        <w:tc>
          <w:tcPr>
            <w:tcW w:w="12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109,752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(378 )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109,376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200" w:type="dxa"/>
            <w:vAlign w:val="bottom"/>
            <w:tcBorders>
              <w:bottom w:val="single" w:sz="8" w:color="CFF0FC"/>
            </w:tcBorders>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10,689</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10,689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20" w:type="dxa"/>
            <w:vAlign w:val="bottom"/>
          </w:tcPr>
          <w:p>
            <w:pPr>
              <w:jc w:val="center"/>
              <w:ind w:right="1830"/>
              <w:spacing w:after="0" w:line="156" w:lineRule="exact"/>
              <w:rPr>
                <w:sz w:val="20"/>
                <w:szCs w:val="20"/>
                <w:color w:val="auto"/>
              </w:rPr>
            </w:pPr>
            <w:r>
              <w:rPr>
                <w:rFonts w:ascii="Arial" w:cs="Arial" w:eastAsia="Arial" w:hAnsi="Arial"/>
                <w:sz w:val="18"/>
                <w:szCs w:val="18"/>
                <w:color w:val="auto"/>
                <w:w w:val="88"/>
              </w:rPr>
              <w:t>Total cash equivalents and</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221,317</w:t>
            </w:r>
          </w:p>
        </w:tc>
        <w:tc>
          <w:tcPr>
            <w:tcW w:w="20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(653 )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220,668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20" w:type="dxa"/>
            <w:vAlign w:val="bottom"/>
          </w:tcPr>
          <w:p>
            <w:pPr>
              <w:jc w:val="center"/>
              <w:ind w:right="1830"/>
              <w:spacing w:after="0" w:line="156" w:lineRule="exact"/>
              <w:rPr>
                <w:sz w:val="20"/>
                <w:szCs w:val="20"/>
                <w:color w:val="auto"/>
              </w:rPr>
            </w:pPr>
            <w:r>
              <w:rPr>
                <w:rFonts w:ascii="Arial" w:cs="Arial" w:eastAsia="Arial" w:hAnsi="Arial"/>
                <w:sz w:val="18"/>
                <w:szCs w:val="18"/>
                <w:color w:val="auto"/>
                <w:w w:val="90"/>
              </w:rPr>
              <w:t>short-term investments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320"/>
              <w:spacing w:after="0" w:line="156"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3"/>
                <w:szCs w:val="13"/>
                <w:color w:val="auto"/>
              </w:rPr>
            </w:pPr>
          </w:p>
        </w:tc>
        <w:tc>
          <w:tcPr>
            <w:tcW w:w="1280" w:type="dxa"/>
            <w:vAlign w:val="bottom"/>
            <w:gridSpan w:val="2"/>
          </w:tcPr>
          <w:p>
            <w:pPr>
              <w:jc w:val="center"/>
              <w:ind w:right="360"/>
              <w:spacing w:after="0" w:line="156"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20" w:type="dxa"/>
            <w:vAlign w:val="bottom"/>
          </w:tcPr>
          <w:p>
            <w:pPr>
              <w:spacing w:after="0"/>
              <w:rPr>
                <w:sz w:val="15"/>
                <w:szCs w:val="15"/>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Valuation</w:t>
            </w:r>
          </w:p>
        </w:tc>
        <w:tc>
          <w:tcPr>
            <w:tcW w:w="160" w:type="dxa"/>
            <w:vAlign w:val="bottom"/>
          </w:tcPr>
          <w:p>
            <w:pPr>
              <w:spacing w:after="0"/>
              <w:rPr>
                <w:sz w:val="15"/>
                <w:szCs w:val="15"/>
                <w:color w:val="auto"/>
              </w:rPr>
            </w:pP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2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340"/>
              <w:spacing w:after="0" w:line="176"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5"/>
                <w:szCs w:val="15"/>
                <w:color w:val="auto"/>
              </w:rPr>
            </w:pPr>
          </w:p>
        </w:tc>
        <w:tc>
          <w:tcPr>
            <w:tcW w:w="12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Hierarchy</w:t>
            </w: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3"/>
              </w:rPr>
              <w:t>Costs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60,844</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60,844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2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18,064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(60 )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line="202" w:lineRule="exact"/>
              <w:rPr>
                <w:sz w:val="20"/>
                <w:szCs w:val="20"/>
                <w:color w:val="auto"/>
              </w:rPr>
            </w:pPr>
            <w:r>
              <w:rPr>
                <w:rFonts w:ascii="Arial" w:cs="Arial" w:eastAsia="Arial" w:hAnsi="Arial"/>
                <w:sz w:val="18"/>
                <w:szCs w:val="18"/>
                <w:color w:val="auto"/>
              </w:rPr>
              <w:t>Corporate debt</w:t>
            </w:r>
          </w:p>
        </w:tc>
        <w:tc>
          <w:tcPr>
            <w:tcW w:w="12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124,178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(125 )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200" w:type="dxa"/>
            <w:vAlign w:val="bottom"/>
            <w:tcBorders>
              <w:bottom w:val="single" w:sz="8" w:color="CFF0FC"/>
            </w:tcBorders>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15,081</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15,081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20" w:type="dxa"/>
            <w:vAlign w:val="bottom"/>
          </w:tcPr>
          <w:p>
            <w:pPr>
              <w:jc w:val="center"/>
              <w:ind w:right="1830"/>
              <w:spacing w:after="0" w:line="156" w:lineRule="exact"/>
              <w:rPr>
                <w:sz w:val="20"/>
                <w:szCs w:val="20"/>
                <w:color w:val="auto"/>
              </w:rPr>
            </w:pPr>
            <w:r>
              <w:rPr>
                <w:rFonts w:ascii="Arial" w:cs="Arial" w:eastAsia="Arial" w:hAnsi="Arial"/>
                <w:sz w:val="18"/>
                <w:szCs w:val="18"/>
                <w:color w:val="auto"/>
                <w:w w:val="88"/>
              </w:rPr>
              <w:t>Total cash equivalents and</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218,167</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(185 )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217,984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20" w:type="dxa"/>
            <w:vAlign w:val="bottom"/>
          </w:tcPr>
          <w:p>
            <w:pPr>
              <w:jc w:val="center"/>
              <w:ind w:right="1830"/>
              <w:spacing w:after="0" w:line="156" w:lineRule="exact"/>
              <w:rPr>
                <w:sz w:val="20"/>
                <w:szCs w:val="20"/>
                <w:color w:val="auto"/>
              </w:rPr>
            </w:pPr>
            <w:r>
              <w:rPr>
                <w:rFonts w:ascii="Arial" w:cs="Arial" w:eastAsia="Arial" w:hAnsi="Arial"/>
                <w:sz w:val="18"/>
                <w:szCs w:val="18"/>
                <w:color w:val="auto"/>
                <w:w w:val="90"/>
              </w:rPr>
              <w:t>short-term investments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-2131060</wp:posOffset>
            </wp:positionV>
            <wp:extent cx="431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-2131060</wp:posOffset>
            </wp:positionV>
            <wp:extent cx="1200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-2131060</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-2131060</wp:posOffset>
            </wp:positionV>
            <wp:extent cx="3429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-245110</wp:posOffset>
            </wp:positionV>
            <wp:extent cx="43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-245110</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-245110</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-245110</wp:posOffset>
            </wp:positionV>
            <wp:extent cx="3429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of March 31, 2022, the remaining contractual maturities for available-for-sale securities were between one month to twelve months.</w:t>
      </w:r>
    </w:p>
    <w:p>
      <w:pPr>
        <w:spacing w:after="0" w:line="115" w:lineRule="exact"/>
        <w:rPr>
          <w:sz w:val="20"/>
          <w:szCs w:val="20"/>
          <w:color w:val="auto"/>
        </w:rPr>
      </w:pPr>
    </w:p>
    <w:p>
      <w:pPr>
        <w:ind w:right="140" w:firstLine="569"/>
        <w:spacing w:after="0" w:line="279" w:lineRule="auto"/>
        <w:rPr>
          <w:sz w:val="20"/>
          <w:szCs w:val="20"/>
          <w:color w:val="auto"/>
        </w:rPr>
      </w:pPr>
      <w:r>
        <w:rPr>
          <w:rFonts w:ascii="Arial" w:cs="Arial" w:eastAsia="Arial" w:hAnsi="Arial"/>
          <w:sz w:val="16"/>
          <w:szCs w:val="16"/>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There were no unrealized losses for securities in an unrealized loss position for more than 12 months as of March 31, 2022. During the three months ended March 31, 2022 and 2021, the Company did not recognize other-than-temporary impairment losses related to its investment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right="300" w:firstLine="569"/>
        <w:spacing w:after="0" w:line="291" w:lineRule="auto"/>
        <w:rPr>
          <w:sz w:val="20"/>
          <w:szCs w:val="20"/>
          <w:color w:val="auto"/>
        </w:rPr>
      </w:pPr>
      <w:r>
        <w:rPr>
          <w:rFonts w:ascii="Arial" w:cs="Arial" w:eastAsia="Arial" w:hAnsi="Arial"/>
          <w:sz w:val="17"/>
          <w:szCs w:val="17"/>
          <w:color w:val="auto"/>
        </w:rPr>
        <w:t>As of March 31, 2022 and December 31, 2021, the restricted cash balance of $33.3 million primarily relates to contractual obligations under the SVB Loan and Security Agreement (see Note 7) and collateral for building leases in San Jose, CA and Tijuana Mexico.</w:t>
      </w:r>
    </w:p>
    <w:p>
      <w:pPr>
        <w:spacing w:after="0" w:line="39" w:lineRule="exact"/>
        <w:rPr>
          <w:sz w:val="20"/>
          <w:szCs w:val="20"/>
          <w:color w:val="auto"/>
        </w:rPr>
      </w:pPr>
    </w:p>
    <w:p>
      <w:pPr>
        <w:ind w:right="640" w:firstLine="569"/>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45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114,346</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251,767</w:t>
            </w:r>
          </w:p>
        </w:tc>
        <w:tc>
          <w:tcPr>
            <w:tcW w:w="60" w:type="dxa"/>
            <w:vAlign w:val="bottom"/>
            <w:shd w:val="clear" w:color="auto" w:fill="CFF0FC"/>
          </w:tcPr>
          <w:p>
            <w:pPr>
              <w:spacing w:after="0"/>
              <w:rPr>
                <w:sz w:val="17"/>
                <w:szCs w:val="17"/>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33,311</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33,311</w:t>
            </w:r>
          </w:p>
        </w:tc>
        <w:tc>
          <w:tcPr>
            <w:tcW w:w="60" w:type="dxa"/>
            <w:vAlign w:val="bottom"/>
          </w:tcPr>
          <w:p>
            <w:pPr>
              <w:spacing w:after="0"/>
              <w:rPr>
                <w:sz w:val="17"/>
                <w:szCs w:val="17"/>
                <w:color w:val="auto"/>
              </w:rPr>
            </w:pPr>
          </w:p>
        </w:tc>
      </w:tr>
      <w:tr>
        <w:trPr>
          <w:trHeight w:val="236"/>
        </w:trPr>
        <w:tc>
          <w:tcPr>
            <w:tcW w:w="45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1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147,657</w:t>
            </w:r>
          </w:p>
        </w:tc>
        <w:tc>
          <w:tcPr>
            <w:tcW w:w="2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285,078</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4580" w:type="dxa"/>
            <w:vAlign w:val="bottom"/>
          </w:tcPr>
          <w:p>
            <w:pPr>
              <w:spacing w:after="0"/>
              <w:rPr>
                <w:sz w:val="24"/>
                <w:szCs w:val="24"/>
                <w:color w:val="auto"/>
              </w:rPr>
            </w:pPr>
          </w:p>
        </w:tc>
        <w:tc>
          <w:tcPr>
            <w:tcW w:w="3100" w:type="dxa"/>
            <w:vAlign w:val="bottom"/>
          </w:tcPr>
          <w:p>
            <w:pPr>
              <w:jc w:val="right"/>
              <w:ind w:right="1930"/>
              <w:spacing w:after="0"/>
              <w:rPr>
                <w:sz w:val="20"/>
                <w:szCs w:val="20"/>
                <w:color w:val="auto"/>
              </w:rPr>
            </w:pPr>
            <w:r>
              <w:rPr>
                <w:rFonts w:ascii="Arial" w:cs="Arial" w:eastAsia="Arial" w:hAnsi="Arial"/>
                <w:sz w:val="18"/>
                <w:szCs w:val="18"/>
                <w:color w:val="auto"/>
              </w:rPr>
              <w:t>9</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58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-496570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-479425</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-496570</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-479425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7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040" w:type="dxa"/>
            <w:vAlign w:val="bottom"/>
            <w:gridSpan w:val="2"/>
          </w:tcPr>
          <w:p>
            <w:pPr>
              <w:ind w:left="580"/>
              <w:spacing w:after="0"/>
              <w:rPr>
                <w:sz w:val="20"/>
                <w:szCs w:val="20"/>
                <w:color w:val="auto"/>
              </w:rPr>
            </w:pPr>
            <w:r>
              <w:rPr>
                <w:rFonts w:ascii="Arial" w:cs="Arial" w:eastAsia="Arial" w:hAnsi="Arial"/>
                <w:sz w:val="18"/>
                <w:szCs w:val="18"/>
                <w:color w:val="auto"/>
              </w:rPr>
              <w:t>Inventories consist of the following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w:t>
            </w:r>
          </w:p>
        </w:tc>
        <w:tc>
          <w:tcPr>
            <w:tcW w:w="2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15,970</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9,501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4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17,402</w:t>
            </w: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15,017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00" w:type="dxa"/>
            <w:vAlign w:val="bottom"/>
          </w:tcPr>
          <w:p>
            <w:pPr>
              <w:ind w:left="280"/>
              <w:spacing w:after="0" w:line="182" w:lineRule="exact"/>
              <w:rPr>
                <w:sz w:val="20"/>
                <w:szCs w:val="20"/>
                <w:color w:val="auto"/>
              </w:rPr>
            </w:pPr>
            <w:r>
              <w:rPr>
                <w:rFonts w:ascii="Arial" w:cs="Arial" w:eastAsia="Arial" w:hAnsi="Arial"/>
                <w:sz w:val="18"/>
                <w:szCs w:val="18"/>
                <w:color w:val="auto"/>
              </w:rPr>
              <w:t>Total inventories</w:t>
            </w:r>
          </w:p>
        </w:tc>
        <w:tc>
          <w:tcPr>
            <w:tcW w:w="2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42,873</w:t>
            </w:r>
          </w:p>
        </w:tc>
        <w:tc>
          <w:tcPr>
            <w:tcW w:w="34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39,185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40" w:type="dxa"/>
            <w:vAlign w:val="bottom"/>
            <w:gridSpan w:val="2"/>
          </w:tcPr>
          <w:p>
            <w:pPr>
              <w:ind w:left="580"/>
              <w:spacing w:after="0"/>
              <w:rPr>
                <w:sz w:val="20"/>
                <w:szCs w:val="20"/>
                <w:color w:val="auto"/>
              </w:rPr>
            </w:pPr>
            <w:r>
              <w:rPr>
                <w:rFonts w:ascii="Arial" w:cs="Arial" w:eastAsia="Arial" w:hAnsi="Arial"/>
                <w:sz w:val="18"/>
                <w:szCs w:val="18"/>
                <w:color w:val="auto"/>
                <w:w w:val="95"/>
              </w:rPr>
              <w:t>Accrued expenses and other current liabilities consist of the following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inventory</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6,730</w:t>
            </w:r>
          </w:p>
        </w:tc>
        <w:tc>
          <w:tcPr>
            <w:tcW w:w="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4,808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1,510</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00" w:type="dxa"/>
            <w:vAlign w:val="bottom"/>
          </w:tcPr>
          <w:p>
            <w:pPr>
              <w:spacing w:after="0" w:line="202" w:lineRule="exact"/>
              <w:rPr>
                <w:sz w:val="20"/>
                <w:szCs w:val="20"/>
                <w:color w:val="auto"/>
              </w:rPr>
            </w:pPr>
            <w:r>
              <w:rPr>
                <w:rFonts w:ascii="Arial" w:cs="Arial" w:eastAsia="Arial" w:hAnsi="Arial"/>
                <w:sz w:val="18"/>
                <w:szCs w:val="18"/>
                <w:color w:val="auto"/>
              </w:rPr>
              <w:t>Accrued rebate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3,449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3,121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0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Other</w:t>
            </w:r>
          </w:p>
        </w:tc>
        <w:tc>
          <w:tcPr>
            <w:tcW w:w="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6,119</w:t>
            </w: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4,017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00" w:type="dxa"/>
            <w:vAlign w:val="bottom"/>
          </w:tcPr>
          <w:p>
            <w:pPr>
              <w:ind w:left="280"/>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18,610</w:t>
            </w:r>
          </w:p>
        </w:tc>
        <w:tc>
          <w:tcPr>
            <w:tcW w:w="34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13,789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-1762125</wp:posOffset>
            </wp:positionV>
            <wp:extent cx="342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-1762125</wp:posOffset>
            </wp:positionV>
            <wp:extent cx="342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wp:posOffset>
            </wp:positionV>
            <wp:extent cx="431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91" w:lineRule="exact"/>
        <w:rPr>
          <w:sz w:val="20"/>
          <w:szCs w:val="20"/>
          <w:color w:val="auto"/>
        </w:rPr>
      </w:pPr>
    </w:p>
    <w:p>
      <w:pPr>
        <w:ind w:right="8500" w:firstLine="8"/>
        <w:spacing w:after="0" w:line="36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360" w:firstLine="569"/>
        <w:spacing w:after="0" w:line="262" w:lineRule="auto"/>
        <w:rPr>
          <w:sz w:val="20"/>
          <w:szCs w:val="20"/>
          <w:color w:val="auto"/>
        </w:rPr>
      </w:pPr>
      <w:r>
        <w:rPr>
          <w:rFonts w:ascii="Arial" w:cs="Arial" w:eastAsia="Arial" w:hAnsi="Arial"/>
          <w:sz w:val="17"/>
          <w:szCs w:val="17"/>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ind w:right="20" w:firstLine="569"/>
        <w:spacing w:after="0" w:line="239"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0"/>
        </w:trPr>
        <w:tc>
          <w:tcPr>
            <w:tcW w:w="4900" w:type="dxa"/>
            <w:vAlign w:val="bottom"/>
            <w:gridSpan w:val="2"/>
          </w:tcPr>
          <w:p>
            <w:pPr>
              <w:jc w:val="center"/>
              <w:spacing w:after="0"/>
              <w:rPr>
                <w:sz w:val="20"/>
                <w:szCs w:val="20"/>
                <w:color w:val="auto"/>
              </w:rPr>
            </w:pPr>
            <w:r>
              <w:rPr>
                <w:rFonts w:ascii="Arial" w:cs="Arial" w:eastAsia="Arial" w:hAnsi="Arial"/>
                <w:sz w:val="18"/>
                <w:szCs w:val="18"/>
                <w:color w:val="auto"/>
                <w:w w:val="91"/>
              </w:rPr>
              <w:t>Term loan consists of the following (in thousands):</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1120" w:type="dxa"/>
            <w:vAlign w:val="bottom"/>
          </w:tcPr>
          <w:p>
            <w:pPr>
              <w:spacing w:after="0"/>
              <w:rPr>
                <w:sz w:val="24"/>
                <w:szCs w:val="24"/>
                <w:color w:val="auto"/>
              </w:rPr>
            </w:pPr>
          </w:p>
        </w:tc>
      </w:tr>
      <w:tr>
        <w:trPr>
          <w:trHeight w:val="221"/>
        </w:trPr>
        <w:tc>
          <w:tcPr>
            <w:tcW w:w="11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3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Principal of term loan</w:t>
            </w:r>
          </w:p>
        </w:tc>
        <w:tc>
          <w:tcPr>
            <w:tcW w:w="2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Unamortized debt discount</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(216 )</w:t>
            </w:r>
          </w:p>
        </w:tc>
        <w:tc>
          <w:tcPr>
            <w:tcW w:w="140" w:type="dxa"/>
            <w:vAlign w:val="bottom"/>
          </w:tcPr>
          <w:p>
            <w:pPr>
              <w:spacing w:after="0"/>
              <w:rPr>
                <w:sz w:val="17"/>
                <w:szCs w:val="17"/>
                <w:color w:val="auto"/>
              </w:rPr>
            </w:pPr>
          </w:p>
        </w:tc>
        <w:tc>
          <w:tcPr>
            <w:tcW w:w="13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(238 )</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jc w:val="center"/>
              <w:ind w:right="1150"/>
              <w:spacing w:after="0" w:line="196" w:lineRule="exact"/>
              <w:rPr>
                <w:sz w:val="20"/>
                <w:szCs w:val="20"/>
                <w:color w:val="auto"/>
              </w:rPr>
            </w:pPr>
            <w:r>
              <w:rPr>
                <w:rFonts w:ascii="Arial" w:cs="Arial" w:eastAsia="Arial" w:hAnsi="Arial"/>
                <w:sz w:val="18"/>
                <w:szCs w:val="18"/>
                <w:color w:val="auto"/>
                <w:w w:val="90"/>
              </w:rPr>
              <w:t>Total term loan, noncurrent</w:t>
            </w:r>
          </w:p>
        </w:tc>
        <w:tc>
          <w:tcPr>
            <w:tcW w:w="2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29,784</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29,762</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120" w:type="dxa"/>
            <w:vAlign w:val="bottom"/>
          </w:tcPr>
          <w:p>
            <w:pPr>
              <w:jc w:val="right"/>
              <w:ind w:right="12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-496570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-479425</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-496570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-479425</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04" w:lineRule="exact"/>
        <w:rPr>
          <w:sz w:val="20"/>
          <w:szCs w:val="20"/>
          <w:color w:val="auto"/>
        </w:rPr>
      </w:pPr>
    </w:p>
    <w:p>
      <w:pPr>
        <w:ind w:right="600" w:firstLine="569"/>
        <w:spacing w:after="0" w:line="261"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63" w:lineRule="exact"/>
        <w:rPr>
          <w:sz w:val="20"/>
          <w:szCs w:val="20"/>
          <w:color w:val="auto"/>
        </w:rPr>
      </w:pPr>
    </w:p>
    <w:p>
      <w:pPr>
        <w:ind w:right="40" w:firstLine="569"/>
        <w:spacing w:after="0" w:line="243" w:lineRule="auto"/>
        <w:rPr>
          <w:sz w:val="20"/>
          <w:szCs w:val="20"/>
          <w:color w:val="auto"/>
        </w:rPr>
      </w:pPr>
      <w:r>
        <w:rPr>
          <w:rFonts w:ascii="Arial" w:cs="Arial" w:eastAsia="Arial" w:hAnsi="Arial"/>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the greater of (A) 0.5% above the Prime Rate as reported in the Wall Street Journal and (B) 3.75% (4.00% as of March 31, 2022). The Company is obligated to maintain a restricted cash balance greater or equal to the outstanding principal balance of $30.0 million of the SVB Term Loan.</w:t>
      </w:r>
    </w:p>
    <w:p>
      <w:pPr>
        <w:spacing w:after="0" w:line="80" w:lineRule="exact"/>
        <w:rPr>
          <w:sz w:val="20"/>
          <w:szCs w:val="20"/>
          <w:color w:val="auto"/>
        </w:rPr>
      </w:pPr>
    </w:p>
    <w:p>
      <w:pPr>
        <w:ind w:right="120" w:firstLine="569"/>
        <w:spacing w:after="0" w:line="284" w:lineRule="auto"/>
        <w:rPr>
          <w:sz w:val="20"/>
          <w:szCs w:val="20"/>
          <w:color w:val="auto"/>
        </w:rPr>
      </w:pPr>
      <w:r>
        <w:rPr>
          <w:rFonts w:ascii="Arial" w:cs="Arial" w:eastAsia="Arial" w:hAnsi="Arial"/>
          <w:sz w:val="16"/>
          <w:szCs w:val="16"/>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 Term Loan.</w:t>
      </w:r>
    </w:p>
    <w:p>
      <w:pPr>
        <w:spacing w:after="0" w:line="47" w:lineRule="exact"/>
        <w:rPr>
          <w:sz w:val="20"/>
          <w:szCs w:val="20"/>
          <w:color w:val="auto"/>
        </w:rPr>
      </w:pPr>
    </w:p>
    <w:p>
      <w:pPr>
        <w:ind w:right="20" w:firstLine="569"/>
        <w:spacing w:after="0" w:line="259" w:lineRule="auto"/>
        <w:rPr>
          <w:sz w:val="20"/>
          <w:szCs w:val="20"/>
          <w:color w:val="auto"/>
        </w:rPr>
      </w:pPr>
      <w:r>
        <w:rPr>
          <w:rFonts w:ascii="Arial" w:cs="Arial" w:eastAsia="Arial" w:hAnsi="Arial"/>
          <w:sz w:val="17"/>
          <w:szCs w:val="17"/>
          <w:color w:val="auto"/>
        </w:rPr>
        <w:t>In the event of a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66" w:lineRule="exact"/>
        <w:rPr>
          <w:sz w:val="20"/>
          <w:szCs w:val="20"/>
          <w:color w:val="auto"/>
        </w:rPr>
      </w:pPr>
    </w:p>
    <w:p>
      <w:pPr>
        <w:ind w:firstLine="569"/>
        <w:spacing w:after="0" w:line="248" w:lineRule="auto"/>
        <w:rPr>
          <w:sz w:val="20"/>
          <w:szCs w:val="20"/>
          <w:color w:val="auto"/>
        </w:rPr>
      </w:pPr>
      <w:r>
        <w:rPr>
          <w:rFonts w:ascii="Arial" w:cs="Arial" w:eastAsia="Arial" w:hAnsi="Arial"/>
          <w:sz w:val="18"/>
          <w:szCs w:val="18"/>
          <w:color w:val="auto"/>
        </w:rPr>
        <w:t>Debt issuance costs paid directly to SVB and other debt issuance costs amounting to $0.4 million were accounted for as discounts on the SVB Term Loan. These debt discounts, along with the final payment fee, are being amortized over the term of the SVB Term Loan using the effective interest rate method.</w:t>
      </w:r>
    </w:p>
    <w:p>
      <w:pPr>
        <w:spacing w:after="0" w:line="178" w:lineRule="exact"/>
        <w:rPr>
          <w:sz w:val="20"/>
          <w:szCs w:val="20"/>
          <w:color w:val="auto"/>
        </w:rPr>
      </w:pPr>
    </w:p>
    <w:p>
      <w:pPr>
        <w:ind w:right="9360" w:firstLine="8"/>
        <w:spacing w:after="0" w:line="407" w:lineRule="auto"/>
        <w:tabs>
          <w:tab w:leader="none" w:pos="1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Incentive Plan </w:t>
      </w:r>
      <w:r>
        <w:rPr>
          <w:rFonts w:ascii="Arial" w:cs="Arial" w:eastAsia="Arial" w:hAnsi="Arial"/>
          <w:sz w:val="16"/>
          <w:szCs w:val="16"/>
          <w:b w:val="1"/>
          <w:bCs w:val="1"/>
          <w:i w:val="1"/>
          <w:iCs w:val="1"/>
          <w:color w:val="auto"/>
        </w:rPr>
        <w:t>Equity Incentive Plans</w:t>
      </w:r>
    </w:p>
    <w:p>
      <w:pPr>
        <w:spacing w:after="0" w:line="1" w:lineRule="exact"/>
        <w:rPr>
          <w:sz w:val="20"/>
          <w:szCs w:val="20"/>
          <w:color w:val="auto"/>
        </w:rPr>
      </w:pPr>
    </w:p>
    <w:p>
      <w:pPr>
        <w:jc w:val="both"/>
        <w:ind w:right="100" w:firstLine="569"/>
        <w:spacing w:after="0" w:line="248" w:lineRule="auto"/>
        <w:rPr>
          <w:sz w:val="20"/>
          <w:szCs w:val="20"/>
          <w:color w:val="auto"/>
        </w:rPr>
      </w:pPr>
      <w:r>
        <w:rPr>
          <w:rFonts w:ascii="Arial" w:cs="Arial" w:eastAsia="Arial" w:hAnsi="Arial"/>
          <w:sz w:val="18"/>
          <w:szCs w:val="18"/>
          <w:color w:val="auto"/>
        </w:rPr>
        <w:t>On January 1, 2022, the number of shares of common stock reserved for the issuance of awards under the Company’s 2020 Equity Incentive Plan (the 2020 Plan) was increased by 1,890,000 shares as a result of the automatic increase pursuant to the 2020 Plan. As of March 31, 2022, 5,524,000 shares were reserved for future issuance under the 2020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Share Purchase Plan (ESPP)</w:t>
      </w:r>
    </w:p>
    <w:p>
      <w:pPr>
        <w:spacing w:after="0" w:line="104" w:lineRule="exact"/>
        <w:rPr>
          <w:sz w:val="20"/>
          <w:szCs w:val="20"/>
          <w:color w:val="auto"/>
        </w:rPr>
      </w:pPr>
    </w:p>
    <w:p>
      <w:pPr>
        <w:ind w:firstLine="569"/>
        <w:spacing w:after="0" w:line="248" w:lineRule="auto"/>
        <w:rPr>
          <w:sz w:val="20"/>
          <w:szCs w:val="20"/>
          <w:color w:val="auto"/>
        </w:rPr>
      </w:pPr>
      <w:r>
        <w:rPr>
          <w:rFonts w:ascii="Arial" w:cs="Arial" w:eastAsia="Arial" w:hAnsi="Arial"/>
          <w:sz w:val="18"/>
          <w:szCs w:val="18"/>
          <w:color w:val="auto"/>
        </w:rPr>
        <w:t>On January 1, 2022, the number of shares of common stock reserved for purchase under the Company’s ESPP was increased by 472,000 shares as a result of the automatic increase pursuant to the ESPP. As of March 31, 2022, 1,416,000 shares of common stock were reserved for issuance in connection with the current and future offering periods under the ESPP.</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right="140" w:firstLine="569"/>
        <w:spacing w:after="0" w:line="248" w:lineRule="auto"/>
        <w:rPr>
          <w:sz w:val="20"/>
          <w:szCs w:val="20"/>
          <w:color w:val="auto"/>
        </w:rPr>
      </w:pPr>
      <w:r>
        <w:rPr>
          <w:rFonts w:ascii="Arial" w:cs="Arial" w:eastAsia="Arial" w:hAnsi="Arial"/>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74" w:lineRule="exact"/>
        <w:rPr>
          <w:sz w:val="20"/>
          <w:szCs w:val="20"/>
          <w:color w:val="auto"/>
        </w:rPr>
      </w:pPr>
    </w:p>
    <w:p>
      <w:pPr>
        <w:ind w:right="120" w:firstLine="569"/>
        <w:spacing w:after="0" w:line="241" w:lineRule="auto"/>
        <w:rPr>
          <w:sz w:val="20"/>
          <w:szCs w:val="20"/>
          <w:color w:val="auto"/>
        </w:rPr>
      </w:pPr>
      <w:r>
        <w:rPr>
          <w:rFonts w:ascii="Arial" w:cs="Arial" w:eastAsia="Arial" w:hAnsi="Arial"/>
          <w:sz w:val="18"/>
          <w:szCs w:val="18"/>
          <w:color w:val="auto"/>
        </w:rPr>
        <w:t>RSUs with a service-based vesting condition granted to a grantee, beginning in February 2022, generally vest over a three 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Prior to February 2022, RSUs with a service-based vesting condition granted to a grantee generally vest at a rate of 25% on the first anniversary of the original vesting date, with the balance vesting quarterly over the remaining three years.</w:t>
      </w:r>
    </w:p>
    <w:p>
      <w:pPr>
        <w:spacing w:after="0" w:line="81" w:lineRule="exact"/>
        <w:rPr>
          <w:sz w:val="20"/>
          <w:szCs w:val="20"/>
          <w:color w:val="auto"/>
        </w:rPr>
      </w:pPr>
    </w:p>
    <w:p>
      <w:pPr>
        <w:ind w:right="20" w:firstLine="569"/>
        <w:spacing w:after="0" w:line="255" w:lineRule="auto"/>
        <w:rPr>
          <w:sz w:val="20"/>
          <w:szCs w:val="20"/>
          <w:color w:val="auto"/>
        </w:rPr>
      </w:pPr>
      <w:r>
        <w:rPr>
          <w:rFonts w:ascii="Arial" w:cs="Arial" w:eastAsia="Arial" w:hAnsi="Arial"/>
          <w:sz w:val="17"/>
          <w:szCs w:val="17"/>
          <w:color w:val="auto"/>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Relative TSR PSUs).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 w:name="page14"/>
    <w:bookmarkEnd w:id="13"/>
    <w:p>
      <w:pPr>
        <w:ind w:right="80" w:firstLine="569"/>
        <w:spacing w:after="0" w:line="284" w:lineRule="auto"/>
        <w:rPr>
          <w:sz w:val="20"/>
          <w:szCs w:val="20"/>
          <w:color w:val="auto"/>
        </w:rPr>
      </w:pPr>
      <w:r>
        <w:rPr>
          <w:rFonts w:ascii="Arial" w:cs="Arial" w:eastAsia="Arial" w:hAnsi="Arial"/>
          <w:sz w:val="16"/>
          <w:szCs w:val="16"/>
          <w:color w:val="auto"/>
        </w:rPr>
        <w:t>The 2023 target for the Home PSUs is expected to be determined and approved by the Compensation Committee in late 2022 or early 2023. Given such target has not yet been established, the grant date for these Home PSUs will only be established when the Compensation Committee approves and the Company communicates the target to the award recipients, which will then trigger the service inception date, the fair value of the awards, and the associated expense recognition period. Therefore, no expense is expected to be recognized for these Home PSUs until the grant date is established.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6960" w:type="dxa"/>
            <w:vAlign w:val="bottom"/>
          </w:tcPr>
          <w:p>
            <w:pPr>
              <w:spacing w:after="0"/>
              <w:rPr>
                <w:sz w:val="19"/>
                <w:szCs w:val="19"/>
                <w:color w:val="auto"/>
              </w:rPr>
            </w:pPr>
          </w:p>
        </w:tc>
        <w:tc>
          <w:tcPr>
            <w:tcW w:w="30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 March 31,</w:t>
            </w:r>
          </w:p>
        </w:tc>
        <w:tc>
          <w:tcPr>
            <w:tcW w:w="60" w:type="dxa"/>
            <w:vAlign w:val="bottom"/>
          </w:tcPr>
          <w:p>
            <w:pPr>
              <w:spacing w:after="0"/>
              <w:rPr>
                <w:sz w:val="19"/>
                <w:szCs w:val="19"/>
                <w:color w:val="auto"/>
              </w:rPr>
            </w:pPr>
          </w:p>
        </w:tc>
      </w:tr>
      <w:tr>
        <w:trPr>
          <w:trHeight w:val="196"/>
        </w:trPr>
        <w:tc>
          <w:tcPr>
            <w:tcW w:w="696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6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1,158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1,165</w:t>
            </w:r>
          </w:p>
        </w:tc>
        <w:tc>
          <w:tcPr>
            <w:tcW w:w="60" w:type="dxa"/>
            <w:vAlign w:val="bottom"/>
          </w:tcPr>
          <w:p>
            <w:pPr>
              <w:spacing w:after="0"/>
              <w:rPr>
                <w:sz w:val="17"/>
                <w:szCs w:val="17"/>
                <w:color w:val="auto"/>
              </w:rPr>
            </w:pPr>
          </w:p>
        </w:tc>
      </w:tr>
      <w:tr>
        <w:trPr>
          <w:trHeight w:val="203"/>
        </w:trPr>
        <w:tc>
          <w:tcPr>
            <w:tcW w:w="6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1,706</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1,742</w:t>
            </w:r>
          </w:p>
        </w:tc>
        <w:tc>
          <w:tcPr>
            <w:tcW w:w="60" w:type="dxa"/>
            <w:vAlign w:val="bottom"/>
            <w:shd w:val="clear" w:color="auto" w:fill="CFF0FC"/>
          </w:tcPr>
          <w:p>
            <w:pPr>
              <w:spacing w:after="0"/>
              <w:rPr>
                <w:sz w:val="17"/>
                <w:szCs w:val="17"/>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2,049</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2,870</w:t>
            </w:r>
          </w:p>
        </w:tc>
        <w:tc>
          <w:tcPr>
            <w:tcW w:w="60" w:type="dxa"/>
            <w:vAlign w:val="bottom"/>
          </w:tcPr>
          <w:p>
            <w:pPr>
              <w:spacing w:after="0"/>
              <w:rPr>
                <w:sz w:val="17"/>
                <w:szCs w:val="17"/>
                <w:color w:val="auto"/>
              </w:rPr>
            </w:pPr>
          </w:p>
        </w:tc>
      </w:tr>
      <w:tr>
        <w:trPr>
          <w:trHeight w:val="236"/>
        </w:trPr>
        <w:tc>
          <w:tcPr>
            <w:tcW w:w="69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auto"/>
            </w:tcBorders>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5,006</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5,852</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431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08"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For each of the three months ended March 31, 2022 and 2021, the Company incurred an income tax provision of an insignificant amount, which related to foreign income taxes. The U.S. federal and state net deferred tax assets have been fully offset by a valuation allowance, as the Company believes it is not more likely than not that the deferred tax assets will be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08" w:lineRule="exact"/>
        <w:rPr>
          <w:sz w:val="20"/>
          <w:szCs w:val="20"/>
          <w:color w:val="auto"/>
        </w:rPr>
      </w:pPr>
    </w:p>
    <w:p>
      <w:pPr>
        <w:ind w:right="440" w:firstLine="569"/>
        <w:spacing w:after="0" w:line="261"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loss per share due to their anti-dilutive effect (in thousands):</w:t>
      </w:r>
    </w:p>
    <w:p>
      <w:pPr>
        <w:spacing w:after="0" w:line="59"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Three Months Ended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980" w:type="dxa"/>
            <w:vAlign w:val="bottom"/>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9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3,162</w:t>
            </w:r>
          </w:p>
        </w:tc>
        <w:tc>
          <w:tcPr>
            <w:tcW w:w="220" w:type="dxa"/>
            <w:vAlign w:val="bottom"/>
          </w:tcPr>
          <w:p>
            <w:pPr>
              <w:spacing w:after="0"/>
              <w:rPr>
                <w:sz w:val="17"/>
                <w:szCs w:val="17"/>
                <w:color w:val="auto"/>
              </w:rPr>
            </w:pPr>
          </w:p>
        </w:tc>
        <w:tc>
          <w:tcPr>
            <w:tcW w:w="1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5,019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Restricted stock units</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1,390</w:t>
            </w:r>
          </w:p>
        </w:tc>
        <w:tc>
          <w:tcPr>
            <w:tcW w:w="168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940" w:type="dxa"/>
            <w:vAlign w:val="bottom"/>
            <w:gridSpan w:val="2"/>
          </w:tcPr>
          <w:p>
            <w:pPr>
              <w:spacing w:after="0" w:line="202" w:lineRule="exact"/>
              <w:rPr>
                <w:sz w:val="20"/>
                <w:szCs w:val="20"/>
                <w:color w:val="auto"/>
              </w:rPr>
            </w:pPr>
            <w:r>
              <w:rPr>
                <w:rFonts w:ascii="Arial" w:cs="Arial" w:eastAsia="Arial" w:hAnsi="Arial"/>
                <w:sz w:val="18"/>
                <w:szCs w:val="18"/>
                <w:color w:val="auto"/>
              </w:rPr>
              <w:t>Performance stock units</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9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Shares committed under ESPP</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68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8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Warrant to purchase common stock</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Borders>
              <w:bottom w:val="single" w:sz="8" w:color="CFF0FC"/>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794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4,732</w:t>
            </w:r>
          </w:p>
        </w:tc>
        <w:tc>
          <w:tcPr>
            <w:tcW w:w="220" w:type="dxa"/>
            <w:vAlign w:val="bottom"/>
            <w:shd w:val="clear" w:color="auto" w:fill="CFF0FC"/>
          </w:tcPr>
          <w:p>
            <w:pPr>
              <w:spacing w:after="0"/>
              <w:rPr>
                <w:sz w:val="20"/>
                <w:szCs w:val="20"/>
                <w:color w:val="auto"/>
              </w:rPr>
            </w:pPr>
          </w:p>
        </w:tc>
        <w:tc>
          <w:tcPr>
            <w:tcW w:w="1460" w:type="dxa"/>
            <w:vAlign w:val="bottom"/>
            <w:tcBorders>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5,492</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6980" w:type="dxa"/>
            <w:vAlign w:val="bottom"/>
            <w:tcBorders>
              <w:top w:val="single" w:sz="8" w:color="CFF0FC"/>
            </w:tcBorders>
          </w:tcPr>
          <w:p>
            <w:pPr>
              <w:ind w:left="4960"/>
              <w:spacing w:after="0"/>
              <w:rPr>
                <w:sz w:val="20"/>
                <w:szCs w:val="20"/>
                <w:color w:val="auto"/>
              </w:rPr>
            </w:pPr>
            <w:r>
              <w:rPr>
                <w:rFonts w:ascii="Arial" w:cs="Arial" w:eastAsia="Arial" w:hAnsi="Arial"/>
                <w:sz w:val="18"/>
                <w:szCs w:val="18"/>
                <w:color w:val="auto"/>
              </w:rPr>
              <w:t>12</w:t>
            </w:r>
          </w:p>
        </w:tc>
        <w:tc>
          <w:tcPr>
            <w:tcW w:w="9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69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-505460</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-488315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-642620</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-505460</wp:posOffset>
            </wp:positionV>
            <wp:extent cx="34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-488315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-642620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80" w:firstLine="569"/>
        <w:spacing w:after="0" w:line="284"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2021 Annual Report. As used in this Quarterly Report, references to the “Company,” “we,” “us,” “our,” or similar terms refer to Outset Medical, Inc.</w:t>
      </w:r>
    </w:p>
    <w:p>
      <w:pPr>
        <w:spacing w:after="0" w:line="47" w:lineRule="exact"/>
        <w:rPr>
          <w:sz w:val="20"/>
          <w:szCs w:val="20"/>
          <w:color w:val="auto"/>
        </w:rPr>
      </w:pPr>
    </w:p>
    <w:p>
      <w:pPr>
        <w:ind w:right="20" w:firstLine="569"/>
        <w:spacing w:after="0" w:line="252"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69"/>
        <w:spacing w:after="0" w:line="276" w:lineRule="auto"/>
        <w:rPr>
          <w:sz w:val="20"/>
          <w:szCs w:val="20"/>
          <w:color w:val="auto"/>
        </w:rPr>
      </w:pPr>
      <w:r>
        <w:rPr>
          <w:rFonts w:ascii="Arial" w:cs="Arial" w:eastAsia="Arial" w:hAnsi="Arial"/>
          <w:sz w:val="16"/>
          <w:szCs w:val="16"/>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Unlike existing hemodialysis machines, which have limited clinical versatility across care settings, Tablo can be used seamlessly across multiple care settings and a wide range of clinical applications.</w:t>
      </w:r>
    </w:p>
    <w:p>
      <w:pPr>
        <w:spacing w:after="0" w:line="53"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over-the-air (OTA)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81" w:lineRule="exact"/>
        <w:rPr>
          <w:sz w:val="20"/>
          <w:szCs w:val="20"/>
          <w:color w:val="auto"/>
        </w:rPr>
      </w:pPr>
    </w:p>
    <w:p>
      <w:pPr>
        <w:ind w:right="20" w:firstLine="569"/>
        <w:spacing w:after="0" w:line="241" w:lineRule="auto"/>
        <w:rPr>
          <w:sz w:val="20"/>
          <w:szCs w:val="20"/>
          <w:color w:val="auto"/>
        </w:rPr>
      </w:pPr>
      <w:r>
        <w:rPr>
          <w:rFonts w:ascii="Arial" w:cs="Arial" w:eastAsia="Arial" w:hAnsi="Arial"/>
          <w:sz w:val="18"/>
          <w:szCs w:val="18"/>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cleared by the FDA for use in the hospital, clinic, or home setting.</w:t>
      </w:r>
    </w:p>
    <w:p>
      <w:pPr>
        <w:spacing w:after="0" w:line="81" w:lineRule="exact"/>
        <w:rPr>
          <w:sz w:val="20"/>
          <w:szCs w:val="20"/>
          <w:color w:val="auto"/>
        </w:rPr>
      </w:pPr>
    </w:p>
    <w:p>
      <w:pPr>
        <w:ind w:right="100" w:firstLine="569"/>
        <w:spacing w:after="0" w:line="241"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81" w:lineRule="exact"/>
        <w:rPr>
          <w:sz w:val="20"/>
          <w:szCs w:val="20"/>
          <w:color w:val="auto"/>
        </w:rPr>
      </w:pPr>
    </w:p>
    <w:p>
      <w:pPr>
        <w:ind w:right="20" w:firstLine="569"/>
        <w:spacing w:after="0" w:line="239" w:lineRule="auto"/>
        <w:rPr>
          <w:sz w:val="20"/>
          <w:szCs w:val="20"/>
          <w:color w:val="auto"/>
        </w:rPr>
      </w:pPr>
      <w:r>
        <w:rPr>
          <w:rFonts w:ascii="Arial" w:cs="Arial" w:eastAsia="Arial" w:hAnsi="Arial"/>
          <w:sz w:val="18"/>
          <w:szCs w:val="18"/>
          <w:color w:val="auto"/>
        </w:rPr>
        <w:t>Tablo is also well suited for home-based dialysis.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rapid scale. We are also working with providers, patients, and payors to increase awareness and adoption of transitional care units (TCUs) as a bridge to home-based therapy. To demonstrate the cost advantages of Tablo in the home setting, we are continuing to collect additional patient clinical experience and outcomes data.</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p>
      <w:pPr>
        <w:ind w:right="60" w:firstLine="569"/>
        <w:spacing w:after="0" w:line="257" w:lineRule="auto"/>
        <w:rPr>
          <w:sz w:val="20"/>
          <w:szCs w:val="20"/>
          <w:color w:val="auto"/>
        </w:rPr>
      </w:pPr>
      <w:r>
        <w:rPr>
          <w:rFonts w:ascii="Arial" w:cs="Arial" w:eastAsia="Arial" w:hAnsi="Arial"/>
          <w:sz w:val="17"/>
          <w:szCs w:val="17"/>
          <w:color w:val="auto"/>
        </w:rPr>
        <w:t>We sell our solutions through our direct sales organization, which covers most major metropolitan markets in the United States. As of March 31, 2022, our sales organization is comprised of 38 capital sales team members, responsible for generating new customer demand for Tablo, and 96 clinical sales team members, responsible for driving utilization and fleet expansion of Tablo consoles at existing customer sites. In addition, our field service team, comprised of 108 members, provides maintenance services and product support to Tablo customers.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67" w:lineRule="exact"/>
        <w:rPr>
          <w:sz w:val="20"/>
          <w:szCs w:val="20"/>
          <w:color w:val="auto"/>
        </w:rPr>
      </w:pPr>
    </w:p>
    <w:p>
      <w:pPr>
        <w:ind w:right="140" w:firstLine="569"/>
        <w:spacing w:after="0" w:line="243" w:lineRule="auto"/>
        <w:rPr>
          <w:sz w:val="20"/>
          <w:szCs w:val="20"/>
          <w:color w:val="auto"/>
        </w:rPr>
      </w:pPr>
      <w:r>
        <w:rPr>
          <w:rFonts w:ascii="Arial" w:cs="Arial" w:eastAsia="Arial" w:hAnsi="Arial"/>
          <w:sz w:val="18"/>
          <w:szCs w:val="18"/>
          <w:color w:val="auto"/>
        </w:rPr>
        <w:t>We generate revenue primarily from the initial sale of Tablo consoles, and recurring sales of per-treatment consumables, including the Tablo cartridge, which generates significant total revenue over the life of the console. We generate additional recurring revenue via annual service contracts and revenue from shipping and handling charged to customers. Our total revenue was $30.6 million and $22.9 million for the three months ended March 31, 2022 and 2021, respectively.</w:t>
      </w:r>
    </w:p>
    <w:p>
      <w:pPr>
        <w:spacing w:after="0" w:line="80" w:lineRule="exact"/>
        <w:rPr>
          <w:sz w:val="20"/>
          <w:szCs w:val="20"/>
          <w:color w:val="auto"/>
        </w:rPr>
      </w:pPr>
    </w:p>
    <w:p>
      <w:pPr>
        <w:ind w:firstLine="569"/>
        <w:spacing w:after="0" w:line="262" w:lineRule="auto"/>
        <w:rPr>
          <w:sz w:val="20"/>
          <w:szCs w:val="20"/>
          <w:color w:val="auto"/>
        </w:rPr>
      </w:pPr>
      <w:r>
        <w:rPr>
          <w:rFonts w:ascii="Arial" w:cs="Arial" w:eastAsia="Arial" w:hAnsi="Arial"/>
          <w:sz w:val="17"/>
          <w:szCs w:val="17"/>
          <w:color w:val="auto"/>
        </w:rPr>
        <w:t>Historically, we have financed our operations and capital expenditures primarily through sales of redeemable convertible preferred stock and common stock, revenue from sales, and debt financing. Since our inception, we have incurred net losses in each year. For the three months ended March 31, 2022 and 2021, we incurred net losses of $36.9 million and $30.0 million, respectively. As of March 31, 2022, we had an accumulated deficit of $662.9 million. We expect to continue to incur significant expenses for the foreseeable future and to incur operating losses in the near 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right="20" w:firstLine="569"/>
        <w:spacing w:after="0" w:line="243"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Acceptance of Tablo in Acute Setting</w:t>
      </w:r>
    </w:p>
    <w:p>
      <w:pPr>
        <w:spacing w:after="0" w:line="104" w:lineRule="exact"/>
        <w:rPr>
          <w:sz w:val="20"/>
          <w:szCs w:val="20"/>
          <w:color w:val="auto"/>
        </w:rPr>
      </w:pPr>
    </w:p>
    <w:p>
      <w:pPr>
        <w:ind w:right="180" w:firstLine="569"/>
        <w:spacing w:after="0" w:line="241" w:lineRule="auto"/>
        <w:rPr>
          <w:sz w:val="20"/>
          <w:szCs w:val="20"/>
          <w:color w:val="auto"/>
        </w:rPr>
      </w:pPr>
      <w:r>
        <w:rPr>
          <w:rFonts w:ascii="Arial" w:cs="Arial" w:eastAsia="Arial" w:hAnsi="Arial"/>
          <w:sz w:val="18"/>
          <w:szCs w:val="18"/>
          <w:color w:val="auto"/>
        </w:rPr>
        <w:t>We plan to further broaden our installed base by continuing to target national and regional Integrated Delivery Networks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will in part drive our results of operations and the growth of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Tablo within the Home Setting</w:t>
      </w:r>
    </w:p>
    <w:p>
      <w:pPr>
        <w:spacing w:after="0" w:line="104" w:lineRule="exact"/>
        <w:rPr>
          <w:sz w:val="20"/>
          <w:szCs w:val="20"/>
          <w:color w:val="auto"/>
        </w:rPr>
      </w:pPr>
    </w:p>
    <w:p>
      <w:pPr>
        <w:ind w:firstLine="569"/>
        <w:spacing w:after="0" w:line="284" w:lineRule="auto"/>
        <w:rPr>
          <w:sz w:val="20"/>
          <w:szCs w:val="20"/>
          <w:color w:val="auto"/>
        </w:rPr>
      </w:pPr>
      <w:r>
        <w:rPr>
          <w:rFonts w:ascii="Arial" w:cs="Arial" w:eastAsia="Arial" w:hAnsi="Arial"/>
          <w:sz w:val="16"/>
          <w:szCs w:val="16"/>
          <w:color w:val="auto"/>
        </w:rPr>
        <w:t>We believe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04" w:lineRule="exact"/>
        <w:rPr>
          <w:sz w:val="20"/>
          <w:szCs w:val="20"/>
          <w:color w:val="auto"/>
        </w:rPr>
      </w:pPr>
    </w:p>
    <w:p>
      <w:pPr>
        <w:ind w:right="40" w:firstLine="569"/>
        <w:spacing w:after="0" w:line="272" w:lineRule="auto"/>
        <w:rPr>
          <w:sz w:val="20"/>
          <w:szCs w:val="20"/>
          <w:color w:val="auto"/>
        </w:rPr>
      </w:pPr>
      <w:r>
        <w:rPr>
          <w:rFonts w:ascii="Arial" w:cs="Arial" w:eastAsia="Arial" w:hAnsi="Arial"/>
          <w:sz w:val="16"/>
          <w:szCs w:val="16"/>
          <w:color w:val="auto"/>
        </w:rPr>
        <w:t>We are continuing to execute a well-defined strategy designed to expand gross margins. First, in the first quarter of 2021, we successfully began production at our own console manufacturing facility in Tijuana, Mexico which we operate in collaboration with our outsourced business administration service provider, TACNA. Second, following our receipt of 510(k) clearance from the FDA for the new cartridge sterilization method in the fourth quarter of 2021, we have qualified a second source to increase Tablo cartridge production through a new manufacturing partner in Mexico, which we anticipate will result in cost reductions, including lower freight costs. Third, we will continue to drive scale across our console platform to leverage our supply base and help improve our manufacturing efficiency. Fourth, we will continue to utilize our cloud-based data system, as well as enhanced product performance, to help drive down the cost of service. Our ability to grow our business will depend in part on these and other measures to control the costs of our products being successful. Likewise, it will be important that we effectively manage the costs of generating our service revenue.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Impacts of the COVID-19 pandemic</w:t>
      </w:r>
    </w:p>
    <w:p>
      <w:pPr>
        <w:spacing w:after="0" w:line="108" w:lineRule="exact"/>
        <w:rPr>
          <w:sz w:val="20"/>
          <w:szCs w:val="20"/>
          <w:color w:val="auto"/>
        </w:rPr>
      </w:pPr>
    </w:p>
    <w:p>
      <w:pPr>
        <w:ind w:right="160" w:firstLine="569"/>
        <w:spacing w:after="0" w:line="254" w:lineRule="auto"/>
        <w:rPr>
          <w:sz w:val="20"/>
          <w:szCs w:val="20"/>
          <w:color w:val="auto"/>
        </w:rPr>
      </w:pPr>
      <w:r>
        <w:rPr>
          <w:rFonts w:ascii="Arial" w:cs="Arial" w:eastAsia="Arial" w:hAnsi="Arial"/>
          <w:sz w:val="17"/>
          <w:szCs w:val="17"/>
          <w:color w:val="auto"/>
        </w:rPr>
        <w:t>Our business may be impacted by an escalation or a continuation of the ongoing COVID-19 pandemic. While the operations at our contract manufacturing partners’ facilities and our outsourced business administration service provider, TACNA, for our facility in Tijuana, Mexico, have not yet experienced significant disruption as a result of the pandemic, the possibility that such disruption may occur remains. Additionally, the COVID-19 pandemic has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procure higher quantities of materials when they become available,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w:t>
      </w:r>
    </w:p>
    <w:p>
      <w:pPr>
        <w:spacing w:after="0" w:line="73" w:lineRule="exact"/>
        <w:rPr>
          <w:sz w:val="20"/>
          <w:szCs w:val="20"/>
          <w:color w:val="auto"/>
        </w:rPr>
      </w:pPr>
    </w:p>
    <w:p>
      <w:pPr>
        <w:ind w:firstLine="569"/>
        <w:spacing w:after="0" w:line="252" w:lineRule="auto"/>
        <w:rPr>
          <w:sz w:val="20"/>
          <w:szCs w:val="20"/>
          <w:color w:val="auto"/>
        </w:rPr>
      </w:pPr>
      <w:r>
        <w:rPr>
          <w:rFonts w:ascii="Arial" w:cs="Arial" w:eastAsia="Arial" w:hAnsi="Arial"/>
          <w:sz w:val="17"/>
          <w:szCs w:val="17"/>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the fourth quarter of 2021, these supply chain disruptions escalated,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In the fourth quarter of 2021, we qualified a second source to increase Tablo cartridge production through a new manufacturing partner in Mexico. While we anticipate that this second source will help mitigate supply chain challenges and reduce the need for costly and capacity-constrained air freight delivery of the cartridges, there is no assurance that we will not continue to face supply chain constraints. Continued escalation of these supply chain disruptions and a sustained rise in freight costs could negatively impact our ability to meet customer demand on a timely basis, result in customer dissatisfaction and adversely impact our operating margins and results of operations.</w:t>
      </w:r>
    </w:p>
    <w:p>
      <w:pPr>
        <w:spacing w:after="0" w:line="78" w:lineRule="exact"/>
        <w:rPr>
          <w:sz w:val="20"/>
          <w:szCs w:val="20"/>
          <w:color w:val="auto"/>
        </w:rPr>
      </w:pPr>
    </w:p>
    <w:p>
      <w:pPr>
        <w:ind w:right="140" w:firstLine="569"/>
        <w:spacing w:after="0" w:line="252" w:lineRule="auto"/>
        <w:rPr>
          <w:sz w:val="20"/>
          <w:szCs w:val="20"/>
          <w:color w:val="auto"/>
        </w:rPr>
      </w:pPr>
      <w:r>
        <w:rPr>
          <w:rFonts w:ascii="Arial" w:cs="Arial" w:eastAsia="Arial" w:hAnsi="Arial"/>
          <w:sz w:val="17"/>
          <w:szCs w:val="17"/>
          <w:color w:val="auto"/>
        </w:rPr>
        <w:t>Moreover, healthcare providers (including our existing and prospective customers) are facing a nationwide shortage of qualified nurses and other clinical personnel due to long-term trends that have been exacerbated by the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ongoing pandemic. We believe Tablo offers automation and ease-of-use benefits over traditional machines that can enhance our existing and potential customers’ ability to support their patient populations despite staffing shortages. However, there is also a risk that the increased costs and other disruptions caused by the shortage of dialysis nurses, technicians and other staff could cause existing or prospective customers to delay continued investment in or adoption of new technologies and postpone purchasing decisions. If our customers continue to face prolonged volatility, uncertainty, and staffing shortages, whether due to the pandemic or otherwise, it could ultimately adversely impact our ability to expand existing customer relationships or attract new customers of Tablo, and have a material adverse effect on our revenues, results of operations, and future growth.</w:t>
      </w:r>
    </w:p>
    <w:p>
      <w:pPr>
        <w:spacing w:after="0" w:line="78" w:lineRule="exact"/>
        <w:rPr>
          <w:sz w:val="20"/>
          <w:szCs w:val="20"/>
          <w:color w:val="auto"/>
        </w:rPr>
      </w:pPr>
    </w:p>
    <w:p>
      <w:pPr>
        <w:ind w:right="140" w:firstLine="569"/>
        <w:spacing w:after="0" w:line="253" w:lineRule="auto"/>
        <w:rPr>
          <w:sz w:val="20"/>
          <w:szCs w:val="20"/>
          <w:color w:val="auto"/>
        </w:rPr>
      </w:pPr>
      <w:r>
        <w:rPr>
          <w:rFonts w:ascii="Arial" w:cs="Arial" w:eastAsia="Arial" w:hAnsi="Arial"/>
          <w:sz w:val="17"/>
          <w:szCs w:val="17"/>
          <w:color w:val="auto"/>
        </w:rPr>
        <w:t>How long the pandemic, and measures intended to contain the spread of COVID-19, will continue remains uncertain and depends on ongoing developments, including but not limited to any resurgences of the virus including emerging variant strains, federal, state, and local government actions taken in response, and continued availability, effectiveness and public acceptance of COVID-19 vaccines. Additionally, the duration and severity of disruptions in the global supply chain, and depend on various factors, including the effectiveness of recent government actions intended to mitigate these disruptions. As a result, we cannot predict what effect COVID-19, the associated containment measures, and the related supply chain disruptions will ultimately have on our business and results of operations, on our customers, or on our suppliers and vendors, in particular for any of our suppliers and vendors that may not qualify as essential businesses and suffer more significant or lengthier disruptions to their business operations.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gridSpan w:val="2"/>
          </w:tcPr>
          <w:p>
            <w:pPr>
              <w:ind w:left="560"/>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120" w:type="dxa"/>
            <w:vAlign w:val="bottom"/>
            <w:gridSpan w:val="16"/>
          </w:tcPr>
          <w:p>
            <w:pPr>
              <w:ind w:left="560"/>
              <w:spacing w:after="0"/>
              <w:rPr>
                <w:sz w:val="20"/>
                <w:szCs w:val="20"/>
                <w:color w:val="auto"/>
              </w:rPr>
            </w:pPr>
            <w:r>
              <w:rPr>
                <w:rFonts w:ascii="Arial" w:cs="Arial" w:eastAsia="Arial" w:hAnsi="Arial"/>
                <w:sz w:val="18"/>
                <w:szCs w:val="18"/>
                <w:color w:val="auto"/>
                <w:w w:val="94"/>
              </w:rPr>
              <w:t>The following table summarizes our results of operations for the three months ended March 31, 2022 and 2021 (in thousands):</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11"/>
          </w:tcPr>
          <w:p>
            <w:pPr>
              <w:jc w:val="right"/>
              <w:ind w:right="41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25,664</w:t>
            </w:r>
          </w:p>
        </w:tc>
        <w:tc>
          <w:tcPr>
            <w:tcW w:w="60" w:type="dxa"/>
            <w:vAlign w:val="bottom"/>
          </w:tcPr>
          <w:p>
            <w:pPr>
              <w:spacing w:after="0"/>
              <w:rPr>
                <w:sz w:val="17"/>
                <w:szCs w:val="17"/>
                <w:color w:val="auto"/>
              </w:rPr>
            </w:pP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 and other revenue</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4,886</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4,706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30,550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22,916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23,110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service and other revenue</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2,998</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2,050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26,108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22,627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5320" w:type="dxa"/>
            <w:vAlign w:val="bottom"/>
            <w:gridSpan w:val="2"/>
            <w:shd w:val="clear" w:color="auto" w:fill="CFF0FC"/>
          </w:tcPr>
          <w:p>
            <w:pPr>
              <w:ind w:left="460"/>
              <w:spacing w:after="0" w:line="196"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4,442</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289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10,831</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7,570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20,377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9,709</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9,246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29,965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(36,475</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(29,676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income and other income, net</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(422 )</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(422 )</w:t>
            </w:r>
          </w:p>
        </w:tc>
        <w:tc>
          <w:tcPr>
            <w:tcW w:w="0" w:type="dxa"/>
            <w:vAlign w:val="bottom"/>
          </w:tcPr>
          <w:p>
            <w:pPr>
              <w:spacing w:after="0"/>
              <w:rPr>
                <w:sz w:val="1"/>
                <w:szCs w:val="1"/>
                <w:color w:val="auto"/>
              </w:rPr>
            </w:pPr>
          </w:p>
        </w:tc>
      </w:tr>
      <w:tr>
        <w:trPr>
          <w:trHeight w:val="196"/>
        </w:trPr>
        <w:tc>
          <w:tcPr>
            <w:tcW w:w="5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(36,777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(29,986</w:t>
            </w:r>
          </w:p>
        </w:tc>
        <w:tc>
          <w:tcPr>
            <w:tcW w:w="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w:t>
            </w:r>
          </w:p>
        </w:tc>
        <w:tc>
          <w:tcPr>
            <w:tcW w:w="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(36,892 )</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(30,025 )</w:t>
            </w:r>
          </w:p>
        </w:tc>
        <w:tc>
          <w:tcPr>
            <w:tcW w:w="0" w:type="dxa"/>
            <w:vAlign w:val="bottom"/>
          </w:tcPr>
          <w:p>
            <w:pPr>
              <w:spacing w:after="0"/>
              <w:rPr>
                <w:sz w:val="1"/>
                <w:szCs w:val="1"/>
                <w:color w:val="auto"/>
              </w:rPr>
            </w:pPr>
          </w:p>
        </w:tc>
      </w:tr>
      <w:tr>
        <w:trPr>
          <w:trHeight w:val="20"/>
        </w:trPr>
        <w:tc>
          <w:tcPr>
            <w:tcW w:w="53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95"/>
              </w:rPr>
              <w:t>Comparison of the Three Months Ended March 31, 2022 and 2021</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3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20" w:type="dxa"/>
            <w:vAlign w:val="bottom"/>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8"/>
                <w:szCs w:val="18"/>
                <w:b w:val="1"/>
                <w:bCs w:val="1"/>
                <w:color w:val="auto"/>
                <w:w w:val="93"/>
              </w:rPr>
              <w:t>Three Months Ended March 31,</w:t>
            </w: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9"/>
              </w:rPr>
              <w:t>Change</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 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25,664</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18,210</w:t>
            </w: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7,454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2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 and other revenue</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4,886</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4,706</w:t>
            </w:r>
          </w:p>
        </w:tc>
        <w:tc>
          <w:tcPr>
            <w:tcW w:w="3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86"/>
              </w:rPr>
              <w:t>180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4 %</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30,550</w:t>
            </w:r>
          </w:p>
        </w:tc>
        <w:tc>
          <w:tcPr>
            <w:tcW w:w="6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22,916</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auto"/>
              </w:rPr>
              <w:t>7,634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33 %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-3554095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-3554095</wp:posOffset>
            </wp:positionV>
            <wp:extent cx="5143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-3030855</wp:posOffset>
            </wp:positionV>
            <wp:extent cx="5143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-3030855</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-2242185</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-2242185</wp:posOffset>
            </wp:positionV>
            <wp:extent cx="5143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-1445260</wp:posOffset>
            </wp:positionV>
            <wp:extent cx="5143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-1445260</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-159385</wp:posOffset>
            </wp:positionV>
            <wp:extent cx="431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-159385</wp:posOffset>
            </wp:positionV>
            <wp:extent cx="431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ind w:right="100" w:firstLine="569"/>
        <w:spacing w:after="0" w:line="284" w:lineRule="auto"/>
        <w:rPr>
          <w:sz w:val="20"/>
          <w:szCs w:val="20"/>
          <w:color w:val="auto"/>
        </w:rPr>
      </w:pPr>
      <w:r>
        <w:rPr>
          <w:rFonts w:ascii="Arial" w:cs="Arial" w:eastAsia="Arial" w:hAnsi="Arial"/>
          <w:sz w:val="16"/>
          <w:szCs w:val="16"/>
          <w:color w:val="auto"/>
        </w:rPr>
        <w:t>Product revenue increased by $7.5 million, or 41% for the three months ended March 31, 2022 as compared to the same quarter in prior year, driven by a $3.3 million increase in consoles revenue and a $4.2 million increase in consumables revenue. The increase in consoles revenue was driven by new customer adoption and fleet expansion across existing customer sites, which was slightly offset by a $0.6 million decrease in console leasing revenue. The increase in consumables revenue was driven by the growth in our console installed base and higher average selling prices.</w:t>
      </w:r>
    </w:p>
    <w:p>
      <w:pPr>
        <w:spacing w:after="0" w:line="47" w:lineRule="exact"/>
        <w:rPr>
          <w:sz w:val="20"/>
          <w:szCs w:val="20"/>
          <w:color w:val="auto"/>
        </w:rPr>
      </w:pPr>
    </w:p>
    <w:p>
      <w:pPr>
        <w:jc w:val="both"/>
        <w:ind w:right="240" w:firstLine="569"/>
        <w:spacing w:after="0" w:line="248" w:lineRule="auto"/>
        <w:rPr>
          <w:sz w:val="20"/>
          <w:szCs w:val="20"/>
          <w:color w:val="auto"/>
        </w:rPr>
      </w:pPr>
      <w:r>
        <w:rPr>
          <w:rFonts w:ascii="Arial" w:cs="Arial" w:eastAsia="Arial" w:hAnsi="Arial"/>
          <w:sz w:val="18"/>
          <w:szCs w:val="18"/>
          <w:color w:val="auto"/>
        </w:rPr>
        <w:t>Service and other revenue increased by $0.2 million, or 4%, for the three months ended March 31, 2022 as compared to the same quarter in prior year. The increase was primarily due to services associated with the growth in our console installed base, which was offset by a $1.5 million decrease in service revenue from leased consoles.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00" w:type="dxa"/>
            <w:vAlign w:val="bottom"/>
            <w:vMerge w:val="restart"/>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92"/>
              </w:rPr>
              <w:t>Three Months Ended March 31,</w:t>
            </w: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product revenue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23,110</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20,577</w:t>
            </w:r>
          </w:p>
        </w:tc>
        <w:tc>
          <w:tcPr>
            <w:tcW w:w="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service and other revenue</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2,998</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2,050</w:t>
            </w:r>
          </w:p>
        </w:tc>
        <w:tc>
          <w:tcPr>
            <w:tcW w:w="3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Total cost of revenue</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26,108</w:t>
            </w:r>
          </w:p>
        </w:tc>
        <w:tc>
          <w:tcPr>
            <w:tcW w:w="6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22,627</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3,481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300" w:type="dxa"/>
            <w:vAlign w:val="bottom"/>
            <w:gridSpan w:val="2"/>
            <w:shd w:val="clear" w:color="auto" w:fill="CFF0FC"/>
          </w:tcPr>
          <w:p>
            <w:pPr>
              <w:ind w:left="540"/>
              <w:spacing w:after="0" w:line="183"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4,442</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289</w:t>
            </w:r>
          </w:p>
        </w:tc>
        <w:tc>
          <w:tcPr>
            <w:tcW w:w="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4,153</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(1,437 )%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ind w:left="54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14.5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75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-896620</wp:posOffset>
            </wp:positionV>
            <wp:extent cx="431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-896620</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ind w:right="20" w:firstLine="569"/>
        <w:spacing w:after="0" w:line="279" w:lineRule="auto"/>
        <w:rPr>
          <w:sz w:val="20"/>
          <w:szCs w:val="20"/>
          <w:color w:val="auto"/>
        </w:rPr>
      </w:pPr>
      <w:r>
        <w:rPr>
          <w:rFonts w:ascii="Arial" w:cs="Arial" w:eastAsia="Arial" w:hAnsi="Arial"/>
          <w:sz w:val="16"/>
          <w:szCs w:val="16"/>
          <w:color w:val="auto"/>
        </w:rPr>
        <w:t>The total cost of revenue increased by $3.5 million, or 15% for the three months ended March 31, 2022 as compared to the same quarter in prior year. This increase was primarily due to growth in sales volume. Gross profit increased by $4.2 million, or 1,437% for the three months ended March 31, 2022 as compared to the same quarter in prior year. The gross margin percentage improved by 13.2 percentage points for the three months ended March 31, 2022, as compared to the same quarter in prior year. This improvement in gross profit and gross margin was primarily driven by the impact of our cost reduction activities. Such improvement was partially offset by the lower service and other gross margin due to expiration of certain lease agreement.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20" w:type="dxa"/>
            <w:vAlign w:val="bottom"/>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3"/>
              </w:rPr>
              <w:t>Three Months Ended March 31,</w:t>
            </w:r>
          </w:p>
        </w:tc>
        <w:tc>
          <w:tcPr>
            <w:tcW w:w="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10,831</w:t>
            </w:r>
          </w:p>
        </w:tc>
        <w:tc>
          <w:tcPr>
            <w:tcW w:w="6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7,570</w:t>
            </w:r>
          </w:p>
        </w:tc>
        <w:tc>
          <w:tcPr>
            <w:tcW w:w="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2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20,377</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13,149</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9,709</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9,246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5320" w:type="dxa"/>
            <w:vAlign w:val="bottom"/>
            <w:tcBorders>
              <w:bottom w:val="single" w:sz="8" w:color="CFF0FC"/>
            </w:tcBorders>
            <w:gridSpan w:val="2"/>
            <w:shd w:val="clear" w:color="auto" w:fill="CFF0FC"/>
          </w:tcPr>
          <w:p>
            <w:pPr>
              <w:ind w:left="360"/>
              <w:spacing w:after="0" w:line="182"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40,917</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29,965</w:t>
            </w:r>
          </w:p>
        </w:tc>
        <w:tc>
          <w:tcPr>
            <w:tcW w:w="3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10,952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both"/>
        <w:ind w:right="20" w:firstLine="569"/>
        <w:spacing w:after="0" w:line="248" w:lineRule="auto"/>
        <w:rPr>
          <w:sz w:val="20"/>
          <w:szCs w:val="20"/>
          <w:color w:val="auto"/>
        </w:rPr>
      </w:pPr>
      <w:r>
        <w:rPr>
          <w:rFonts w:ascii="Arial" w:cs="Arial" w:eastAsia="Arial" w:hAnsi="Arial"/>
          <w:sz w:val="18"/>
          <w:szCs w:val="18"/>
          <w:color w:val="auto"/>
        </w:rPr>
        <w:t>Research and development expenses increased by $3.3 million, or 43% for the three months ended March 31, 2022 as compared to the same quarter in prior year. The increase was primarily due to higher headcount and higher consulting services to support our product development activities. In addition, there was increased infrastructure costs to support our growth.</w:t>
      </w:r>
    </w:p>
    <w:p>
      <w:pPr>
        <w:spacing w:after="0" w:line="74" w:lineRule="exact"/>
        <w:rPr>
          <w:sz w:val="20"/>
          <w:szCs w:val="20"/>
          <w:color w:val="auto"/>
        </w:rPr>
      </w:pPr>
    </w:p>
    <w:p>
      <w:pPr>
        <w:ind w:firstLine="569"/>
        <w:spacing w:after="0" w:line="284" w:lineRule="auto"/>
        <w:rPr>
          <w:sz w:val="20"/>
          <w:szCs w:val="20"/>
          <w:color w:val="auto"/>
        </w:rPr>
      </w:pPr>
      <w:r>
        <w:rPr>
          <w:rFonts w:ascii="Arial" w:cs="Arial" w:eastAsia="Arial" w:hAnsi="Arial"/>
          <w:sz w:val="16"/>
          <w:szCs w:val="16"/>
          <w:color w:val="auto"/>
        </w:rPr>
        <w:t>Sales and marketing expenses increased by $7.2 million, or 55% for the three months ended March 31, 2022 as compared to the same quarter in prior year. The increase was primarily driven by higher headcount, higher commissions due to higher sales, and increased infrastructure costs to support our growth. In addition, there were higher travel and freight expenses for the three months ended March 31, 2022, as compared with the same quarter in prior year. This increase was partially offset by lower clinical sales consultant services expense as we have increased our headcount to insource the services.</w:t>
      </w:r>
    </w:p>
    <w:p>
      <w:pPr>
        <w:spacing w:after="0" w:line="47" w:lineRule="exact"/>
        <w:rPr>
          <w:sz w:val="20"/>
          <w:szCs w:val="20"/>
          <w:color w:val="auto"/>
        </w:rPr>
      </w:pPr>
    </w:p>
    <w:p>
      <w:pPr>
        <w:ind w:right="20" w:firstLine="569"/>
        <w:spacing w:after="0" w:line="259" w:lineRule="auto"/>
        <w:rPr>
          <w:sz w:val="20"/>
          <w:szCs w:val="20"/>
          <w:color w:val="auto"/>
        </w:rPr>
      </w:pPr>
      <w:r>
        <w:rPr>
          <w:rFonts w:ascii="Arial" w:cs="Arial" w:eastAsia="Arial" w:hAnsi="Arial"/>
          <w:sz w:val="17"/>
          <w:szCs w:val="17"/>
          <w:color w:val="auto"/>
        </w:rPr>
        <w:t>General and administrative expenses increased by $0.5 million or 5% for the three months ended March 31, 2022 as compared to the same quarter in prior year. The increase was primarily driven by higher headcount and increased infrastructure costs to support our growth. In addition, there were higher travel and insurance expenses for the three months ended March 31, 2022, as compared with the same quarter in prior year. The increase was partially offset by a decrease in stock-based compensation expense due to the expense related to stock options with performance and market-based vesting conditions in 2020, which was fully recognized as of the end of third quarter of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right"/>
              <w:ind w:right="481"/>
              <w:spacing w:after="0"/>
              <w:rPr>
                <w:sz w:val="20"/>
                <w:szCs w:val="20"/>
                <w:color w:val="auto"/>
              </w:rPr>
            </w:pPr>
            <w:r>
              <w:rPr>
                <w:rFonts w:ascii="Arial" w:cs="Arial" w:eastAsia="Arial" w:hAnsi="Arial"/>
                <w:sz w:val="18"/>
                <w:szCs w:val="18"/>
                <w:b w:val="1"/>
                <w:bCs w:val="1"/>
                <w:color w:val="auto"/>
                <w:w w:val="93"/>
              </w:rPr>
              <w:t>Three Months Ended March 31,</w:t>
            </w:r>
          </w:p>
        </w:tc>
        <w:tc>
          <w:tcPr>
            <w:tcW w:w="320" w:type="dxa"/>
            <w:vAlign w:val="bottom"/>
          </w:tcPr>
          <w:p>
            <w:pPr>
              <w:spacing w:after="0"/>
              <w:rPr>
                <w:sz w:val="24"/>
                <w:szCs w:val="24"/>
                <w:color w:val="auto"/>
              </w:rPr>
            </w:pPr>
          </w:p>
        </w:tc>
        <w:tc>
          <w:tcPr>
            <w:tcW w:w="134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(expenses), net:</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income and other income, net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3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112</w:t>
            </w:r>
          </w:p>
        </w:tc>
        <w:tc>
          <w:tcPr>
            <w:tcW w:w="3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(422 )</w:t>
            </w:r>
          </w:p>
        </w:tc>
        <w:tc>
          <w:tcPr>
            <w:tcW w:w="2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1"/>
              <w:spacing w:after="0" w:line="202" w:lineRule="exact"/>
              <w:rPr>
                <w:sz w:val="20"/>
                <w:szCs w:val="20"/>
                <w:color w:val="auto"/>
              </w:rPr>
            </w:pPr>
            <w:r>
              <w:rPr>
                <w:rFonts w:ascii="Arial" w:cs="Arial" w:eastAsia="Arial" w:hAnsi="Arial"/>
                <w:sz w:val="18"/>
                <w:szCs w:val="18"/>
                <w:color w:val="auto"/>
              </w:rPr>
              <w:t>(422 )</w:t>
            </w:r>
          </w:p>
        </w:tc>
        <w:tc>
          <w:tcPr>
            <w:tcW w:w="320" w:type="dxa"/>
            <w:vAlign w:val="bottom"/>
            <w:shd w:val="clear" w:color="auto" w:fill="CFF0FC"/>
          </w:tcPr>
          <w:p>
            <w:pPr>
              <w:spacing w:after="0"/>
              <w:rPr>
                <w:sz w:val="17"/>
                <w:szCs w:val="17"/>
                <w:color w:val="auto"/>
              </w:rPr>
            </w:pPr>
          </w:p>
        </w:tc>
        <w:tc>
          <w:tcPr>
            <w:tcW w:w="1340" w:type="dxa"/>
            <w:vAlign w:val="bottom"/>
            <w:gridSpan w:val="3"/>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(302</w:t>
            </w:r>
          </w:p>
        </w:tc>
        <w:tc>
          <w:tcPr>
            <w:tcW w:w="380" w:type="dxa"/>
            <w:vAlign w:val="bottom"/>
          </w:tcPr>
          <w:p>
            <w:pPr>
              <w:jc w:val="right"/>
              <w:ind w:right="210"/>
              <w:spacing w:after="0" w:line="17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(310</w:t>
            </w:r>
          </w:p>
        </w:tc>
        <w:tc>
          <w:tcPr>
            <w:tcW w:w="380" w:type="dxa"/>
            <w:vAlign w:val="bottom"/>
          </w:tcPr>
          <w:p>
            <w:pPr>
              <w:jc w:val="right"/>
              <w:ind w:right="241"/>
              <w:spacing w:after="0" w:line="176" w:lineRule="exact"/>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7"/>
                <w:szCs w:val="17"/>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 Not meaningful</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80" w:firstLine="569"/>
        <w:spacing w:after="0" w:line="261" w:lineRule="auto"/>
        <w:rPr>
          <w:sz w:val="20"/>
          <w:szCs w:val="20"/>
          <w:color w:val="auto"/>
        </w:rPr>
      </w:pPr>
      <w:r>
        <w:rPr>
          <w:rFonts w:ascii="Arial" w:cs="Arial" w:eastAsia="Arial" w:hAnsi="Arial"/>
          <w:sz w:val="18"/>
          <w:szCs w:val="18"/>
          <w:color w:val="auto"/>
        </w:rPr>
        <w:t>Interest income and other income, net and interest expense for the three months ended March 31, 2022 was relatively consistent with the prior year amount.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160" w:firstLine="569"/>
        <w:spacing w:after="0" w:line="324" w:lineRule="auto"/>
        <w:rPr>
          <w:sz w:val="20"/>
          <w:szCs w:val="20"/>
          <w:color w:val="auto"/>
        </w:rPr>
      </w:pPr>
      <w:r>
        <w:rPr>
          <w:rFonts w:ascii="Arial" w:cs="Arial" w:eastAsia="Arial" w:hAnsi="Arial"/>
          <w:sz w:val="16"/>
          <w:szCs w:val="16"/>
          <w:color w:val="auto"/>
        </w:rPr>
        <w:t>As of March 31, 2022, we had cash, cash equivalents and short-term investments of $302.3 million, which are available to fund future operations, and restricted cash of $33.3 million, for a total cash, cash equivalents, restricted cash and short-term investments balance of $335.6 million.</w:t>
      </w:r>
    </w:p>
    <w:p>
      <w:pPr>
        <w:spacing w:after="0" w:line="16"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financings, and proceeds from stock option exercises and employee stock purchases.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right="120" w:firstLine="569"/>
        <w:spacing w:after="0" w:line="253" w:lineRule="auto"/>
        <w:rPr>
          <w:sz w:val="20"/>
          <w:szCs w:val="20"/>
          <w:color w:val="auto"/>
        </w:rPr>
      </w:pPr>
      <w:r>
        <w:rPr>
          <w:rFonts w:ascii="Arial" w:cs="Arial" w:eastAsia="Arial" w:hAnsi="Arial"/>
          <w:sz w:val="17"/>
          <w:szCs w:val="17"/>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and services, will be sufficient to meet our anticipated needs for at least the next 12 months from the date of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cash flows for each of the periods indicated (in thousands):</w:t>
      </w:r>
    </w:p>
    <w:p>
      <w:pPr>
        <w:spacing w:after="0" w:line="100" w:lineRule="exact"/>
        <w:rPr>
          <w:sz w:val="20"/>
          <w:szCs w:val="20"/>
          <w:color w:val="auto"/>
        </w:rPr>
      </w:pPr>
    </w:p>
    <w:tbl>
      <w:tblPr>
        <w:tblLayout w:type="fixed"/>
        <w:tblInd w:w="180" w:type="dxa"/>
        <w:tblCellMar>
          <w:top w:w="0" w:type="dxa"/>
          <w:left w:w="0" w:type="dxa"/>
          <w:bottom w:w="0" w:type="dxa"/>
          <w:right w:w="0" w:type="dxa"/>
        </w:tblCellMar>
      </w:tblPr>
      <w:tr>
        <w:trPr>
          <w:trHeight w:val="221"/>
        </w:trPr>
        <w:tc>
          <w:tcPr>
            <w:tcW w:w="7100" w:type="dxa"/>
            <w:vAlign w:val="bottom"/>
          </w:tcPr>
          <w:p>
            <w:pPr>
              <w:spacing w:after="0"/>
              <w:rPr>
                <w:sz w:val="19"/>
                <w:szCs w:val="19"/>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71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78"/>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w w:val="91"/>
              </w:rPr>
              <w:t>(38,335 )</w:t>
            </w:r>
          </w:p>
        </w:tc>
        <w:tc>
          <w:tcPr>
            <w:tcW w:w="102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(38,616 )</w:t>
            </w:r>
          </w:p>
        </w:tc>
      </w:tr>
      <w:tr>
        <w:trPr>
          <w:trHeight w:val="203"/>
        </w:trPr>
        <w:tc>
          <w:tcPr>
            <w:tcW w:w="7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81"/>
              <w:spacing w:after="0" w:line="202" w:lineRule="exact"/>
              <w:rPr>
                <w:sz w:val="20"/>
                <w:szCs w:val="20"/>
                <w:color w:val="auto"/>
              </w:rPr>
            </w:pPr>
            <w:r>
              <w:rPr>
                <w:rFonts w:ascii="Arial" w:cs="Arial" w:eastAsia="Arial" w:hAnsi="Arial"/>
                <w:sz w:val="18"/>
                <w:szCs w:val="18"/>
                <w:color w:val="auto"/>
                <w:w w:val="91"/>
              </w:rPr>
              <w:t>(33,390 )</w:t>
            </w:r>
          </w:p>
        </w:tc>
        <w:tc>
          <w:tcPr>
            <w:tcW w:w="10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(6,807 )</w:t>
            </w:r>
          </w:p>
        </w:tc>
      </w:tr>
      <w:tr>
        <w:trPr>
          <w:trHeight w:val="203"/>
        </w:trPr>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3,723</w:t>
            </w:r>
          </w:p>
        </w:tc>
        <w:tc>
          <w:tcPr>
            <w:tcW w:w="4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120" w:type="dxa"/>
            <w:vAlign w:val="bottom"/>
          </w:tcPr>
          <w:p>
            <w:pPr>
              <w:spacing w:after="0"/>
              <w:rPr>
                <w:sz w:val="17"/>
                <w:szCs w:val="17"/>
                <w:color w:val="auto"/>
              </w:rPr>
            </w:pPr>
          </w:p>
        </w:tc>
      </w:tr>
      <w:tr>
        <w:trPr>
          <w:trHeight w:val="236"/>
        </w:trPr>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1040" w:type="dxa"/>
            <w:vAlign w:val="bottom"/>
            <w:tcBorders>
              <w:bottom w:val="single" w:sz="8" w:color="auto"/>
            </w:tcBorders>
            <w:shd w:val="clear" w:color="auto" w:fill="CFF0FC"/>
          </w:tcPr>
          <w:p>
            <w:pPr>
              <w:jc w:val="right"/>
              <w:ind w:right="87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(68,002</w:t>
            </w:r>
          </w:p>
        </w:tc>
        <w:tc>
          <w:tcPr>
            <w:tcW w:w="420" w:type="dxa"/>
            <w:vAlign w:val="bottom"/>
            <w:tcBorders>
              <w:bottom w:val="single" w:sz="8" w:color="CFF0FC"/>
            </w:tcBorders>
            <w:shd w:val="clear" w:color="auto" w:fill="CFF0FC"/>
          </w:tcPr>
          <w:p>
            <w:pPr>
              <w:jc w:val="right"/>
              <w:ind w:right="281"/>
              <w:spacing w:after="0"/>
              <w:rPr>
                <w:sz w:val="20"/>
                <w:szCs w:val="20"/>
                <w:color w:val="auto"/>
              </w:rPr>
            </w:pPr>
            <w:r>
              <w:rPr>
                <w:rFonts w:ascii="Arial" w:cs="Arial" w:eastAsia="Arial" w:hAnsi="Arial"/>
                <w:sz w:val="16"/>
                <w:szCs w:val="16"/>
                <w:color w:val="auto"/>
                <w:w w:val="74"/>
              </w:rPr>
              <w:t>)</w:t>
            </w: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(43,205</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firstLine="569"/>
        <w:spacing w:after="0" w:line="271" w:lineRule="auto"/>
        <w:rPr>
          <w:sz w:val="20"/>
          <w:szCs w:val="20"/>
          <w:color w:val="auto"/>
        </w:rPr>
      </w:pPr>
      <w:r>
        <w:rPr>
          <w:rFonts w:ascii="Arial" w:cs="Arial" w:eastAsia="Arial" w:hAnsi="Arial"/>
          <w:sz w:val="16"/>
          <w:szCs w:val="16"/>
          <w:color w:val="auto"/>
        </w:rPr>
        <w:t>The net cash used in operating activities of $38.3 million for the three months ended March 31, 2022 was due to a net loss of $36.9 million and a net cash outflow from the change in our operating assets and liabilities of $9.3 million, which were partially offset by adjustments for stock-based compensation expense of $5.0 million, depreciation and amortization of $1.3 million, accretion of discount on investments of $0.7 million, provision for inventories of $0.5 million, non-cash lease expense of $0.3 million, and non-cash interest expense of $0.1 million. The net cash outflow from operating assets and liabilities was primarily due to a decrease in accrued payroll and related benefits mainly due to the payment of 2021 annual cash bonuses to our employees, an increase in inventories due to the timing of inventory purchases including advance purchases of inventory due to anticipated demand and to mitigate supply chain disruptions, an increase in accounts receivable due to timing of collections, and a decrease in operating lease liabilities. The net cash outflow from operating assets and liabilities was partially offset by an increase in accounts payable and accrued expenses and other current liabilities due to timing of vendor payments, an increase in deferred revenue due to the growth of our business, and a decrease in prepaid expenses and other assets.</w:t>
      </w:r>
    </w:p>
    <w:p>
      <w:pPr>
        <w:spacing w:after="0" w:line="61" w:lineRule="exact"/>
        <w:rPr>
          <w:sz w:val="20"/>
          <w:szCs w:val="20"/>
          <w:color w:val="auto"/>
        </w:rPr>
      </w:pPr>
    </w:p>
    <w:p>
      <w:pPr>
        <w:ind w:right="80" w:firstLine="569"/>
        <w:spacing w:after="0" w:line="271" w:lineRule="auto"/>
        <w:rPr>
          <w:sz w:val="20"/>
          <w:szCs w:val="20"/>
          <w:color w:val="auto"/>
        </w:rPr>
      </w:pPr>
      <w:r>
        <w:rPr>
          <w:rFonts w:ascii="Arial" w:cs="Arial" w:eastAsia="Arial" w:hAnsi="Arial"/>
          <w:sz w:val="16"/>
          <w:szCs w:val="16"/>
          <w:color w:val="auto"/>
        </w:rPr>
        <w:t>The net cash used in operating activities of $38.6 million for the three months ended March 31, 2021 was due to a net loss of $30.0 million and a net cash outflow from the change in our operating assets and liabilities of $16.3 million, which were partially offset by adjustments for stock-based compensation expense of $5.9 million, depreciation and amortization of $1.2 million, non-cash lease expense of $0.2 million, non-cash interest expense of $0.1 million, and provision for inventories of $0.1 million. The net cash outflow from operating assets and liabilities was primarily due to an increase in inventories due to the timing of inventory purchases including advance purchases of inventory due to anticipated demand and to mitigate supply chain disruptions, which partially related to COVID-19, an increase in accounts receivable due to timing of collections, a decrease in accrued payroll and related benefits mainly due to the payment of 2020 annual cash bonuses to our employees, an increase in prepaid expenses and other assets and a decrease in operating lease liabilities. The net cash outflow from operating assets and liabilities was partially offset by an increase in accounts payable and accrued expenses and other current liabilities due to timing of vendor payments and an increase in deferred revenue due to the growth of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660" w:firstLine="569"/>
        <w:spacing w:after="0" w:line="248" w:lineRule="auto"/>
        <w:rPr>
          <w:sz w:val="20"/>
          <w:szCs w:val="20"/>
          <w:color w:val="auto"/>
        </w:rPr>
      </w:pPr>
      <w:r>
        <w:rPr>
          <w:rFonts w:ascii="Arial" w:cs="Arial" w:eastAsia="Arial" w:hAnsi="Arial"/>
          <w:sz w:val="18"/>
          <w:szCs w:val="18"/>
          <w:color w:val="auto"/>
        </w:rPr>
        <w:t>The net cash used in investing activities of $33.4 million for the three months ended March 31, 2022 was due primarily to the purchases of investment securities of $64.7 million and the purchases of property and equipment of $1.5 million, partially offset by the sales and maturities of investment securities of $32.8 million.</w:t>
      </w:r>
    </w:p>
    <w:p>
      <w:pPr>
        <w:spacing w:after="0" w:line="74" w:lineRule="exact"/>
        <w:rPr>
          <w:sz w:val="20"/>
          <w:szCs w:val="20"/>
          <w:color w:val="auto"/>
        </w:rPr>
      </w:pPr>
    </w:p>
    <w:p>
      <w:pPr>
        <w:jc w:val="both"/>
        <w:ind w:right="280" w:firstLine="569"/>
        <w:spacing w:after="0" w:line="248" w:lineRule="auto"/>
        <w:rPr>
          <w:sz w:val="20"/>
          <w:szCs w:val="20"/>
          <w:color w:val="auto"/>
        </w:rPr>
      </w:pPr>
      <w:r>
        <w:rPr>
          <w:rFonts w:ascii="Arial" w:cs="Arial" w:eastAsia="Arial" w:hAnsi="Arial"/>
          <w:sz w:val="18"/>
          <w:szCs w:val="18"/>
          <w:color w:val="auto"/>
        </w:rPr>
        <w:t>The net cash used in investing activities of $6.8 million for the three months ended March 31, 2021 was due primarily to the purchases of short-term investments of $25.8 million and the purchases of property and equipment of $0.9 million, partially offset by the sales and maturities of short-term investments of $19.9 million.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80" w:firstLine="569"/>
        <w:spacing w:after="0" w:line="261" w:lineRule="auto"/>
        <w:rPr>
          <w:sz w:val="20"/>
          <w:szCs w:val="20"/>
          <w:color w:val="auto"/>
        </w:rPr>
      </w:pPr>
      <w:r>
        <w:rPr>
          <w:rFonts w:ascii="Arial" w:cs="Arial" w:eastAsia="Arial" w:hAnsi="Arial"/>
          <w:sz w:val="18"/>
          <w:szCs w:val="18"/>
          <w:color w:val="auto"/>
        </w:rPr>
        <w:t>The net cash provided by financing activities of $3.7 million for the three months ended March 31, 2022 was due to proceeds of $3.7 million from employee exercises of stock options and ESPP purchases.</w:t>
      </w:r>
    </w:p>
    <w:p>
      <w:pPr>
        <w:spacing w:after="0" w:line="63" w:lineRule="exact"/>
        <w:rPr>
          <w:sz w:val="20"/>
          <w:szCs w:val="20"/>
          <w:color w:val="auto"/>
        </w:rPr>
      </w:pPr>
    </w:p>
    <w:p>
      <w:pPr>
        <w:ind w:right="80" w:firstLine="569"/>
        <w:spacing w:after="0" w:line="261" w:lineRule="auto"/>
        <w:rPr>
          <w:sz w:val="20"/>
          <w:szCs w:val="20"/>
          <w:color w:val="auto"/>
        </w:rPr>
      </w:pPr>
      <w:r>
        <w:rPr>
          <w:rFonts w:ascii="Arial" w:cs="Arial" w:eastAsia="Arial" w:hAnsi="Arial"/>
          <w:sz w:val="18"/>
          <w:szCs w:val="18"/>
          <w:color w:val="auto"/>
        </w:rPr>
        <w:t>The net cash provided by financing activities of $2.2 million for the three months ended March 31, 2021 was due to proceeds of $2.2 million from employee exercises of stock options and ESPP purchases.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620" w:firstLine="569"/>
        <w:spacing w:after="0" w:line="291" w:lineRule="auto"/>
        <w:rPr>
          <w:sz w:val="20"/>
          <w:szCs w:val="20"/>
          <w:color w:val="auto"/>
        </w:rPr>
      </w:pPr>
      <w:r>
        <w:rPr>
          <w:rFonts w:ascii="Arial" w:cs="Arial" w:eastAsia="Arial" w:hAnsi="Arial"/>
          <w:sz w:val="17"/>
          <w:szCs w:val="17"/>
          <w:color w:val="auto"/>
        </w:rPr>
        <w:t>During the three months ended March 31, 2022, there have been no material changes to our contractual obligations from those disclosed in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2021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800" w:firstLine="569"/>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firstLine="569"/>
        <w:spacing w:after="0" w:line="276" w:lineRule="auto"/>
        <w:rPr>
          <w:sz w:val="20"/>
          <w:szCs w:val="20"/>
          <w:color w:val="auto"/>
        </w:rPr>
      </w:pPr>
      <w:r>
        <w:rPr>
          <w:rFonts w:ascii="Arial" w:cs="Arial" w:eastAsia="Arial" w:hAnsi="Arial"/>
          <w:sz w:val="16"/>
          <w:szCs w:val="16"/>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4" w:lineRule="exact"/>
        <w:rPr>
          <w:sz w:val="20"/>
          <w:szCs w:val="20"/>
          <w:color w:val="auto"/>
        </w:rPr>
      </w:pPr>
    </w:p>
    <w:p>
      <w:pPr>
        <w:ind w:right="180" w:firstLine="569"/>
        <w:spacing w:after="0" w:line="270" w:lineRule="auto"/>
        <w:rPr>
          <w:sz w:val="20"/>
          <w:szCs w:val="20"/>
          <w:color w:val="auto"/>
        </w:rPr>
      </w:pPr>
      <w:r>
        <w:rPr>
          <w:rFonts w:ascii="Arial" w:cs="Arial" w:eastAsia="Arial" w:hAnsi="Arial"/>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2021 Annual Report. For additional information, please refer to Note 2 to our unaudited condensed financial statements in this Quarterly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2 to our unaudited condensed financial statements included elsewhere in this Quarterly Report for more information.</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There has been no material change in the nature of the Company’s interest rate risks or foreign currency exchange risks from those described in Part II Item 7A of our 2021 Annual Report for the year ended December 31,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firstLine="569"/>
        <w:spacing w:after="0" w:line="253"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period covered by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60" w:firstLine="569"/>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69"/>
        <w:spacing w:after="0" w:line="243"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69"/>
        <w:spacing w:after="0"/>
        <w:rPr>
          <w:sz w:val="20"/>
          <w:szCs w:val="20"/>
          <w:color w:val="auto"/>
        </w:rPr>
      </w:pPr>
      <w:r>
        <w:rPr>
          <w:rFonts w:ascii="Arial" w:cs="Arial" w:eastAsia="Arial" w:hAnsi="Arial"/>
          <w:sz w:val="18"/>
          <w:szCs w:val="18"/>
          <w:color w:val="auto"/>
        </w:rPr>
        <w:t>You should carefully consider the risk factors discussed in Part I, “Item 1A. Risk Factors” in our 2021 Annual Report, which could materially affect our business, financial position, or future results of operations. There have been no material changes to the risk factors described in our 2021 Annual Report, except as set forth below. The risks described in our 2021 Annual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04" w:lineRule="exact"/>
        <w:rPr>
          <w:sz w:val="20"/>
          <w:szCs w:val="20"/>
          <w:color w:val="auto"/>
        </w:rPr>
      </w:pPr>
    </w:p>
    <w:p>
      <w:pPr>
        <w:ind w:right="60" w:firstLine="569"/>
        <w:spacing w:after="0" w:line="272" w:lineRule="auto"/>
        <w:rPr>
          <w:sz w:val="20"/>
          <w:szCs w:val="20"/>
          <w:color w:val="auto"/>
        </w:rPr>
      </w:pPr>
      <w:r>
        <w:rPr>
          <w:rFonts w:ascii="Arial" w:cs="Arial" w:eastAsia="Arial" w:hAnsi="Arial"/>
          <w:sz w:val="16"/>
          <w:szCs w:val="16"/>
          <w:color w:val="auto"/>
        </w:rPr>
        <w:t>Global macroeconomic conditions and the world’s financial markets remain susceptible to significant stresses, including global geopolitical instability (such as the current conflict between Russia and Ukraine and related economic and other retaliatory measures taken by the United States, European Union and others), pandemics (such as the ongoing COVID-19 pandemic), inflationary pressures (such as current inflation related to global supply chain disruptions), extreme weather conditions and natural disasters, market declines and uncertainty, fluctuating interest and foreign currency rates and credit availability, government austerity measures, fluctuating fuel and other energy costs, fluctuating commodity prices, and general uncertainty regarding the overall future economic environment. In particular, the ultimate impact of the conflict in Ukraine on fuel prices, inflation, volatility of global financial markets, the global supply chain and other macroeconomic conditions is unknown and could materially adversely affect the availability and cost of materials, access to capital, global economic growth, consumer confidence and demand for our products and services.</w:t>
      </w:r>
    </w:p>
    <w:p>
      <w:pPr>
        <w:spacing w:after="0" w:line="60" w:lineRule="exact"/>
        <w:rPr>
          <w:sz w:val="20"/>
          <w:szCs w:val="20"/>
          <w:color w:val="auto"/>
        </w:rPr>
      </w:pPr>
    </w:p>
    <w:p>
      <w:pPr>
        <w:ind w:right="40" w:firstLine="569"/>
        <w:spacing w:after="0" w:line="291" w:lineRule="auto"/>
        <w:rPr>
          <w:sz w:val="20"/>
          <w:szCs w:val="20"/>
          <w:color w:val="auto"/>
        </w:rPr>
      </w:pPr>
      <w:r>
        <w:rPr>
          <w:rFonts w:ascii="Arial" w:cs="Arial" w:eastAsia="Arial" w:hAnsi="Arial"/>
          <w:sz w:val="17"/>
          <w:szCs w:val="17"/>
          <w:color w:val="auto"/>
        </w:rPr>
        <w:t>Our customers may respond to such economic pressures by reducing or deferring their capital spending or reducing staff. Furthermore, unfavorable changes in foreign exchange rates versus USD could increase our product and labor costs, thus reducing our gross profit.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from many sources, including larger companies and new entrants, and we may be unable to compete successfully.</w:t>
      </w:r>
    </w:p>
    <w:p>
      <w:pPr>
        <w:spacing w:after="0" w:line="210" w:lineRule="exact"/>
        <w:rPr>
          <w:sz w:val="20"/>
          <w:szCs w:val="20"/>
          <w:color w:val="auto"/>
        </w:rPr>
      </w:pPr>
    </w:p>
    <w:p>
      <w:pPr>
        <w:ind w:right="60" w:firstLine="569"/>
        <w:spacing w:after="0" w:line="238" w:lineRule="auto"/>
        <w:rPr>
          <w:sz w:val="20"/>
          <w:szCs w:val="20"/>
          <w:color w:val="auto"/>
        </w:rPr>
      </w:pPr>
      <w:r>
        <w:rPr>
          <w:rFonts w:ascii="Arial" w:cs="Arial" w:eastAsia="Arial" w:hAnsi="Arial"/>
          <w:sz w:val="18"/>
          <w:szCs w:val="18"/>
          <w:color w:val="auto"/>
        </w:rPr>
        <w:t>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received FDA 510(k) clearance for use in acute and/or chronic settings. Of these competitors, Fresenius is the largest and it supplies dialysis products, operates a significant number of dialysis clinics and provides outsourced dialysis services in many hospitals. Fresenius, Baxter and B. Braun all supply machines and supplies in both the acute and home care settings. With the exception of Quanta, all of these organizations are currently significantly larger with greater financial and personnel resources than us, enjoy significantly greater market share than ours and have greater resources than we do. As a consequence, they are able to spend more on product development, marketing, sales and other product initiatives than we can. Additionally, companies with dialysis machine development programs include Medtronic plc and CVS Health Corp. Some of our competitors have:</w:t>
      </w:r>
    </w:p>
    <w:p>
      <w:pPr>
        <w:spacing w:after="0" w:line="83" w:lineRule="exact"/>
        <w:rPr>
          <w:sz w:val="20"/>
          <w:szCs w:val="20"/>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payors;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03" w:lineRule="exact"/>
        <w:rPr>
          <w:rFonts w:ascii="Arial" w:cs="Arial" w:eastAsia="Arial" w:hAnsi="Arial"/>
          <w:sz w:val="18"/>
          <w:szCs w:val="18"/>
          <w:color w:val="auto"/>
        </w:rPr>
      </w:pPr>
    </w:p>
    <w:p>
      <w:pPr>
        <w:ind w:left="1540" w:right="220" w:hanging="514"/>
        <w:spacing w:after="0" w:line="261"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other incentives to gain a competitive advantage;</w:t>
      </w:r>
    </w:p>
    <w:p>
      <w:pPr>
        <w:spacing w:after="0" w:line="62" w:lineRule="exact"/>
        <w:rPr>
          <w:rFonts w:ascii="Arial" w:cs="Arial" w:eastAsia="Arial" w:hAnsi="Arial"/>
          <w:sz w:val="18"/>
          <w:szCs w:val="18"/>
          <w:color w:val="auto"/>
        </w:rPr>
      </w:pPr>
    </w:p>
    <w:p>
      <w:pPr>
        <w:ind w:left="1540" w:right="620" w:hanging="514"/>
        <w:spacing w:after="0" w:line="261"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products; and</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3" w:name="page24"/>
    <w:bookmarkEnd w:id="23"/>
    <w:p>
      <w:pPr>
        <w:ind w:left="580"/>
        <w:spacing w:after="0"/>
        <w:rPr>
          <w:sz w:val="20"/>
          <w:szCs w:val="20"/>
          <w:color w:val="auto"/>
        </w:rPr>
      </w:pPr>
      <w:r>
        <w:rPr>
          <w:rFonts w:ascii="Arial" w:cs="Arial" w:eastAsia="Arial" w:hAnsi="Arial"/>
          <w:sz w:val="18"/>
          <w:szCs w:val="18"/>
          <w:color w:val="auto"/>
        </w:rPr>
        <w:t>Our continued success depends on our ability to:</w:t>
      </w:r>
    </w:p>
    <w:p>
      <w:pPr>
        <w:spacing w:after="0" w:line="104" w:lineRule="exact"/>
        <w:rPr>
          <w:sz w:val="20"/>
          <w:szCs w:val="20"/>
          <w:color w:val="auto"/>
        </w:rPr>
      </w:pPr>
    </w:p>
    <w:p>
      <w:pPr>
        <w:ind w:left="1540" w:right="500" w:hanging="514"/>
        <w:spacing w:after="0" w:line="261"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penetrate the acute care market and drive utilization and fleet expansion among our existing customers in the acute care setting;</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expand within the home dialysis market;</w:t>
      </w:r>
    </w:p>
    <w:p>
      <w:pPr>
        <w:spacing w:after="0" w:line="103" w:lineRule="exact"/>
        <w:rPr>
          <w:rFonts w:ascii="Arial" w:cs="Arial" w:eastAsia="Arial" w:hAnsi="Arial"/>
          <w:sz w:val="18"/>
          <w:szCs w:val="18"/>
          <w:color w:val="auto"/>
        </w:rPr>
      </w:pPr>
    </w:p>
    <w:p>
      <w:pPr>
        <w:ind w:left="1540" w:right="400" w:hanging="514"/>
        <w:spacing w:after="0" w:line="261"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w:t>
      </w:r>
    </w:p>
    <w:p>
      <w:pPr>
        <w:spacing w:after="0" w:line="62" w:lineRule="exact"/>
        <w:rPr>
          <w:rFonts w:ascii="Arial" w:cs="Arial" w:eastAsia="Arial" w:hAnsi="Arial"/>
          <w:sz w:val="18"/>
          <w:szCs w:val="18"/>
          <w:color w:val="auto"/>
        </w:rPr>
      </w:pPr>
    </w:p>
    <w:p>
      <w:pPr>
        <w:ind w:left="1540" w:hanging="51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cost-effectively manufacture Tablo and its component parts as well as drive down the cost of service; and</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adoption of Tablo in the chronic outpatient facility setting via transitional care programs within existing dialysis clinics.</w:t>
      </w:r>
    </w:p>
    <w:p>
      <w:pPr>
        <w:spacing w:after="0" w:line="115"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In addition, competitors, including those with greater financial resources than ours, could acquire, combine with or partner with other companies to gain enhanced name recognition and market share, as well as new technologies, products or services that could effectively compete with our existing solutions, which may cause our revenue to decline and would harm our business. For example, in March 2022, Fresenius Health Partners (the value-based care division of Fresenius), InterWell Health and Cricket Health, Inc. entered into a definitive agreement to merge the three businesses into a new independent company.</w:t>
      </w:r>
    </w:p>
    <w:p>
      <w:pPr>
        <w:spacing w:after="0" w:line="81" w:lineRule="exact"/>
        <w:rPr>
          <w:sz w:val="20"/>
          <w:szCs w:val="20"/>
          <w:color w:val="auto"/>
        </w:rPr>
      </w:pPr>
    </w:p>
    <w:p>
      <w:pPr>
        <w:ind w:right="60" w:firstLine="569"/>
        <w:spacing w:after="0" w:line="262" w:lineRule="auto"/>
        <w:rPr>
          <w:sz w:val="20"/>
          <w:szCs w:val="20"/>
          <w:color w:val="auto"/>
        </w:rPr>
      </w:pPr>
      <w:r>
        <w:rPr>
          <w:rFonts w:ascii="Arial" w:cs="Arial" w:eastAsia="Arial" w:hAnsi="Arial"/>
          <w:sz w:val="17"/>
          <w:szCs w:val="17"/>
          <w:color w:val="auto"/>
        </w:rPr>
        <w:t>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w:t>
      </w:r>
    </w:p>
    <w:p>
      <w:pPr>
        <w:spacing w:after="0" w:line="64" w:lineRule="exact"/>
        <w:rPr>
          <w:sz w:val="20"/>
          <w:szCs w:val="20"/>
          <w:color w:val="auto"/>
        </w:rPr>
      </w:pPr>
    </w:p>
    <w:p>
      <w:pPr>
        <w:ind w:right="320" w:firstLine="569"/>
        <w:spacing w:after="0" w:line="294" w:lineRule="auto"/>
        <w:rPr>
          <w:sz w:val="20"/>
          <w:szCs w:val="20"/>
          <w:color w:val="auto"/>
        </w:rPr>
      </w:pPr>
      <w:r>
        <w:rPr>
          <w:rFonts w:ascii="Arial" w:cs="Arial" w:eastAsia="Arial" w:hAnsi="Arial"/>
          <w:sz w:val="16"/>
          <w:szCs w:val="16"/>
          <w:color w:val="auto"/>
        </w:rPr>
        <w:t>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w:t>
      </w:r>
    </w:p>
    <w:p>
      <w:pPr>
        <w:spacing w:after="0" w:line="39" w:lineRule="exact"/>
        <w:rPr>
          <w:sz w:val="20"/>
          <w:szCs w:val="20"/>
          <w:color w:val="auto"/>
        </w:rPr>
      </w:pPr>
    </w:p>
    <w:p>
      <w:pPr>
        <w:ind w:right="40" w:firstLine="569"/>
        <w:spacing w:after="0" w:line="259" w:lineRule="auto"/>
        <w:rPr>
          <w:sz w:val="20"/>
          <w:szCs w:val="20"/>
          <w:color w:val="auto"/>
        </w:rPr>
      </w:pPr>
      <w:r>
        <w:rPr>
          <w:rFonts w:ascii="Arial" w:cs="Arial" w:eastAsia="Arial" w:hAnsi="Arial"/>
          <w:sz w:val="17"/>
          <w:szCs w:val="17"/>
          <w:color w:val="auto"/>
        </w:rPr>
        <w:t>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as demonstrated by the first pig-to-human kidney transplant in September 2021, and other advances in kidney transplantation.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580" w:right="8500" w:hanging="572"/>
        <w:spacing w:after="0" w:line="428" w:lineRule="auto"/>
        <w:tabs>
          <w:tab w:leader="none" w:pos="26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Sales of Unregistered Securities </w:t>
      </w:r>
      <w:r>
        <w:rPr>
          <w:rFonts w:ascii="Arial" w:cs="Arial" w:eastAsia="Arial" w:hAnsi="Arial"/>
          <w:sz w:val="17"/>
          <w:szCs w:val="17"/>
          <w:color w:val="auto"/>
        </w:rPr>
        <w:t>Not applicable.</w:t>
      </w:r>
    </w:p>
    <w:p>
      <w:pPr>
        <w:spacing w:after="0" w:line="31" w:lineRule="exact"/>
        <w:rPr>
          <w:rFonts w:ascii="Arial" w:cs="Arial" w:eastAsia="Arial" w:hAnsi="Arial"/>
          <w:sz w:val="17"/>
          <w:szCs w:val="17"/>
          <w:b w:val="1"/>
          <w:bCs w:val="1"/>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08" w:lineRule="exact"/>
        <w:rPr>
          <w:sz w:val="20"/>
          <w:szCs w:val="20"/>
          <w:color w:val="auto"/>
        </w:rPr>
      </w:pPr>
    </w:p>
    <w:p>
      <w:pPr>
        <w:ind w:right="20" w:firstLine="569"/>
        <w:spacing w:after="0" w:line="294" w:lineRule="auto"/>
        <w:rPr>
          <w:sz w:val="20"/>
          <w:szCs w:val="20"/>
          <w:color w:val="auto"/>
        </w:rPr>
      </w:pPr>
      <w:r>
        <w:rPr>
          <w:rFonts w:ascii="Arial" w:cs="Arial" w:eastAsia="Arial" w:hAnsi="Arial"/>
          <w:sz w:val="16"/>
          <w:szCs w:val="16"/>
          <w:color w:val="auto"/>
        </w:rPr>
        <w:t>The offer and sale of shares in our IPO was registered under the Securities Act pursuant to a registration statement on Form S-1 (File No.333-248225), which was declared effective by the SEC on September 17, 2020. The remainder of the information required by this item regarding the use of our IPO proceeds has been omitted pursuant to SEC rules because such information has not changed since our last periodic report was filed.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Repurchases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540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5400" w:type="dxa"/>
            <w:vAlign w:val="bottom"/>
            <w:gridSpan w:val="1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5400" w:type="dxa"/>
            <w:vAlign w:val="bottom"/>
            <w:gridSpan w:val="13"/>
          </w:tcPr>
          <w:p>
            <w:pPr>
              <w:spacing w:after="0"/>
              <w:rPr>
                <w:rFonts w:ascii="Arial" w:cs="Arial" w:eastAsia="Arial" w:hAnsi="Arial"/>
                <w:sz w:val="18"/>
                <w:szCs w:val="18"/>
                <w:color w:val="0563C1"/>
                <w:w w:val="97"/>
              </w:rPr>
            </w:pPr>
            <w:hyperlink r:id="rId160">
              <w:r>
                <w:rPr>
                  <w:rFonts w:ascii="Arial" w:cs="Arial" w:eastAsia="Arial" w:hAnsi="Arial"/>
                  <w:sz w:val="18"/>
                  <w:szCs w:val="18"/>
                  <w:color w:val="0563C1"/>
                  <w:w w:val="97"/>
                </w:rPr>
                <w:t>Form of Amended and Restated Certificate of Incorporation of Outset</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060" w:type="dxa"/>
            <w:vAlign w:val="bottom"/>
            <w:tcBorders>
              <w:top w:val="single" w:sz="8" w:color="0563C1"/>
            </w:tcBorders>
            <w:gridSpan w:val="9"/>
          </w:tcPr>
          <w:p>
            <w:pPr>
              <w:spacing w:after="0" w:line="156" w:lineRule="exact"/>
              <w:rPr>
                <w:rFonts w:ascii="Arial" w:cs="Arial" w:eastAsia="Arial" w:hAnsi="Arial"/>
                <w:sz w:val="18"/>
                <w:szCs w:val="18"/>
                <w:color w:val="0563C1"/>
              </w:rPr>
            </w:pPr>
            <w:hyperlink r:id="rId160">
              <w:r>
                <w:rPr>
                  <w:rFonts w:ascii="Arial" w:cs="Arial" w:eastAsia="Arial" w:hAnsi="Arial"/>
                  <w:sz w:val="18"/>
                  <w:szCs w:val="18"/>
                  <w:color w:val="0563C1"/>
                </w:rPr>
                <w:t>Medical, Inc.</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940" w:type="dxa"/>
            <w:vAlign w:val="bottom"/>
            <w:shd w:val="clear" w:color="auto" w:fill="0563C1"/>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5400" w:type="dxa"/>
            <w:vAlign w:val="bottom"/>
            <w:gridSpan w:val="13"/>
          </w:tcPr>
          <w:p>
            <w:pPr>
              <w:spacing w:after="0"/>
              <w:rPr>
                <w:rFonts w:ascii="Arial" w:cs="Arial" w:eastAsia="Arial" w:hAnsi="Arial"/>
                <w:sz w:val="18"/>
                <w:szCs w:val="18"/>
                <w:color w:val="0563C1"/>
              </w:rPr>
            </w:pPr>
            <w:hyperlink r:id="rId161">
              <w:r>
                <w:rPr>
                  <w:rFonts w:ascii="Arial" w:cs="Arial" w:eastAsia="Arial" w:hAnsi="Arial"/>
                  <w:sz w:val="18"/>
                  <w:szCs w:val="18"/>
                  <w:color w:val="0563C1"/>
                </w:rPr>
                <w:t>Form of Amended and Restated Bylaws of Outset Medical, Inc.</w:t>
              </w:r>
            </w:hyperlink>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2560" w:type="dxa"/>
            <w:vAlign w:val="bottom"/>
            <w:tcBorders>
              <w:top w:val="single" w:sz="8" w:color="0563C1"/>
              <w:bottom w:val="single" w:sz="8" w:color="0563C1"/>
            </w:tcBorders>
            <w:gridSpan w:val="3"/>
          </w:tcPr>
          <w:p>
            <w:pPr>
              <w:spacing w:after="0"/>
              <w:rPr>
                <w:rFonts w:ascii="Arial" w:cs="Arial" w:eastAsia="Arial" w:hAnsi="Arial"/>
                <w:sz w:val="18"/>
                <w:szCs w:val="18"/>
                <w:color w:val="0563C1"/>
                <w:w w:val="91"/>
              </w:rPr>
            </w:pPr>
            <w:hyperlink r:id="rId162">
              <w:r>
                <w:rPr>
                  <w:rFonts w:ascii="Arial" w:cs="Arial" w:eastAsia="Arial" w:hAnsi="Arial"/>
                  <w:sz w:val="18"/>
                  <w:szCs w:val="18"/>
                  <w:color w:val="0563C1"/>
                  <w:w w:val="91"/>
                </w:rPr>
                <w:t>Form of Common Stock Certificate</w:t>
              </w:r>
            </w:hyperlink>
          </w:p>
        </w:tc>
        <w:tc>
          <w:tcPr>
            <w:tcW w:w="2020" w:type="dxa"/>
            <w:vAlign w:val="bottom"/>
            <w:tcBorders>
              <w:top w:val="single" w:sz="8" w:color="0563C1"/>
            </w:tcBorders>
            <w:gridSpan w:val="4"/>
          </w:tcPr>
          <w:p>
            <w:pPr>
              <w:spacing w:after="0"/>
              <w:rPr>
                <w:sz w:val="24"/>
                <w:szCs w:val="24"/>
                <w:color w:val="auto"/>
              </w:rPr>
            </w:pPr>
          </w:p>
        </w:tc>
        <w:tc>
          <w:tcPr>
            <w:tcW w:w="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5400" w:type="dxa"/>
            <w:vAlign w:val="bottom"/>
            <w:gridSpan w:val="13"/>
          </w:tcPr>
          <w:p>
            <w:pPr>
              <w:spacing w:after="0"/>
              <w:rPr>
                <w:rFonts w:ascii="Arial" w:cs="Arial" w:eastAsia="Arial" w:hAnsi="Arial"/>
                <w:sz w:val="18"/>
                <w:szCs w:val="18"/>
                <w:color w:val="0563C1"/>
              </w:rPr>
            </w:pPr>
            <w:hyperlink r:id="rId163">
              <w:r>
                <w:rPr>
                  <w:rFonts w:ascii="Arial" w:cs="Arial" w:eastAsia="Arial" w:hAnsi="Arial"/>
                  <w:sz w:val="18"/>
                  <w:szCs w:val="18"/>
                  <w:color w:val="0563C1"/>
                </w:rPr>
                <w:t>Amended and Restated Registration Rights Agreement</w:t>
              </w:r>
            </w:hyperlink>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3940" w:type="dxa"/>
            <w:vAlign w:val="bottom"/>
            <w:tcBorders>
              <w:top w:val="single" w:sz="8" w:color="0563C1"/>
            </w:tcBorders>
            <w:gridSpan w:val="6"/>
          </w:tcPr>
          <w:p>
            <w:pPr>
              <w:spacing w:after="0"/>
              <w:rPr>
                <w:rFonts w:ascii="Arial" w:cs="Arial" w:eastAsia="Arial" w:hAnsi="Arial"/>
                <w:sz w:val="18"/>
                <w:szCs w:val="18"/>
                <w:color w:val="0563C1"/>
              </w:rPr>
            </w:pPr>
            <w:hyperlink r:id="rId164">
              <w:r>
                <w:rPr>
                  <w:rFonts w:ascii="Arial" w:cs="Arial" w:eastAsia="Arial" w:hAnsi="Arial"/>
                  <w:sz w:val="18"/>
                  <w:szCs w:val="18"/>
                  <w:color w:val="0563C1"/>
                </w:rPr>
                <w:t>Form of Series A Warrant Agreement #1</w:t>
              </w:r>
            </w:hyperlink>
          </w:p>
        </w:tc>
        <w:tc>
          <w:tcPr>
            <w:tcW w:w="1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0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5400" w:type="dxa"/>
            <w:vAlign w:val="bottom"/>
            <w:gridSpan w:val="13"/>
          </w:tcPr>
          <w:p>
            <w:pPr>
              <w:spacing w:after="0"/>
              <w:rPr>
                <w:rFonts w:ascii="Arial" w:cs="Arial" w:eastAsia="Arial" w:hAnsi="Arial"/>
                <w:sz w:val="18"/>
                <w:szCs w:val="18"/>
                <w:color w:val="0563C1"/>
              </w:rPr>
            </w:pPr>
            <w:hyperlink r:id="rId165">
              <w:r>
                <w:rPr>
                  <w:rFonts w:ascii="Arial" w:cs="Arial" w:eastAsia="Arial" w:hAnsi="Arial"/>
                  <w:sz w:val="18"/>
                  <w:szCs w:val="18"/>
                  <w:color w:val="0563C1"/>
                </w:rPr>
                <w:t>Form of Series A Warrant Agreement #2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00" w:type="dxa"/>
            <w:vAlign w:val="bottom"/>
            <w:gridSpan w:val="2"/>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5400" w:type="dxa"/>
            <w:vAlign w:val="bottom"/>
            <w:gridSpan w:val="13"/>
          </w:tcPr>
          <w:p>
            <w:pPr>
              <w:spacing w:after="0"/>
              <w:rPr>
                <w:rFonts w:ascii="Arial" w:cs="Arial" w:eastAsia="Arial" w:hAnsi="Arial"/>
                <w:sz w:val="18"/>
                <w:szCs w:val="18"/>
                <w:color w:val="0563C1"/>
                <w:w w:val="95"/>
              </w:rPr>
            </w:pPr>
            <w:hyperlink w:anchor="page28">
              <w:r>
                <w:rPr>
                  <w:rFonts w:ascii="Arial" w:cs="Arial" w:eastAsia="Arial" w:hAnsi="Arial"/>
                  <w:sz w:val="18"/>
                  <w:szCs w:val="18"/>
                  <w:color w:val="0563C1"/>
                  <w:w w:val="95"/>
                </w:rPr>
                <w:t>Certification of Principal Executive Officer Pursuant to Rules 13a-14(a)</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220" w:type="dxa"/>
            <w:vAlign w:val="bottom"/>
            <w:tcBorders>
              <w:top w:val="single" w:sz="8" w:color="0563C1"/>
            </w:tcBorders>
            <w:gridSpan w:val="11"/>
          </w:tcPr>
          <w:p>
            <w:pPr>
              <w:spacing w:after="0" w:line="156" w:lineRule="exact"/>
              <w:rPr>
                <w:rFonts w:ascii="Arial" w:cs="Arial" w:eastAsia="Arial" w:hAnsi="Arial"/>
                <w:sz w:val="18"/>
                <w:szCs w:val="18"/>
                <w:color w:val="0563C1"/>
                <w:w w:val="96"/>
              </w:rPr>
            </w:pPr>
            <w:hyperlink w:anchor="page28">
              <w:r>
                <w:rPr>
                  <w:rFonts w:ascii="Arial" w:cs="Arial" w:eastAsia="Arial" w:hAnsi="Arial"/>
                  <w:sz w:val="18"/>
                  <w:szCs w:val="18"/>
                  <w:color w:val="0563C1"/>
                  <w:w w:val="96"/>
                </w:rPr>
                <w:t>and 15d-14(a) of the Exchange Act of 1934, as adopted pursuant to</w:t>
              </w:r>
            </w:hyperlink>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880" w:type="dxa"/>
            <w:vAlign w:val="bottom"/>
            <w:tcBorders>
              <w:top w:val="single" w:sz="8" w:color="0563C1"/>
            </w:tcBorders>
            <w:gridSpan w:val="8"/>
          </w:tcPr>
          <w:p>
            <w:pPr>
              <w:spacing w:after="0" w:line="156" w:lineRule="exact"/>
              <w:rPr>
                <w:rFonts w:ascii="Arial" w:cs="Arial" w:eastAsia="Arial" w:hAnsi="Arial"/>
                <w:sz w:val="18"/>
                <w:szCs w:val="18"/>
                <w:color w:val="0563C1"/>
              </w:rPr>
            </w:pPr>
            <w:hyperlink w:anchor="page28">
              <w:r>
                <w:rPr>
                  <w:rFonts w:ascii="Arial" w:cs="Arial" w:eastAsia="Arial" w:hAnsi="Arial"/>
                  <w:sz w:val="18"/>
                  <w:szCs w:val="18"/>
                  <w:color w:val="0563C1"/>
                </w:rPr>
                <w:t>Section 302 of the Sarbanes-Oxley Act of 2002</w:t>
              </w:r>
            </w:hyperlink>
          </w:p>
        </w:tc>
        <w:tc>
          <w:tcPr>
            <w:tcW w:w="3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00" w:type="dxa"/>
            <w:vAlign w:val="bottom"/>
            <w:gridSpan w:val="2"/>
            <w:shd w:val="clear" w:color="auto" w:fill="0563C1"/>
          </w:tcPr>
          <w:p>
            <w:pPr>
              <w:spacing w:after="0" w:line="20" w:lineRule="exact"/>
              <w:rPr>
                <w:sz w:val="1"/>
                <w:szCs w:val="1"/>
                <w:color w:val="auto"/>
              </w:rPr>
            </w:pPr>
          </w:p>
        </w:tc>
        <w:tc>
          <w:tcPr>
            <w:tcW w:w="900" w:type="dxa"/>
            <w:vAlign w:val="bottom"/>
            <w:gridSpan w:val="3"/>
            <w:shd w:val="clear" w:color="auto" w:fill="0563C1"/>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5400" w:type="dxa"/>
            <w:vAlign w:val="bottom"/>
            <w:gridSpan w:val="13"/>
          </w:tcPr>
          <w:p>
            <w:pPr>
              <w:spacing w:after="0"/>
              <w:rPr>
                <w:rFonts w:ascii="Arial" w:cs="Arial" w:eastAsia="Arial" w:hAnsi="Arial"/>
                <w:sz w:val="18"/>
                <w:szCs w:val="18"/>
                <w:color w:val="0563C1"/>
                <w:w w:val="96"/>
              </w:rPr>
            </w:pPr>
            <w:hyperlink w:anchor="page29">
              <w:r>
                <w:rPr>
                  <w:rFonts w:ascii="Arial" w:cs="Arial" w:eastAsia="Arial" w:hAnsi="Arial"/>
                  <w:sz w:val="18"/>
                  <w:szCs w:val="18"/>
                  <w:color w:val="0563C1"/>
                  <w:w w:val="96"/>
                </w:rPr>
                <w:t>Certification of Principal Financial Officer Pursuant to Rules 13a-14(a)</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180" w:type="dxa"/>
            <w:vAlign w:val="bottom"/>
            <w:tcBorders>
              <w:top w:val="single" w:sz="8" w:color="0563C1"/>
            </w:tcBorders>
            <w:gridSpan w:val="10"/>
          </w:tcPr>
          <w:p>
            <w:pPr>
              <w:spacing w:after="0" w:line="156" w:lineRule="exact"/>
              <w:rPr>
                <w:rFonts w:ascii="Arial" w:cs="Arial" w:eastAsia="Arial" w:hAnsi="Arial"/>
                <w:sz w:val="18"/>
                <w:szCs w:val="18"/>
                <w:color w:val="0563C1"/>
                <w:w w:val="95"/>
              </w:rPr>
            </w:pPr>
            <w:hyperlink w:anchor="page29">
              <w:r>
                <w:rPr>
                  <w:rFonts w:ascii="Arial" w:cs="Arial" w:eastAsia="Arial" w:hAnsi="Arial"/>
                  <w:sz w:val="18"/>
                  <w:szCs w:val="18"/>
                  <w:color w:val="0563C1"/>
                  <w:w w:val="95"/>
                </w:rPr>
                <w:t>and 15d-14(a) of the Exchange Act of 1934, as adopted pursuant to</w:t>
              </w:r>
            </w:hyperlink>
          </w:p>
        </w:tc>
        <w:tc>
          <w:tcPr>
            <w:tcW w:w="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880" w:type="dxa"/>
            <w:vAlign w:val="bottom"/>
            <w:tcBorders>
              <w:top w:val="single" w:sz="8" w:color="0563C1"/>
            </w:tcBorders>
            <w:gridSpan w:val="8"/>
          </w:tcPr>
          <w:p>
            <w:pPr>
              <w:spacing w:after="0" w:line="156" w:lineRule="exact"/>
              <w:rPr>
                <w:rFonts w:ascii="Arial" w:cs="Arial" w:eastAsia="Arial" w:hAnsi="Arial"/>
                <w:sz w:val="18"/>
                <w:szCs w:val="18"/>
                <w:color w:val="0563C1"/>
              </w:rPr>
            </w:pPr>
            <w:hyperlink w:anchor="page29">
              <w:r>
                <w:rPr>
                  <w:rFonts w:ascii="Arial" w:cs="Arial" w:eastAsia="Arial" w:hAnsi="Arial"/>
                  <w:sz w:val="18"/>
                  <w:szCs w:val="18"/>
                  <w:color w:val="0563C1"/>
                </w:rPr>
                <w:t>Section 302 of the Sarbanes-Oxley Act of 2002</w:t>
              </w:r>
            </w:hyperlink>
          </w:p>
        </w:tc>
        <w:tc>
          <w:tcPr>
            <w:tcW w:w="38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00" w:type="dxa"/>
            <w:vAlign w:val="bottom"/>
            <w:gridSpan w:val="2"/>
            <w:shd w:val="clear" w:color="auto" w:fill="0563C1"/>
          </w:tcPr>
          <w:p>
            <w:pPr>
              <w:spacing w:after="0" w:line="20" w:lineRule="exact"/>
              <w:rPr>
                <w:sz w:val="1"/>
                <w:szCs w:val="1"/>
                <w:color w:val="auto"/>
              </w:rPr>
            </w:pPr>
          </w:p>
        </w:tc>
        <w:tc>
          <w:tcPr>
            <w:tcW w:w="900" w:type="dxa"/>
            <w:vAlign w:val="bottom"/>
            <w:gridSpan w:val="3"/>
            <w:shd w:val="clear" w:color="auto" w:fill="0563C1"/>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5400" w:type="dxa"/>
            <w:vAlign w:val="bottom"/>
            <w:tcBorders>
              <w:bottom w:val="single" w:sz="8" w:color="0563C1"/>
            </w:tcBorders>
            <w:gridSpan w:val="13"/>
          </w:tcPr>
          <w:p>
            <w:pPr>
              <w:spacing w:after="0"/>
              <w:rPr>
                <w:rFonts w:ascii="Arial" w:cs="Arial" w:eastAsia="Arial" w:hAnsi="Arial"/>
                <w:sz w:val="18"/>
                <w:szCs w:val="18"/>
                <w:color w:val="0563C1"/>
                <w:w w:val="93"/>
              </w:rPr>
            </w:pPr>
            <w:hyperlink w:anchor="page30">
              <w:r>
                <w:rPr>
                  <w:rFonts w:ascii="Arial" w:cs="Arial" w:eastAsia="Arial" w:hAnsi="Arial"/>
                  <w:sz w:val="18"/>
                  <w:szCs w:val="18"/>
                  <w:color w:val="0563C1"/>
                  <w:w w:val="93"/>
                </w:rPr>
                <w:t>Certification of Principal Executive Officer and Principal Financial Officer</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400" w:type="dxa"/>
            <w:vAlign w:val="bottom"/>
            <w:gridSpan w:val="13"/>
          </w:tcPr>
          <w:p>
            <w:pPr>
              <w:spacing w:after="0" w:line="156" w:lineRule="exact"/>
              <w:rPr>
                <w:rFonts w:ascii="Arial" w:cs="Arial" w:eastAsia="Arial" w:hAnsi="Arial"/>
                <w:sz w:val="18"/>
                <w:szCs w:val="18"/>
                <w:color w:val="0563C1"/>
                <w:w w:val="92"/>
              </w:rPr>
            </w:pPr>
            <w:hyperlink w:anchor="page30">
              <w:r>
                <w:rPr>
                  <w:rFonts w:ascii="Arial" w:cs="Arial" w:eastAsia="Arial" w:hAnsi="Arial"/>
                  <w:sz w:val="18"/>
                  <w:szCs w:val="18"/>
                  <w:color w:val="0563C1"/>
                  <w:w w:val="92"/>
                </w:rPr>
                <w:t>Pursuant to 18 U.S.C. Section 1350, as Adopted Pursuant to Section 906</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5260" w:type="dxa"/>
            <w:vAlign w:val="bottom"/>
            <w:tcBorders>
              <w:top w:val="single" w:sz="8" w:color="0563C1"/>
            </w:tcBorders>
            <w:gridSpan w:val="12"/>
          </w:tcPr>
          <w:p>
            <w:pPr>
              <w:spacing w:after="0" w:line="156" w:lineRule="exact"/>
              <w:rPr>
                <w:rFonts w:ascii="Arial" w:cs="Arial" w:eastAsia="Arial" w:hAnsi="Arial"/>
                <w:sz w:val="18"/>
                <w:szCs w:val="18"/>
                <w:color w:val="0563C1"/>
              </w:rPr>
            </w:pPr>
            <w:hyperlink w:anchor="page30">
              <w:r>
                <w:rPr>
                  <w:rFonts w:ascii="Arial" w:cs="Arial" w:eastAsia="Arial" w:hAnsi="Arial"/>
                  <w:sz w:val="18"/>
                  <w:szCs w:val="18"/>
                  <w:color w:val="0563C1"/>
                </w:rPr>
                <w:t>of the Sarbanes-Oxley Act of 2002</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500" w:type="dxa"/>
            <w:vAlign w:val="bottom"/>
            <w:gridSpan w:val="2"/>
            <w:shd w:val="clear" w:color="auto" w:fill="0563C1"/>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13"/>
          </w:tcPr>
          <w:p>
            <w:pPr>
              <w:spacing w:after="0"/>
              <w:rPr>
                <w:sz w:val="20"/>
                <w:szCs w:val="20"/>
                <w:color w:val="auto"/>
              </w:rPr>
            </w:pPr>
            <w:r>
              <w:rPr>
                <w:rFonts w:ascii="Arial" w:cs="Arial" w:eastAsia="Arial" w:hAnsi="Arial"/>
                <w:sz w:val="18"/>
                <w:szCs w:val="18"/>
                <w:color w:val="auto"/>
                <w:w w:val="90"/>
              </w:rPr>
              <w:t>Inline XBRL Instance Document – the instance document does not appear</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5400" w:type="dxa"/>
            <w:vAlign w:val="bottom"/>
            <w:gridSpan w:val="13"/>
          </w:tcPr>
          <w:p>
            <w:pPr>
              <w:spacing w:after="0" w:line="176" w:lineRule="exact"/>
              <w:rPr>
                <w:sz w:val="20"/>
                <w:szCs w:val="20"/>
                <w:color w:val="auto"/>
              </w:rPr>
            </w:pPr>
            <w:r>
              <w:rPr>
                <w:rFonts w:ascii="Arial" w:cs="Arial" w:eastAsia="Arial" w:hAnsi="Arial"/>
                <w:sz w:val="18"/>
                <w:szCs w:val="18"/>
                <w:color w:val="auto"/>
                <w:w w:val="94"/>
              </w:rPr>
              <w:t>in the Interactive Data File because its XBRL tags are embedded within</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5400" w:type="dxa"/>
            <w:vAlign w:val="bottom"/>
            <w:gridSpan w:val="13"/>
          </w:tcPr>
          <w:p>
            <w:pPr>
              <w:spacing w:after="0" w:line="189" w:lineRule="exact"/>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540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540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94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540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94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5400" w:type="dxa"/>
            <w:vAlign w:val="bottom"/>
            <w:gridSpan w:val="13"/>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13"/>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960" w:right="320" w:hanging="939"/>
        <w:spacing w:after="0" w:line="268"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herewith.</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15240</wp:posOffset>
            </wp:positionV>
            <wp:extent cx="30861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jc w:val="center"/>
              <w:ind w:right="153"/>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560" w:type="dxa"/>
            <w:vAlign w:val="bottom"/>
          </w:tcPr>
          <w:p>
            <w:pPr>
              <w:jc w:val="center"/>
              <w:ind w:left="113"/>
              <w:spacing w:after="0"/>
              <w:rPr>
                <w:sz w:val="20"/>
                <w:szCs w:val="20"/>
                <w:color w:val="auto"/>
              </w:rPr>
            </w:pPr>
            <w:r>
              <w:rPr>
                <w:rFonts w:ascii="Arial" w:cs="Arial" w:eastAsia="Arial" w:hAnsi="Arial"/>
                <w:sz w:val="14"/>
                <w:szCs w:val="14"/>
                <w:b w:val="1"/>
                <w:bCs w:val="1"/>
                <w:color w:val="auto"/>
                <w:w w:val="94"/>
              </w:rPr>
              <w:t>Filing Date</w:t>
            </w:r>
          </w:p>
        </w:tc>
      </w:tr>
      <w:tr>
        <w:trPr>
          <w:trHeight w:val="350"/>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500"/>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33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3"/>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88"/>
              </w:rPr>
              <w:t>September 9, 2020</w:t>
            </w:r>
          </w:p>
        </w:tc>
      </w:tr>
      <w:tr>
        <w:trPr>
          <w:trHeight w:val="33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r>
        <w:trPr>
          <w:trHeight w:val="33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r>
        <w:trPr>
          <w:trHeight w:val="338"/>
        </w:trPr>
        <w:tc>
          <w:tcPr>
            <w:tcW w:w="660" w:type="dxa"/>
            <w:vAlign w:val="bottom"/>
          </w:tcPr>
          <w:p>
            <w:pPr>
              <w:jc w:val="center"/>
              <w:ind w:right="153"/>
              <w:spacing w:after="0"/>
              <w:rPr>
                <w:sz w:val="20"/>
                <w:szCs w:val="20"/>
                <w:color w:val="auto"/>
              </w:rPr>
            </w:pPr>
            <w:r>
              <w:rPr>
                <w:rFonts w:ascii="Arial" w:cs="Arial" w:eastAsia="Arial" w:hAnsi="Arial"/>
                <w:sz w:val="18"/>
                <w:szCs w:val="18"/>
                <w:color w:val="auto"/>
                <w:w w:val="92"/>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560" w:type="dxa"/>
            <w:vAlign w:val="bottom"/>
          </w:tcPr>
          <w:p>
            <w:pPr>
              <w:jc w:val="center"/>
              <w:ind w:left="113"/>
              <w:spacing w:after="0"/>
              <w:rPr>
                <w:sz w:val="20"/>
                <w:szCs w:val="20"/>
                <w:color w:val="auto"/>
              </w:rPr>
            </w:pPr>
            <w:r>
              <w:rPr>
                <w:rFonts w:ascii="Arial" w:cs="Arial" w:eastAsia="Arial" w:hAnsi="Arial"/>
                <w:sz w:val="18"/>
                <w:szCs w:val="18"/>
                <w:color w:val="auto"/>
                <w:w w:val="91"/>
              </w:rPr>
              <w:t>August 21, 2020</w:t>
            </w:r>
          </w:p>
        </w:tc>
      </w:tr>
    </w:tbl>
    <w:p>
      <w:pPr>
        <w:sectPr>
          <w:pgSz w:w="11900" w:h="16838" w:orient="portrait"/>
          <w:cols w:equalWidth="0" w:num="2">
            <w:col w:w="6360" w:space="240"/>
            <w:col w:w="4460"/>
          </w:cols>
          <w:pgMar w:left="320" w:top="324" w:right="519" w:bottom="1440" w:gutter="0" w:footer="0" w:header="0"/>
        </w:sectPr>
      </w:pPr>
    </w:p>
    <w:bookmarkStart w:id="26" w:name="page27"/>
    <w:bookmarkEnd w:id="2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Outset Medical, Inc.</w:t>
      </w:r>
    </w:p>
    <w:p>
      <w:pPr>
        <w:spacing w:after="0" w:line="171" w:lineRule="exact"/>
        <w:rPr>
          <w:sz w:val="20"/>
          <w:szCs w:val="20"/>
          <w:color w:val="auto"/>
        </w:rPr>
      </w:pPr>
    </w:p>
    <w:p>
      <w:pPr>
        <w:ind w:left="5440" w:right="1700" w:hanging="8099"/>
        <w:spacing w:after="0"/>
        <w:tabs>
          <w:tab w:leader="none" w:pos="542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 /s/ Leslie Trigg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-16510</wp:posOffset>
            </wp:positionV>
            <wp:extent cx="3402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12"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President and Chief Executive Officer</w:t>
      </w:r>
    </w:p>
    <w:p>
      <w:pPr>
        <w:jc w:val="center"/>
        <w:ind w:left="5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55" w:lineRule="exact"/>
        <w:rPr>
          <w:sz w:val="20"/>
          <w:szCs w:val="20"/>
          <w:color w:val="auto"/>
        </w:rPr>
      </w:pPr>
    </w:p>
    <w:p>
      <w:pPr>
        <w:ind w:left="5440" w:right="1580" w:hanging="7996"/>
        <w:spacing w:after="0" w:line="243" w:lineRule="auto"/>
        <w:tabs>
          <w:tab w:leader="none" w:pos="542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 /s/ Nabeel Ahmed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-16510</wp:posOffset>
            </wp:positionV>
            <wp:extent cx="34029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193" w:lineRule="exact"/>
        <w:rPr>
          <w:sz w:val="20"/>
          <w:szCs w:val="20"/>
          <w:color w:val="auto"/>
        </w:rPr>
      </w:pPr>
    </w:p>
    <w:p>
      <w:pPr>
        <w:jc w:val="center"/>
        <w:ind w:left="5880"/>
        <w:spacing w:after="0"/>
        <w:rPr>
          <w:sz w:val="20"/>
          <w:szCs w:val="20"/>
          <w:color w:val="auto"/>
        </w:rPr>
      </w:pPr>
      <w:r>
        <w:rPr>
          <w:rFonts w:ascii="Arial" w:cs="Arial" w:eastAsia="Arial" w:hAnsi="Arial"/>
          <w:sz w:val="18"/>
          <w:szCs w:val="18"/>
          <w:color w:val="auto"/>
        </w:rPr>
        <w:t>Chief Financial Officer</w:t>
      </w:r>
    </w:p>
    <w:p>
      <w:pPr>
        <w:jc w:val="center"/>
        <w:ind w:left="5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3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85"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71"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760" w:hanging="752"/>
        <w:spacing w:after="0" w:line="24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760" w:hanging="752"/>
        <w:spacing w:after="0" w:line="324"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80" w:val="left"/>
          <w:tab w:leader="none" w:pos="86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Leslie Trigg</w:t>
      </w:r>
    </w:p>
    <w:p>
      <w:pPr>
        <w:ind w:left="8360"/>
        <w:spacing w:after="0" w:line="203" w:lineRule="auto"/>
        <w:rPr>
          <w:sz w:val="20"/>
          <w:szCs w:val="20"/>
          <w:color w:val="auto"/>
        </w:rPr>
      </w:pPr>
      <w:r>
        <w:rPr>
          <w:rFonts w:ascii="Arial" w:cs="Arial" w:eastAsia="Arial" w:hAnsi="Arial"/>
          <w:sz w:val="18"/>
          <w:szCs w:val="18"/>
          <w:color w:val="auto"/>
        </w:rPr>
        <w:t>Chief Executive Officer</w:t>
      </w: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85"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Outset Medical, Inc.;</w:t>
      </w:r>
    </w:p>
    <w:p>
      <w:pPr>
        <w:spacing w:after="0" w:line="171"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760" w:hanging="752"/>
        <w:spacing w:after="0" w:line="291"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760" w:hanging="752"/>
        <w:spacing w:after="0" w:line="24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jc w:val="both"/>
        <w:ind w:left="1500" w:hanging="743"/>
        <w:spacing w:after="0" w:line="248"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500" w:hanging="743"/>
        <w:spacing w:after="0" w:line="248"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760" w:hanging="752"/>
        <w:spacing w:after="0" w:line="324"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500" w:hanging="743"/>
        <w:spacing w:after="0" w:line="291" w:lineRule="auto"/>
        <w:tabs>
          <w:tab w:leader="none" w:pos="1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500" w:hanging="743"/>
        <w:spacing w:after="0" w:line="261"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80" w:val="left"/>
          <w:tab w:leader="none" w:pos="85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6350</wp:posOffset>
            </wp:positionV>
            <wp:extent cx="25546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Nabeel Ahmed</w:t>
      </w:r>
    </w:p>
    <w:p>
      <w:pPr>
        <w:ind w:left="8400"/>
        <w:spacing w:after="0" w:line="203" w:lineRule="auto"/>
        <w:rPr>
          <w:sz w:val="20"/>
          <w:szCs w:val="20"/>
          <w:color w:val="auto"/>
        </w:rPr>
      </w:pPr>
      <w:r>
        <w:rPr>
          <w:rFonts w:ascii="Arial" w:cs="Arial" w:eastAsia="Arial" w:hAnsi="Arial"/>
          <w:sz w:val="18"/>
          <w:szCs w:val="18"/>
          <w:color w:val="auto"/>
        </w:rPr>
        <w:t>Chief Financial Officer</w:t>
      </w:r>
    </w:p>
    <w:p>
      <w:pPr>
        <w:ind w:left="8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March 31, 2022, as filed with the Securities and Exchange Commission on the date hereof (the “Report”), each of the undersigned certifies, pursuant to 18 U.S.C. §1350, as adopted pursuant to §906 of the Sarbanes-Oxley Act of 2002, that, to her/his knowledge:</w:t>
      </w:r>
    </w:p>
    <w:p>
      <w:pPr>
        <w:spacing w:after="0" w:line="141"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21"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6350</wp:posOffset>
            </wp:positionV>
            <wp:extent cx="38315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Leslie Trigg</w:t>
      </w:r>
    </w:p>
    <w:p>
      <w:pPr>
        <w:ind w:left="52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82" w:lineRule="exact"/>
        <w:rPr>
          <w:sz w:val="20"/>
          <w:szCs w:val="20"/>
          <w:color w:val="auto"/>
        </w:rPr>
      </w:pPr>
    </w:p>
    <w:p>
      <w:pPr>
        <w:ind w:left="20"/>
        <w:spacing w:after="0"/>
        <w:tabs>
          <w:tab w:leader="none" w:pos="4560" w:val="left"/>
          <w:tab w:leader="none" w:pos="5200" w:val="left"/>
        </w:tabs>
        <w:rPr>
          <w:sz w:val="20"/>
          <w:szCs w:val="20"/>
          <w:color w:val="auto"/>
        </w:rPr>
      </w:pPr>
      <w:r>
        <w:rPr>
          <w:rFonts w:ascii="Arial" w:cs="Arial" w:eastAsia="Arial" w:hAnsi="Arial"/>
          <w:sz w:val="18"/>
          <w:szCs w:val="18"/>
          <w:color w:val="auto"/>
        </w:rPr>
        <w:t>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6350</wp:posOffset>
            </wp:positionV>
            <wp:extent cx="38315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Nabeel Ahmed</w:t>
      </w:r>
    </w:p>
    <w:p>
      <w:pPr>
        <w:ind w:left="52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8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6"/>
    </w:lvl>
  </w:abstractNum>
  <w:abstractNum w:abstractNumId="4">
    <w:nsid w:val="515F007C"/>
    <w:multiLevelType w:val="hybridMultilevel"/>
    <w:lvl w:ilvl="0">
      <w:lvlJc w:val="left"/>
      <w:lvlText w:val="%1."/>
      <w:numFmt w:val="decimal"/>
      <w:start w:val="8"/>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
      <w:numFmt w:val="bullet"/>
      <w:start w:val="1"/>
    </w:lvl>
    <w:lvl w:ilvl="1">
      <w:lvlJc w:val="left"/>
      <w:lvlText w:val="%2"/>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60" Type="http://schemas.openxmlformats.org/officeDocument/2006/relationships/hyperlink" Target="https://www.sec.gov/Archives/edgar/data/1484612/000119312520241516/d941853dex31.htm" TargetMode="External"/><Relationship Id="rId161" Type="http://schemas.openxmlformats.org/officeDocument/2006/relationships/hyperlink" Target="https://www.sec.gov/Archives/edgar/data/1484612/000119312520241516/d941853dex32.htm" TargetMode="External"/><Relationship Id="rId162" Type="http://schemas.openxmlformats.org/officeDocument/2006/relationships/hyperlink" Target="https://www.sec.gov/Archives/edgar/data/1484612/000119312520241516/d941853dex41.htm" TargetMode="External"/><Relationship Id="rId163" Type="http://schemas.openxmlformats.org/officeDocument/2006/relationships/hyperlink" Target="https://www.sec.gov/Archives/edgar/data/1484612/000119312520226746/d941853dex42.htm" TargetMode="External"/><Relationship Id="rId164" Type="http://schemas.openxmlformats.org/officeDocument/2006/relationships/hyperlink" Target="https://www.sec.gov/Archives/edgar/data/1484612/000119312520226746/d941853dex43.htm" TargetMode="External"/><Relationship Id="rId165" Type="http://schemas.openxmlformats.org/officeDocument/2006/relationships/hyperlink" Target="https://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2022-05-05T05:24:52Z</dcterms:created>
  <dcterms:modified xsi:type="dcterms:W3CDTF">2022-05-05T05:24:52Z</dcterms:modified>
</cp:coreProperties>
</file>