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Outset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80"/>
              <w:spacing w:after="0"/>
              <w:rPr>
                <w:sz w:val="20"/>
                <w:szCs w:val="20"/>
                <w:color w:val="auto"/>
              </w:rPr>
            </w:pPr>
            <w:r>
              <w:rPr>
                <w:rFonts w:ascii="Arial" w:cs="Arial" w:eastAsia="Arial" w:hAnsi="Arial"/>
                <w:sz w:val="18"/>
                <w:szCs w:val="18"/>
                <w:b w:val="1"/>
                <w:bCs w:val="1"/>
                <w:color w:val="auto"/>
              </w:rPr>
              <w:t>001-39513</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20-0514392</w:t>
            </w:r>
          </w:p>
        </w:tc>
      </w:tr>
      <w:tr>
        <w:trPr>
          <w:trHeight w:val="148"/>
        </w:trPr>
        <w:tc>
          <w:tcPr>
            <w:tcW w:w="350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0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00" w:type="dxa"/>
            <w:vAlign w:val="bottom"/>
          </w:tcPr>
          <w:p>
            <w:pPr>
              <w:jc w:val="center"/>
              <w:ind w:right="979"/>
              <w:spacing w:after="0"/>
              <w:rPr>
                <w:sz w:val="20"/>
                <w:szCs w:val="20"/>
                <w:color w:val="auto"/>
              </w:rPr>
            </w:pPr>
            <w:r>
              <w:rPr>
                <w:rFonts w:ascii="Arial" w:cs="Arial" w:eastAsia="Arial" w:hAnsi="Arial"/>
                <w:sz w:val="18"/>
                <w:szCs w:val="18"/>
                <w:b w:val="1"/>
                <w:bCs w:val="1"/>
                <w:color w:val="auto"/>
                <w:w w:val="93"/>
              </w:rPr>
              <w:t>3052 Orchard Dr.,</w:t>
            </w:r>
          </w:p>
        </w:tc>
        <w:tc>
          <w:tcPr>
            <w:tcW w:w="3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89"/>
              </w:rPr>
              <w:t>San Jose, California</w:t>
            </w:r>
          </w:p>
        </w:tc>
        <w:tc>
          <w:tcPr>
            <w:tcW w:w="3220" w:type="dxa"/>
            <w:vAlign w:val="bottom"/>
          </w:tcPr>
          <w:p>
            <w:pPr>
              <w:spacing w:after="0"/>
              <w:rPr>
                <w:sz w:val="19"/>
                <w:szCs w:val="19"/>
                <w:color w:val="auto"/>
              </w:rPr>
            </w:pPr>
          </w:p>
        </w:tc>
        <w:tc>
          <w:tcPr>
            <w:tcW w:w="2460" w:type="dxa"/>
            <w:vAlign w:val="bottom"/>
          </w:tcPr>
          <w:p>
            <w:pPr>
              <w:jc w:val="right"/>
              <w:ind w:right="221"/>
              <w:spacing w:after="0"/>
              <w:rPr>
                <w:sz w:val="20"/>
                <w:szCs w:val="20"/>
                <w:color w:val="auto"/>
              </w:rPr>
            </w:pPr>
            <w:r>
              <w:rPr>
                <w:rFonts w:ascii="Arial" w:cs="Arial" w:eastAsia="Arial" w:hAnsi="Arial"/>
                <w:sz w:val="18"/>
                <w:szCs w:val="18"/>
                <w:b w:val="1"/>
                <w:bCs w:val="1"/>
                <w:color w:val="auto"/>
              </w:rPr>
              <w:t>95134</w:t>
            </w:r>
          </w:p>
        </w:tc>
      </w:tr>
      <w:tr>
        <w:trPr>
          <w:trHeight w:val="186"/>
        </w:trPr>
        <w:tc>
          <w:tcPr>
            <w:tcW w:w="350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(669) 231-8200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OM</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July 6, 2023, Outset Medical, Inc. (the “Company”) received a Warning Letter, dated July 5, 2023 (the “Warning Letter”), from the United States Food and Drug Administration (the “FDA”).</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previously disclosed by the Company in its Annual Report on Form 10-K filed on February 13, 2023, the FDA issued an FDA Form-483 identifying four inspectional observations resulting from an FDA inspection that concluded on February 10, 2023. The Company provided its response plan to the FDA on March 3, 2023, and has since completed the associated remediation workstreams to fully address these observations.</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Warning Letter raises two additional observations. The first observation asserts that certain materials reviewed by the FDA and found on the Company’s website promote continuous renal replacement therapy (CRRT), a modality outside of the current indications for the Tablo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Hemodialysis System. The Company believes this concern has been effectively addressed through labeling and promotional changes already underway.</w:t>
      </w:r>
    </w:p>
    <w:p>
      <w:pPr>
        <w:spacing w:after="0" w:line="18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second observation asserts that the TabloCart with Prefiltration (the “TabloCart”), requires prior 510(k) clearance for marketing authorization. TabloCart, an accessory to the Tablo System, launched in the third quarter of 2022 and sales to date have not been material to the Company’s financial results. The Company intends to work collaboratively with the FDA to resolve this observation, including potentially submitting a 510(k) on TabloCart.</w:t>
      </w:r>
    </w:p>
    <w:p>
      <w:pPr>
        <w:spacing w:after="0" w:line="1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Warning Letter does not request the restriction of the manufacture, production or shipment of the Tablo System in the United States nor does it request the withdrawal of the Tablo System from the U.S. marketplace.</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intends to fully cooperate with the FDA, including by responding within 15 business days, to expeditiously and completely resolve the Warning Letter. The Company cannot, however, give any assurances that the FDA will be satisfied with the Company’s actions taken in response to the matters raised in the Warning Letter. The Company also cannot give any assurances as to the timing of the resolution of such matters.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report and the exhibit attached hereto contain forward-looking statements within the meaning of Section 27A of the Securities Act of 1933, as amended, and Section 21E of the Securities Exchange Act of 1934, as amended. All statements other than statements of historical fact are forward-looking statements. Forward-looking statements are based on management’s current assumptions and expectations of future events and trends, which affect or may affect the Company’s business, strategy, operations or financial performance, and actual results and other events may differ materially from those expressed or implied in such statements due to numerous risks and uncertainties. Forward-looking statements include, but are not limited to, statements about the Company’s plans to address the Warning Letter. Forward-looking statements are inherently subject to risks and uncertainties, some of which cannot be predicted or quantified. Factors that could cause actual results or other events to differ materially from those contemplated in this report and the exhibit attached hereto can be found in the Risk Factors section of the Company’s public filings with the Securities and Exchange Commission, including its latest annual and quarterly reports. Because forward-looking statements are inherently subject to risks and uncertainties, you should not rely on these forward-looking statements as predictions of future events. These forward-looking statements speak only as of their date and, except to the extent required by law, the Company undertakes no obligation to update these statements, whether as a result of any new information, future developments or otherwise.</w:t>
      </w:r>
    </w:p>
    <w:p>
      <w:pPr>
        <w:spacing w:after="0" w:line="3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20"/>
          </w:cols>
          <w:pgMar w:left="440" w:top="513" w:right="5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Outset Medical, Inc.</w:t>
      </w:r>
    </w:p>
    <w:p>
      <w:pPr>
        <w:sectPr>
          <w:pgSz w:w="11900" w:h="16838" w:orient="portrait"/>
          <w:cols w:equalWidth="0" w:num="1">
            <w:col w:w="10260"/>
          </w:cols>
          <w:pgMar w:left="440" w:top="513" w:right="11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July 7, 2023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 Nabeel Ahmed</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Nabeel Ahmed</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Chief Financial Officer</w:t>
      </w:r>
    </w:p>
    <w:sectPr>
      <w:pgSz w:w="11900" w:h="16838" w:orient="portrait"/>
      <w:cols w:equalWidth="0" w:num="3">
        <w:col w:w="4900" w:space="720"/>
        <w:col w:w="1300" w:space="720"/>
        <w:col w:w="2620"/>
      </w:cols>
      <w:pgMar w:left="440" w:top="513" w:right="1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2023-07-07T16:06:08Z</dcterms:created>
  <dcterms:modified xsi:type="dcterms:W3CDTF">2023-07-07T16:06:08Z</dcterms:modified>
</cp:coreProperties>
</file>