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20" w:hanging="3652"/>
        <w:spacing w:after="0" w:line="365" w:lineRule="auto"/>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-381000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tbl>
      <w:tblPr>
        <w:tblLayout w:type="fixed"/>
        <w:tblInd w:w="39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80" w:type="dxa"/>
            <w:vAlign w:val="bottom"/>
            <w:tcBorders>
              <w:bottom w:val="single" w:sz="8" w:color="auto"/>
            </w:tcBorders>
          </w:tcPr>
          <w:p>
            <w:pPr>
              <w:spacing w:after="0"/>
              <w:rPr>
                <w:sz w:val="16"/>
                <w:szCs w:val="16"/>
                <w:color w:val="auto"/>
              </w:rPr>
            </w:pPr>
          </w:p>
        </w:tc>
      </w:tr>
      <w:tr>
        <w:trPr>
          <w:trHeight w:val="325"/>
        </w:trPr>
        <w:tc>
          <w:tcPr>
            <w:tcW w:w="332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Commission File Number: 001-39513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396"/>
        </w:trPr>
        <w:tc>
          <w:tcPr>
            <w:tcW w:w="3700" w:type="dxa"/>
            <w:vAlign w:val="bottom"/>
          </w:tcPr>
          <w:p>
            <w:pPr>
              <w:spacing w:after="0"/>
              <w:rPr>
                <w:sz w:val="24"/>
                <w:szCs w:val="24"/>
                <w:color w:val="auto"/>
              </w:rPr>
            </w:pPr>
          </w:p>
        </w:tc>
        <w:tc>
          <w:tcPr>
            <w:tcW w:w="3500" w:type="dxa"/>
            <w:vAlign w:val="bottom"/>
            <w:gridSpan w:val="7"/>
          </w:tcPr>
          <w:p>
            <w:pPr>
              <w:jc w:val="center"/>
              <w:ind w:left="219"/>
              <w:spacing w:after="0"/>
              <w:rPr>
                <w:sz w:val="20"/>
                <w:szCs w:val="20"/>
                <w:color w:val="auto"/>
              </w:rPr>
            </w:pPr>
            <w:r>
              <w:rPr>
                <w:rFonts w:ascii="Times New Roman" w:cs="Times New Roman" w:eastAsia="Times New Roman" w:hAnsi="Times New Roman"/>
                <w:sz w:val="32"/>
                <w:szCs w:val="32"/>
                <w:b w:val="1"/>
                <w:bCs w:val="1"/>
                <w:color w:val="auto"/>
              </w:rPr>
              <w:t>Outset Medical, Inc.</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18"/>
                <w:szCs w:val="18"/>
                <w:color w:val="auto"/>
              </w:rPr>
            </w:pPr>
          </w:p>
        </w:tc>
        <w:tc>
          <w:tcPr>
            <w:tcW w:w="7540" w:type="dxa"/>
            <w:vAlign w:val="bottom"/>
            <w:gridSpan w:val="8"/>
          </w:tcPr>
          <w:p>
            <w:pPr>
              <w:jc w:val="center"/>
              <w:ind w:right="363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141"/>
        </w:trPr>
        <w:tc>
          <w:tcPr>
            <w:tcW w:w="3700" w:type="dxa"/>
            <w:vAlign w:val="bottom"/>
            <w:vMerge w:val="restart"/>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40" w:type="dxa"/>
            <w:vAlign w:val="bottom"/>
            <w:vMerge w:val="restart"/>
          </w:tcPr>
          <w:p>
            <w:pPr>
              <w:jc w:val="right"/>
              <w:ind w:right="2391"/>
              <w:spacing w:after="0"/>
              <w:rPr>
                <w:sz w:val="20"/>
                <w:szCs w:val="20"/>
                <w:color w:val="auto"/>
              </w:rPr>
            </w:pPr>
            <w:r>
              <w:rPr>
                <w:rFonts w:ascii="Times New Roman" w:cs="Times New Roman" w:eastAsia="Times New Roman" w:hAnsi="Times New Roman"/>
                <w:sz w:val="14"/>
                <w:szCs w:val="14"/>
                <w:b w:val="1"/>
                <w:bCs w:val="1"/>
                <w:color w:val="auto"/>
              </w:rPr>
              <w:t>20-0514392</w:t>
            </w:r>
          </w:p>
        </w:tc>
        <w:tc>
          <w:tcPr>
            <w:tcW w:w="0" w:type="dxa"/>
            <w:vAlign w:val="bottom"/>
          </w:tcPr>
          <w:p>
            <w:pPr>
              <w:spacing w:after="0"/>
              <w:rPr>
                <w:sz w:val="1"/>
                <w:szCs w:val="1"/>
                <w:color w:val="auto"/>
              </w:rPr>
            </w:pPr>
          </w:p>
        </w:tc>
      </w:tr>
      <w:tr>
        <w:trPr>
          <w:trHeight w:val="243"/>
        </w:trPr>
        <w:tc>
          <w:tcPr>
            <w:tcW w:w="370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00" w:type="dxa"/>
            <w:vAlign w:val="bottom"/>
          </w:tcPr>
          <w:p>
            <w:pPr>
              <w:jc w:val="center"/>
              <w:ind w:left="18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40" w:type="dxa"/>
            <w:vAlign w:val="bottom"/>
          </w:tcPr>
          <w:p>
            <w:pPr>
              <w:jc w:val="center"/>
              <w:ind w:right="151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31"/>
        </w:trPr>
        <w:tc>
          <w:tcPr>
            <w:tcW w:w="3700" w:type="dxa"/>
            <w:vAlign w:val="bottom"/>
          </w:tcPr>
          <w:p>
            <w:pPr>
              <w:jc w:val="center"/>
              <w:ind w:left="1868"/>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40" w:type="dxa"/>
            <w:vAlign w:val="bottom"/>
          </w:tcPr>
          <w:p>
            <w:pPr>
              <w:jc w:val="center"/>
              <w:ind w:right="1511"/>
              <w:spacing w:after="0" w:line="131"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48"/>
        </w:trPr>
        <w:tc>
          <w:tcPr>
            <w:tcW w:w="3700" w:type="dxa"/>
            <w:vAlign w:val="bottom"/>
          </w:tcPr>
          <w:p>
            <w:pPr>
              <w:jc w:val="center"/>
              <w:ind w:left="1868"/>
              <w:spacing w:after="0" w:line="149" w:lineRule="exact"/>
              <w:rPr>
                <w:sz w:val="20"/>
                <w:szCs w:val="20"/>
                <w:color w:val="auto"/>
              </w:rPr>
            </w:pPr>
            <w:r>
              <w:rPr>
                <w:rFonts w:ascii="Times New Roman" w:cs="Times New Roman" w:eastAsia="Times New Roman" w:hAnsi="Times New Roman"/>
                <w:sz w:val="14"/>
                <w:szCs w:val="14"/>
                <w:b w:val="1"/>
                <w:bCs w:val="1"/>
                <w:color w:val="auto"/>
              </w:rPr>
              <w:t>3052 Orchard Dr.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40" w:type="dxa"/>
            <w:vAlign w:val="bottom"/>
            <w:vMerge w:val="restart"/>
          </w:tcPr>
          <w:p>
            <w:pPr>
              <w:jc w:val="right"/>
              <w:ind w:right="2551"/>
              <w:spacing w:after="0"/>
              <w:rPr>
                <w:sz w:val="20"/>
                <w:szCs w:val="20"/>
                <w:color w:val="auto"/>
              </w:rPr>
            </w:pPr>
            <w:r>
              <w:rPr>
                <w:rFonts w:ascii="Times New Roman" w:cs="Times New Roman" w:eastAsia="Times New Roman" w:hAnsi="Times New Roman"/>
                <w:sz w:val="14"/>
                <w:szCs w:val="14"/>
                <w:b w:val="1"/>
                <w:bCs w:val="1"/>
                <w:color w:val="auto"/>
              </w:rPr>
              <w:t>95134</w:t>
            </w:r>
          </w:p>
        </w:tc>
        <w:tc>
          <w:tcPr>
            <w:tcW w:w="0" w:type="dxa"/>
            <w:vAlign w:val="bottom"/>
          </w:tcPr>
          <w:p>
            <w:pPr>
              <w:spacing w:after="0"/>
              <w:rPr>
                <w:sz w:val="1"/>
                <w:szCs w:val="1"/>
                <w:color w:val="auto"/>
              </w:rPr>
            </w:pPr>
          </w:p>
        </w:tc>
      </w:tr>
      <w:tr>
        <w:trPr>
          <w:trHeight w:val="153"/>
        </w:trPr>
        <w:tc>
          <w:tcPr>
            <w:tcW w:w="3700" w:type="dxa"/>
            <w:vAlign w:val="bottom"/>
          </w:tcPr>
          <w:p>
            <w:pPr>
              <w:jc w:val="center"/>
              <w:ind w:left="1868"/>
              <w:spacing w:after="0" w:line="153" w:lineRule="exact"/>
              <w:rPr>
                <w:sz w:val="20"/>
                <w:szCs w:val="20"/>
                <w:color w:val="auto"/>
              </w:rPr>
            </w:pPr>
            <w:r>
              <w:rPr>
                <w:rFonts w:ascii="Times New Roman" w:cs="Times New Roman" w:eastAsia="Times New Roman" w:hAnsi="Times New Roman"/>
                <w:sz w:val="14"/>
                <w:szCs w:val="14"/>
                <w:b w:val="1"/>
                <w:bCs w:val="1"/>
                <w:color w:val="auto"/>
              </w:rPr>
              <w:t>San Jose, California</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200" w:type="dxa"/>
            <w:vAlign w:val="bottom"/>
            <w:gridSpan w:val="8"/>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040" w:type="dxa"/>
            <w:vAlign w:val="bottom"/>
          </w:tcPr>
          <w:p>
            <w:pPr>
              <w:jc w:val="center"/>
              <w:ind w:right="151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30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(669) 231-8200</w:t>
            </w:r>
          </w:p>
        </w:tc>
        <w:tc>
          <w:tcPr>
            <w:tcW w:w="0" w:type="dxa"/>
            <w:vAlign w:val="bottom"/>
          </w:tcPr>
          <w:p>
            <w:pPr>
              <w:spacing w:after="0"/>
              <w:rPr>
                <w:sz w:val="1"/>
                <w:szCs w:val="1"/>
                <w:color w:val="auto"/>
              </w:rPr>
            </w:pPr>
          </w:p>
        </w:tc>
      </w:tr>
      <w:tr>
        <w:trPr>
          <w:trHeight w:val="155"/>
        </w:trPr>
        <w:tc>
          <w:tcPr>
            <w:tcW w:w="42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7200" w:type="dxa"/>
            <w:vAlign w:val="bottom"/>
            <w:gridSpan w:val="8"/>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700" w:type="dxa"/>
            <w:vAlign w:val="bottom"/>
            <w:vMerge w:val="restart"/>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40" w:type="dxa"/>
            <w:vAlign w:val="bottom"/>
            <w:vMerge w:val="restart"/>
          </w:tcPr>
          <w:p>
            <w:pPr>
              <w:jc w:val="center"/>
              <w:ind w:right="93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700" w:type="dxa"/>
            <w:vAlign w:val="bottom"/>
            <w:tcBorders>
              <w:top w:val="single" w:sz="8" w:color="auto"/>
            </w:tcBorders>
          </w:tcPr>
          <w:p>
            <w:pPr>
              <w:jc w:val="center"/>
              <w:ind w:left="528"/>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color w:val="auto"/>
              </w:rPr>
              <w:t>OM</w:t>
            </w:r>
          </w:p>
        </w:tc>
        <w:tc>
          <w:tcPr>
            <w:tcW w:w="120" w:type="dxa"/>
            <w:vAlign w:val="bottom"/>
          </w:tcPr>
          <w:p>
            <w:pPr>
              <w:spacing w:after="0"/>
              <w:rPr>
                <w:sz w:val="17"/>
                <w:szCs w:val="17"/>
                <w:color w:val="auto"/>
              </w:rPr>
            </w:pPr>
          </w:p>
        </w:tc>
        <w:tc>
          <w:tcPr>
            <w:tcW w:w="1000" w:type="dxa"/>
            <w:vAlign w:val="bottom"/>
            <w:tcBorders>
              <w:top w:val="single" w:sz="8" w:color="auto"/>
            </w:tcBorders>
            <w:gridSpan w:val="2"/>
          </w:tcPr>
          <w:p>
            <w:pPr>
              <w:spacing w:after="0"/>
              <w:rPr>
                <w:sz w:val="17"/>
                <w:szCs w:val="17"/>
                <w:color w:val="auto"/>
              </w:rPr>
            </w:pPr>
          </w:p>
        </w:tc>
        <w:tc>
          <w:tcPr>
            <w:tcW w:w="4040" w:type="dxa"/>
            <w:vAlign w:val="bottom"/>
            <w:tcBorders>
              <w:top w:val="single" w:sz="8" w:color="auto"/>
            </w:tcBorders>
          </w:tcPr>
          <w:p>
            <w:pPr>
              <w:jc w:val="center"/>
              <w:ind w:right="931"/>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right="12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8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20" w:firstLine="5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81" w:lineRule="exact"/>
        <w:rPr>
          <w:sz w:val="24"/>
          <w:szCs w:val="24"/>
          <w:color w:val="auto"/>
        </w:rPr>
      </w:pPr>
    </w:p>
    <w:p>
      <w:pPr>
        <w:ind w:right="6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7200" w:val="left"/>
          <w:tab w:leader="none" w:pos="7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ind w:right="18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October 30, 2020, the registrant had 42,700,611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6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00" w:type="dxa"/>
            <w:vAlign w:val="bottom"/>
            <w:vMerge w:val="restart"/>
          </w:tcPr>
          <w:p>
            <w:pPr>
              <w:ind w:left="1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INFORMATION</w:t>
              </w:r>
            </w:hyperlink>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8"/>
        </w:trPr>
        <w:tc>
          <w:tcPr>
            <w:tcW w:w="920" w:type="dxa"/>
            <w:vAlign w:val="bottom"/>
            <w:vMerge w:val="continue"/>
          </w:tcPr>
          <w:p>
            <w:pPr>
              <w:spacing w:after="0"/>
              <w:rPr>
                <w:sz w:val="18"/>
                <w:szCs w:val="18"/>
                <w:color w:val="auto"/>
              </w:rPr>
            </w:pPr>
          </w:p>
        </w:tc>
        <w:tc>
          <w:tcPr>
            <w:tcW w:w="960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Statements (Unaudited)</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Balance Sheets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Statements of Operations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Statements of Comprehensive Loss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Statements of Redeemable Convertible Preferred Stock and Stockholders’ Equity (Deficit)</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Condensed Statements of Cash Flows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Notes to Condensed Financial Statements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Quantitative and Qualitative Disclosures About Market Risk</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Controls and Procedures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OTHER INFORMATION</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Legal Proceedings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Risk Factors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Defaults Upon Senior Securities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Mine Safety Disclosures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Other Information</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600" w:type="dxa"/>
            <w:vAlign w:val="bottom"/>
          </w:tcPr>
          <w:p>
            <w:pPr>
              <w:ind w:left="140"/>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Exhibits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92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Signatures</w:t>
              </w:r>
            </w:hyperlink>
          </w:p>
        </w:tc>
        <w:tc>
          <w:tcPr>
            <w:tcW w:w="96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it. These risks include, but are not limited to, the following:</w:t>
      </w:r>
    </w:p>
    <w:p>
      <w:pPr>
        <w:spacing w:after="0" w:line="162" w:lineRule="exact"/>
        <w:rPr>
          <w:sz w:val="20"/>
          <w:szCs w:val="20"/>
          <w:color w:val="auto"/>
        </w:rPr>
      </w:pPr>
    </w:p>
    <w:p>
      <w:pPr>
        <w:ind w:left="11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ever achieve profitability, we may not be able to sustain it.</w:t>
      </w:r>
    </w:p>
    <w:p>
      <w:pPr>
        <w:spacing w:after="0" w:line="161" w:lineRule="exact"/>
        <w:rPr>
          <w:rFonts w:ascii="Times New Roman" w:cs="Times New Roman" w:eastAsia="Times New Roman" w:hAnsi="Times New Roman"/>
          <w:sz w:val="18"/>
          <w:szCs w:val="18"/>
          <w:color w:val="auto"/>
        </w:rPr>
      </w:pPr>
    </w:p>
    <w:p>
      <w:pPr>
        <w:ind w:left="1120" w:right="50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sufficiently reduce costs in the manufacturing and production of the Tablo system to achieve sustainable gross margins.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Tablo will depend upon attaining significant market acceptance among providers and patients.</w:t>
      </w:r>
    </w:p>
    <w:p>
      <w:pPr>
        <w:spacing w:after="0" w:line="225"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derive substantially all of our revenue from the sale of Tablo and associated consumables and are therefore highly dependent on Tablo for our success.</w:t>
      </w:r>
    </w:p>
    <w:p>
      <w:pPr>
        <w:spacing w:after="0" w:line="161" w:lineRule="exact"/>
        <w:rPr>
          <w:rFonts w:ascii="Times New Roman" w:cs="Times New Roman" w:eastAsia="Times New Roman" w:hAnsi="Times New Roman"/>
          <w:sz w:val="18"/>
          <w:szCs w:val="18"/>
          <w:color w:val="auto"/>
        </w:rPr>
      </w:pPr>
    </w:p>
    <w:p>
      <w:pPr>
        <w:ind w:left="1120" w:right="40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home-based dialysis is subject to certain risks and uncertainties, including around the adoption of Tablo in the home setting.</w:t>
      </w:r>
    </w:p>
    <w:p>
      <w:pPr>
        <w:spacing w:after="0" w:line="161" w:lineRule="exact"/>
        <w:rPr>
          <w:rFonts w:ascii="Times New Roman" w:cs="Times New Roman" w:eastAsia="Times New Roman" w:hAnsi="Times New Roman"/>
          <w:sz w:val="18"/>
          <w:szCs w:val="18"/>
          <w:color w:val="auto"/>
        </w:rPr>
      </w:pPr>
    </w:p>
    <w:p>
      <w:pPr>
        <w:ind w:left="1120" w:right="56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contract manufacturers and single source suppliers, making us vulnerable to supply problems and price fluctuations.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disruptions.</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225" w:lineRule="exact"/>
        <w:rPr>
          <w:rFonts w:ascii="Times New Roman" w:cs="Times New Roman" w:eastAsia="Times New Roman" w:hAnsi="Times New Roman"/>
          <w:sz w:val="18"/>
          <w:szCs w:val="18"/>
          <w:color w:val="auto"/>
        </w:rPr>
      </w:pPr>
    </w:p>
    <w:p>
      <w:pPr>
        <w:ind w:left="1120" w:right="14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in the United States or worldwide, including the outbreak of the novel strain of coronavirus disease, COVID-19, could adversely affect our business.</w:t>
      </w:r>
    </w:p>
    <w:p>
      <w:pPr>
        <w:spacing w:after="0" w:line="1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innovate and improve Tablo, we could lose customers or market share.</w:t>
      </w:r>
    </w:p>
    <w:p>
      <w:pPr>
        <w:spacing w:after="0" w:line="22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many sources, including larger companies, and we may be unable to compete successfully.</w:t>
      </w:r>
    </w:p>
    <w:p>
      <w:pPr>
        <w:spacing w:after="0" w:line="225" w:lineRule="exact"/>
        <w:rPr>
          <w:rFonts w:ascii="Times New Roman" w:cs="Times New Roman" w:eastAsia="Times New Roman" w:hAnsi="Times New Roman"/>
          <w:sz w:val="18"/>
          <w:szCs w:val="18"/>
          <w:color w:val="auto"/>
        </w:rPr>
      </w:pPr>
    </w:p>
    <w:p>
      <w:pPr>
        <w:ind w:left="1120" w:right="66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platform and business disruption if there are any security or data privacy breaches or other unauthorized or improper access.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in Part II, Item 1.A. and the other information set forth in this Quarterly Report on Form 10-Q, including our consolidated financial statements and the related notes, as well as in other documents that we file with the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311,327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367,824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426,022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Labilities, redeemable convertible preferred stock and stockholders' equity (deficit)</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16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compensation and related benefits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warranty liability</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Term loan, current</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33,043</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24,910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 noncurrent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Redeemable convertible preferred stock warrant liability</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Term loan, noncurrent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29,652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21,561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Redeemable convertible preferred stock, $0.001 par value; no shares authorized and no shares issued and</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outstanding as of September 30, 2020; 154,592 shares authorized and 147,214 shares issued and outstanding</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 of December 31, 2019</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6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Preferred stock, $0.001 par value; 5,000 shares authorized, and no shares issued and outstanding as of</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September 30, 2020 and December 31, 2019</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$0.001 par value; 300,000 and 240,000 shares authorized as of September 30, 2020 and</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December 31, 2019, respectively; 42,701 and 922 shares issued and outstanding as of September 30, 2020 and</w:t>
            </w:r>
          </w:p>
        </w:tc>
        <w:tc>
          <w:tcPr>
            <w:tcW w:w="2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December 31, 2019, respectively</w:t>
            </w: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816,306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(462,016)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(372,567)</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354,333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(372,187)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equity (deficit)</w:t>
            </w: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426,022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Statements of Operations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74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32"/>
        </w:trPr>
        <w:tc>
          <w:tcPr>
            <w:tcW w:w="4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00" w:type="dxa"/>
            <w:vAlign w:val="bottom"/>
            <w:tcBorders>
              <w:bottom w:val="single" w:sz="8" w:color="CFF0FC"/>
            </w:tcBorders>
          </w:tcPr>
          <w:p>
            <w:pPr>
              <w:spacing w:after="0"/>
              <w:rPr>
                <w:sz w:val="18"/>
                <w:szCs w:val="18"/>
                <w:color w:val="auto"/>
              </w:rPr>
            </w:pPr>
          </w:p>
        </w:tc>
        <w:tc>
          <w:tcPr>
            <w:tcW w:w="4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Product revenue</w:t>
            </w:r>
          </w:p>
        </w:tc>
        <w:tc>
          <w:tcPr>
            <w:tcW w:w="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160" w:type="dxa"/>
            <w:vAlign w:val="bottom"/>
          </w:tcPr>
          <w:p>
            <w:pPr>
              <w:spacing w:after="0"/>
              <w:rPr>
                <w:sz w:val="18"/>
                <w:szCs w:val="18"/>
                <w:color w:val="auto"/>
              </w:rPr>
            </w:pP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2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26,435</w:t>
            </w:r>
          </w:p>
        </w:tc>
        <w:tc>
          <w:tcPr>
            <w:tcW w:w="160" w:type="dxa"/>
            <w:vAlign w:val="bottom"/>
          </w:tcPr>
          <w:p>
            <w:pPr>
              <w:spacing w:after="0"/>
              <w:rPr>
                <w:sz w:val="18"/>
                <w:szCs w:val="18"/>
                <w:color w:val="auto"/>
              </w:rPr>
            </w:pP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of product revenue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cost of revenue</w:t>
            </w:r>
          </w:p>
        </w:tc>
        <w:tc>
          <w:tcPr>
            <w:tcW w:w="4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18,882</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46,142</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Gross profit</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35,607</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13,156</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72,398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(40,733)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(18,450)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income and other income (expense), net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(1,047)</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(3,237)</w:t>
            </w:r>
          </w:p>
        </w:tc>
        <w:tc>
          <w:tcPr>
            <w:tcW w:w="0" w:type="dxa"/>
            <w:vAlign w:val="bottom"/>
          </w:tcPr>
          <w:p>
            <w:pPr>
              <w:spacing w:after="0"/>
              <w:rPr>
                <w:sz w:val="1"/>
                <w:szCs w:val="1"/>
                <w:color w:val="auto"/>
              </w:rPr>
            </w:pPr>
          </w:p>
        </w:tc>
      </w:tr>
      <w:tr>
        <w:trPr>
          <w:trHeight w:val="202"/>
        </w:trPr>
        <w:tc>
          <w:tcPr>
            <w:tcW w:w="4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redeemable convertible preferred</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warrant liability</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extinguishment of term loan</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4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(15,382)</w:t>
            </w: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(15,402)</w:t>
            </w:r>
          </w:p>
        </w:tc>
        <w:tc>
          <w:tcPr>
            <w:tcW w:w="26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(89,449)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(48,853)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 basic and diluted</w:t>
            </w:r>
          </w:p>
        </w:tc>
        <w:tc>
          <w:tcPr>
            <w:tcW w:w="4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(16,666)</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(47,281)</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(66,015)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 and diluted</w:t>
            </w:r>
          </w:p>
        </w:tc>
        <w:tc>
          <w:tcPr>
            <w:tcW w:w="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w:t>
            </w: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(18.93)</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(6.30)</w:t>
            </w: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(78.77)</w:t>
            </w:r>
          </w:p>
        </w:tc>
        <w:tc>
          <w:tcPr>
            <w:tcW w:w="0" w:type="dxa"/>
            <w:vAlign w:val="bottom"/>
          </w:tcPr>
          <w:p>
            <w:pPr>
              <w:spacing w:after="0"/>
              <w:rPr>
                <w:sz w:val="1"/>
                <w:szCs w:val="1"/>
                <w:color w:val="auto"/>
              </w:rPr>
            </w:pPr>
          </w:p>
        </w:tc>
      </w:tr>
      <w:tr>
        <w:trPr>
          <w:trHeight w:val="186"/>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used in computing net loss per share</w:t>
            </w:r>
          </w:p>
        </w:tc>
        <w:tc>
          <w:tcPr>
            <w:tcW w:w="4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attributable to common stockholders, basic and diluted</w:t>
            </w:r>
          </w:p>
        </w:tc>
        <w:tc>
          <w:tcPr>
            <w:tcW w:w="4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7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3"/>
        </w:trPr>
        <w:tc>
          <w:tcPr>
            <w:tcW w:w="5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1"/>
        </w:trPr>
        <w:tc>
          <w:tcPr>
            <w:tcW w:w="50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(89,449)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(48,853)</w:t>
            </w:r>
          </w:p>
        </w:tc>
        <w:tc>
          <w:tcPr>
            <w:tcW w:w="120" w:type="dxa"/>
            <w:vAlign w:val="bottom"/>
            <w:shd w:val="clear" w:color="auto" w:fill="CFF0FC"/>
          </w:tcPr>
          <w:p>
            <w:pPr>
              <w:spacing w:after="0"/>
              <w:rPr>
                <w:sz w:val="18"/>
                <w:szCs w:val="18"/>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FF0FC"/>
          </w:tcPr>
          <w:p>
            <w:pPr>
              <w:spacing w:after="0"/>
              <w:rPr>
                <w:sz w:val="19"/>
                <w:szCs w:val="19"/>
                <w:color w:val="auto"/>
              </w:rPr>
            </w:pPr>
          </w:p>
        </w:tc>
      </w:tr>
      <w:tr>
        <w:trPr>
          <w:trHeight w:val="207"/>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(42,293)</w:t>
            </w:r>
          </w:p>
        </w:tc>
        <w:tc>
          <w:tcPr>
            <w:tcW w:w="26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(15,410)</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(89,470)</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(48,751)</w:t>
            </w:r>
          </w:p>
        </w:tc>
        <w:tc>
          <w:tcPr>
            <w:tcW w:w="12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Statement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180"/>
          </w:cols>
          <w:pgMar w:left="320" w:top="117" w:right="39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64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Redeemable</w:t>
            </w:r>
          </w:p>
        </w:tc>
      </w:tr>
      <w:tr>
        <w:trPr>
          <w:trHeight w:val="203"/>
        </w:trPr>
        <w:tc>
          <w:tcPr>
            <w:tcW w:w="3180" w:type="dxa"/>
            <w:vAlign w:val="bottom"/>
          </w:tcPr>
          <w:p>
            <w:pPr>
              <w:spacing w:after="0"/>
              <w:rPr>
                <w:sz w:val="17"/>
                <w:szCs w:val="17"/>
                <w:color w:val="auto"/>
              </w:rPr>
            </w:pPr>
          </w:p>
        </w:tc>
        <w:tc>
          <w:tcPr>
            <w:tcW w:w="164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Convertible</w:t>
            </w:r>
          </w:p>
        </w:tc>
      </w:tr>
      <w:tr>
        <w:trPr>
          <w:trHeight w:val="215"/>
        </w:trPr>
        <w:tc>
          <w:tcPr>
            <w:tcW w:w="3180" w:type="dxa"/>
            <w:vAlign w:val="bottom"/>
          </w:tcPr>
          <w:p>
            <w:pPr>
              <w:spacing w:after="0"/>
              <w:rPr>
                <w:sz w:val="18"/>
                <w:szCs w:val="18"/>
                <w:color w:val="auto"/>
              </w:rPr>
            </w:pPr>
          </w:p>
        </w:tc>
        <w:tc>
          <w:tcPr>
            <w:tcW w:w="164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Preferred Stock</w:t>
            </w:r>
          </w:p>
        </w:tc>
      </w:tr>
      <w:tr>
        <w:trPr>
          <w:trHeight w:val="209"/>
        </w:trPr>
        <w:tc>
          <w:tcPr>
            <w:tcW w:w="3180" w:type="dxa"/>
            <w:vAlign w:val="bottom"/>
          </w:tcPr>
          <w:p>
            <w:pPr>
              <w:spacing w:after="0"/>
              <w:rPr>
                <w:sz w:val="18"/>
                <w:szCs w:val="18"/>
                <w:color w:val="auto"/>
              </w:rPr>
            </w:pPr>
          </w:p>
        </w:tc>
        <w:tc>
          <w:tcPr>
            <w:tcW w:w="9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r>
      <w:tr>
        <w:trPr>
          <w:trHeight w:val="208"/>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2019</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409,446</w:t>
            </w:r>
          </w:p>
        </w:tc>
        <w:tc>
          <w:tcPr>
            <w:tcW w:w="40" w:type="dxa"/>
            <w:vAlign w:val="bottom"/>
          </w:tcPr>
          <w:p>
            <w:pPr>
              <w:spacing w:after="0"/>
              <w:rPr>
                <w:sz w:val="18"/>
                <w:szCs w:val="18"/>
                <w:color w:val="auto"/>
              </w:rPr>
            </w:pP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Series E redeemable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of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126,758</w:t>
            </w:r>
          </w:p>
        </w:tc>
        <w:tc>
          <w:tcPr>
            <w:tcW w:w="40" w:type="dxa"/>
            <w:vAlign w:val="bottom"/>
          </w:tcPr>
          <w:p>
            <w:pPr>
              <w:spacing w:after="0"/>
              <w:rPr>
                <w:sz w:val="18"/>
                <w:szCs w:val="18"/>
                <w:color w:val="auto"/>
              </w:rPr>
            </w:pP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common stock on settlement of</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dividend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(41,763)</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Deemed dividend on settlement of accrued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(42,530)</w:t>
            </w: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 option exercises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loss on available-for-sale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Adjustment to redemption value 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redeemable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40" w:type="dxa"/>
            <w:vAlign w:val="bottom"/>
          </w:tcPr>
          <w:p>
            <w:pPr>
              <w:spacing w:after="0"/>
              <w:rPr>
                <w:sz w:val="18"/>
                <w:szCs w:val="18"/>
                <w:color w:val="auto"/>
              </w:rPr>
            </w:pP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March 31, 2020</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452,273</w:t>
            </w:r>
          </w:p>
        </w:tc>
        <w:tc>
          <w:tcPr>
            <w:tcW w:w="40" w:type="dxa"/>
            <w:vAlign w:val="bottom"/>
          </w:tcPr>
          <w:p>
            <w:pPr>
              <w:spacing w:after="0"/>
              <w:rPr>
                <w:sz w:val="18"/>
                <w:szCs w:val="18"/>
                <w:color w:val="auto"/>
              </w:rPr>
            </w:pP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 option exercises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gain on available-for-sale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 2020</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452,273</w:t>
            </w:r>
          </w:p>
        </w:tc>
        <w:tc>
          <w:tcPr>
            <w:tcW w:w="40" w:type="dxa"/>
            <w:vAlign w:val="bottom"/>
          </w:tcPr>
          <w:p>
            <w:pPr>
              <w:spacing w:after="0"/>
              <w:rPr>
                <w:sz w:val="18"/>
                <w:szCs w:val="18"/>
                <w:color w:val="auto"/>
              </w:rPr>
            </w:pP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common stock upon net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exercises of Series B</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redeemable convertible preferred stock</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warrants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exercises of Series C redeemable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convertible preferred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warrants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40" w:type="dxa"/>
            <w:vAlign w:val="bottom"/>
          </w:tcPr>
          <w:p>
            <w:pPr>
              <w:spacing w:after="0"/>
              <w:rPr>
                <w:sz w:val="18"/>
                <w:szCs w:val="18"/>
                <w:color w:val="auto"/>
              </w:rPr>
            </w:pP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Conversion of Series A redeemable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convertible preferred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warrants to common stock warrants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Conversion of redeemable convertible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to</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upon initial public offering</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(206,651)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(456,561)</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common stock upon initial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public offering, net of</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issuance costs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of redeemable convertible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warrant liability to equity</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 option exercises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gain on available-for-sale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2020</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r>
      <w:tr>
        <w:trPr>
          <w:trHeight w:val="212"/>
        </w:trPr>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14"/>
        </w:trPr>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(Deficit)</w:t>
            </w:r>
          </w:p>
        </w:tc>
      </w:tr>
      <w:tr>
        <w:trPr>
          <w:trHeight w:val="206"/>
        </w:trPr>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200" w:type="dxa"/>
            <w:vAlign w:val="bottom"/>
          </w:tcPr>
          <w:p>
            <w:pPr>
              <w:spacing w:after="0"/>
              <w:rPr>
                <w:sz w:val="17"/>
                <w:szCs w:val="17"/>
                <w:color w:val="auto"/>
              </w:rPr>
            </w:pP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(372,567)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(372,187)</w:t>
            </w:r>
          </w:p>
        </w:tc>
        <w:tc>
          <w:tcPr>
            <w:tcW w:w="40" w:type="dxa"/>
            <w:vAlign w:val="bottom"/>
          </w:tcPr>
          <w:p>
            <w:pPr>
              <w:spacing w:after="0"/>
              <w:rPr>
                <w:sz w:val="17"/>
                <w:szCs w:val="17"/>
                <w:color w:val="auto"/>
              </w:rPr>
            </w:pPr>
          </w:p>
        </w:tc>
      </w:tr>
      <w:tr>
        <w:trPr>
          <w:trHeight w:val="621"/>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18"/>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41,763</w:t>
            </w:r>
          </w:p>
        </w:tc>
        <w:tc>
          <w:tcPr>
            <w:tcW w:w="40" w:type="dxa"/>
            <w:vAlign w:val="bottom"/>
          </w:tcPr>
          <w:p>
            <w:pPr>
              <w:spacing w:after="0"/>
              <w:rPr>
                <w:sz w:val="24"/>
                <w:szCs w:val="24"/>
                <w:color w:val="auto"/>
              </w:rPr>
            </w:pPr>
          </w:p>
        </w:tc>
      </w:tr>
      <w:tr>
        <w:trPr>
          <w:trHeight w:val="418"/>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42,530</w:t>
            </w:r>
          </w:p>
        </w:tc>
        <w:tc>
          <w:tcPr>
            <w:tcW w:w="40" w:type="dxa"/>
            <w:vAlign w:val="bottom"/>
          </w:tcPr>
          <w:p>
            <w:pPr>
              <w:spacing w:after="0"/>
              <w:rPr>
                <w:sz w:val="24"/>
                <w:szCs w:val="24"/>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8"/>
                <w:szCs w:val="18"/>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40" w:type="dxa"/>
            <w:vAlign w:val="bottom"/>
          </w:tcPr>
          <w:p>
            <w:pPr>
              <w:spacing w:after="0"/>
              <w:rPr>
                <w:sz w:val="18"/>
                <w:szCs w:val="18"/>
                <w:color w:val="auto"/>
              </w:rPr>
            </w:pPr>
          </w:p>
        </w:tc>
      </w:tr>
      <w:tr>
        <w:trPr>
          <w:trHeight w:val="419"/>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621"/>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19"/>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(20,650)</w:t>
            </w:r>
          </w:p>
        </w:tc>
      </w:tr>
      <w:tr>
        <w:trPr>
          <w:trHeight w:val="207"/>
        </w:trPr>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(393,217)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(308,347)</w:t>
            </w:r>
          </w:p>
        </w:tc>
        <w:tc>
          <w:tcPr>
            <w:tcW w:w="40" w:type="dxa"/>
            <w:vAlign w:val="bottom"/>
          </w:tcPr>
          <w:p>
            <w:pPr>
              <w:spacing w:after="0"/>
              <w:rPr>
                <w:sz w:val="17"/>
                <w:szCs w:val="17"/>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tcPr>
          <w:p>
            <w:pPr>
              <w:spacing w:after="0"/>
              <w:rPr>
                <w:sz w:val="18"/>
                <w:szCs w:val="18"/>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40" w:type="dxa"/>
            <w:vAlign w:val="bottom"/>
          </w:tcPr>
          <w:p>
            <w:pPr>
              <w:spacing w:after="0"/>
              <w:rPr>
                <w:sz w:val="18"/>
                <w:szCs w:val="18"/>
                <w:color w:val="auto"/>
              </w:rPr>
            </w:pPr>
          </w:p>
        </w:tc>
      </w:tr>
      <w:tr>
        <w:trPr>
          <w:trHeight w:val="418"/>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24"/>
                <w:szCs w:val="24"/>
                <w:color w:val="auto"/>
              </w:rPr>
            </w:pPr>
          </w:p>
        </w:tc>
      </w:tr>
      <w:tr>
        <w:trPr>
          <w:trHeight w:val="219"/>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(26,505)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(26,505)</w:t>
            </w:r>
          </w:p>
        </w:tc>
      </w:tr>
      <w:tr>
        <w:trPr>
          <w:trHeight w:val="207"/>
        </w:trPr>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(419,722)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(334,076)</w:t>
            </w:r>
          </w:p>
        </w:tc>
        <w:tc>
          <w:tcPr>
            <w:tcW w:w="40" w:type="dxa"/>
            <w:vAlign w:val="bottom"/>
          </w:tcPr>
          <w:p>
            <w:pPr>
              <w:spacing w:after="0"/>
              <w:rPr>
                <w:sz w:val="17"/>
                <w:szCs w:val="17"/>
                <w:color w:val="auto"/>
              </w:rPr>
            </w:pPr>
          </w:p>
        </w:tc>
      </w:tr>
      <w:tr>
        <w:trPr>
          <w:trHeight w:val="823"/>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621"/>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621"/>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40" w:type="dxa"/>
            <w:vAlign w:val="bottom"/>
          </w:tcPr>
          <w:p>
            <w:pPr>
              <w:spacing w:after="0"/>
              <w:rPr>
                <w:sz w:val="24"/>
                <w:szCs w:val="24"/>
                <w:color w:val="auto"/>
              </w:rPr>
            </w:pPr>
          </w:p>
        </w:tc>
      </w:tr>
      <w:tr>
        <w:trPr>
          <w:trHeight w:val="621"/>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26,167</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456,561</w:t>
            </w:r>
          </w:p>
        </w:tc>
        <w:tc>
          <w:tcPr>
            <w:tcW w:w="40" w:type="dxa"/>
            <w:vAlign w:val="bottom"/>
          </w:tcPr>
          <w:p>
            <w:pPr>
              <w:spacing w:after="0"/>
              <w:rPr>
                <w:sz w:val="24"/>
                <w:szCs w:val="24"/>
                <w:color w:val="auto"/>
              </w:rPr>
            </w:pPr>
          </w:p>
        </w:tc>
      </w:tr>
      <w:tr>
        <w:trPr>
          <w:trHeight w:val="621"/>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254,805</w:t>
            </w:r>
          </w:p>
        </w:tc>
        <w:tc>
          <w:tcPr>
            <w:tcW w:w="40" w:type="dxa"/>
            <w:vAlign w:val="bottom"/>
          </w:tcPr>
          <w:p>
            <w:pPr>
              <w:spacing w:after="0"/>
              <w:rPr>
                <w:sz w:val="24"/>
                <w:szCs w:val="24"/>
                <w:color w:val="auto"/>
              </w:rPr>
            </w:pPr>
          </w:p>
        </w:tc>
      </w:tr>
      <w:tr>
        <w:trPr>
          <w:trHeight w:val="621"/>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40" w:type="dxa"/>
            <w:vAlign w:val="bottom"/>
          </w:tcPr>
          <w:p>
            <w:pPr>
              <w:spacing w:after="0"/>
              <w:rPr>
                <w:sz w:val="24"/>
                <w:szCs w:val="24"/>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40" w:type="dxa"/>
            <w:vAlign w:val="bottom"/>
          </w:tcPr>
          <w:p>
            <w:pPr>
              <w:spacing w:after="0"/>
              <w:rPr>
                <w:sz w:val="18"/>
                <w:szCs w:val="18"/>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13,908</w:t>
            </w:r>
          </w:p>
        </w:tc>
        <w:tc>
          <w:tcPr>
            <w:tcW w:w="40" w:type="dxa"/>
            <w:vAlign w:val="bottom"/>
          </w:tcPr>
          <w:p>
            <w:pPr>
              <w:spacing w:after="0"/>
              <w:rPr>
                <w:sz w:val="18"/>
                <w:szCs w:val="18"/>
                <w:color w:val="auto"/>
              </w:rPr>
            </w:pPr>
          </w:p>
        </w:tc>
      </w:tr>
      <w:tr>
        <w:trPr>
          <w:trHeight w:val="418"/>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24"/>
                <w:szCs w:val="24"/>
                <w:color w:val="auto"/>
              </w:rPr>
            </w:pPr>
          </w:p>
        </w:tc>
      </w:tr>
      <w:tr>
        <w:trPr>
          <w:trHeight w:val="219"/>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(42,294)</w:t>
            </w:r>
          </w:p>
        </w:tc>
      </w:tr>
      <w:tr>
        <w:trPr>
          <w:trHeight w:val="210"/>
        </w:trPr>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42,701</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816,306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(462,016</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354,333</w:t>
            </w:r>
          </w:p>
        </w:tc>
        <w:tc>
          <w:tcPr>
            <w:tcW w:w="40" w:type="dxa"/>
            <w:vAlign w:val="bottom"/>
          </w:tcPr>
          <w:p>
            <w:pPr>
              <w:spacing w:after="0"/>
              <w:rPr>
                <w:sz w:val="18"/>
                <w:szCs w:val="18"/>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-6994525</wp:posOffset>
            </wp:positionV>
            <wp:extent cx="7132320" cy="6995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99516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4820" w:space="260"/>
            <w:col w:w="6100"/>
          </w:cols>
          <w:pgMar w:left="320" w:top="117"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Statement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180"/>
          </w:cols>
          <w:pgMar w:left="320" w:top="117" w:right="39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Redeemable</w:t>
            </w:r>
          </w:p>
        </w:tc>
      </w:tr>
      <w:tr>
        <w:trPr>
          <w:trHeight w:val="203"/>
        </w:trPr>
        <w:tc>
          <w:tcPr>
            <w:tcW w:w="3120" w:type="dxa"/>
            <w:vAlign w:val="bottom"/>
          </w:tcPr>
          <w:p>
            <w:pPr>
              <w:spacing w:after="0"/>
              <w:rPr>
                <w:sz w:val="17"/>
                <w:szCs w:val="17"/>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Convertible</w:t>
            </w:r>
          </w:p>
        </w:tc>
      </w:tr>
      <w:tr>
        <w:trPr>
          <w:trHeight w:val="215"/>
        </w:trPr>
        <w:tc>
          <w:tcPr>
            <w:tcW w:w="3120" w:type="dxa"/>
            <w:vAlign w:val="bottom"/>
          </w:tcPr>
          <w:p>
            <w:pPr>
              <w:spacing w:after="0"/>
              <w:rPr>
                <w:sz w:val="18"/>
                <w:szCs w:val="18"/>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Preferred Stock</w:t>
            </w:r>
          </w:p>
        </w:tc>
      </w:tr>
      <w:tr>
        <w:trPr>
          <w:trHeight w:val="209"/>
        </w:trPr>
        <w:tc>
          <w:tcPr>
            <w:tcW w:w="3120" w:type="dxa"/>
            <w:vAlign w:val="bottom"/>
          </w:tcPr>
          <w:p>
            <w:pPr>
              <w:spacing w:after="0"/>
              <w:rPr>
                <w:sz w:val="18"/>
                <w:szCs w:val="18"/>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2018</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147,214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392,284</w:t>
            </w:r>
          </w:p>
        </w:tc>
        <w:tc>
          <w:tcPr>
            <w:tcW w:w="60" w:type="dxa"/>
            <w:vAlign w:val="bottom"/>
          </w:tcPr>
          <w:p>
            <w:pPr>
              <w:spacing w:after="0"/>
              <w:rPr>
                <w:sz w:val="18"/>
                <w:szCs w:val="18"/>
                <w:color w:val="auto"/>
              </w:rPr>
            </w:pP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 option exercises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warrant exercises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gain on available-for-sale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Adjustment to redemption value 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redeemable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60" w:type="dxa"/>
            <w:vAlign w:val="bottom"/>
          </w:tcPr>
          <w:p>
            <w:pPr>
              <w:spacing w:after="0"/>
              <w:rPr>
                <w:sz w:val="18"/>
                <w:szCs w:val="18"/>
                <w:color w:val="auto"/>
              </w:rPr>
            </w:pP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March 31, 2019</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147,214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400,154</w:t>
            </w:r>
          </w:p>
        </w:tc>
        <w:tc>
          <w:tcPr>
            <w:tcW w:w="60" w:type="dxa"/>
            <w:vAlign w:val="bottom"/>
          </w:tcPr>
          <w:p>
            <w:pPr>
              <w:spacing w:after="0"/>
              <w:rPr>
                <w:sz w:val="18"/>
                <w:szCs w:val="18"/>
                <w:color w:val="auto"/>
              </w:rPr>
            </w:pP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 option exercises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gain on available-for-sale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Adjustment to redemption value 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redeemable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60" w:type="dxa"/>
            <w:vAlign w:val="bottom"/>
          </w:tcPr>
          <w:p>
            <w:pPr>
              <w:spacing w:after="0"/>
              <w:rPr>
                <w:sz w:val="18"/>
                <w:szCs w:val="18"/>
                <w:color w:val="auto"/>
              </w:rPr>
            </w:pP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 2019</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147,214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408,182</w:t>
            </w:r>
          </w:p>
        </w:tc>
        <w:tc>
          <w:tcPr>
            <w:tcW w:w="60" w:type="dxa"/>
            <w:vAlign w:val="bottom"/>
          </w:tcPr>
          <w:p>
            <w:pPr>
              <w:spacing w:after="0"/>
              <w:rPr>
                <w:sz w:val="18"/>
                <w:szCs w:val="18"/>
                <w:color w:val="auto"/>
              </w:rPr>
            </w:pP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 option exercises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loss on available-for-sale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extinguishment of redeemable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convertible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(117,417)</w:t>
            </w:r>
          </w:p>
        </w:tc>
      </w:tr>
      <w:tr>
        <w:trPr>
          <w:trHeight w:val="208"/>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Costs to adjust the redemption value 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redeemable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8"/>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Adjustment to redemption value 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redeemable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3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118,862</w:t>
            </w:r>
          </w:p>
        </w:tc>
        <w:tc>
          <w:tcPr>
            <w:tcW w:w="60" w:type="dxa"/>
            <w:vAlign w:val="bottom"/>
          </w:tcPr>
          <w:p>
            <w:pPr>
              <w:spacing w:after="0"/>
              <w:rPr>
                <w:sz w:val="18"/>
                <w:szCs w:val="18"/>
                <w:color w:val="auto"/>
              </w:rPr>
            </w:pPr>
          </w:p>
        </w:tc>
      </w:tr>
      <w:tr>
        <w:trPr>
          <w:trHeight w:val="216"/>
        </w:trPr>
        <w:tc>
          <w:tcPr>
            <w:tcW w:w="3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2019</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147,214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409,446</w:t>
            </w:r>
          </w:p>
        </w:tc>
        <w:tc>
          <w:tcPr>
            <w:tcW w:w="6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r>
      <w:tr>
        <w:trPr>
          <w:trHeight w:val="212"/>
        </w:trPr>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14"/>
        </w:trPr>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(Deficit)</w:t>
            </w:r>
          </w:p>
        </w:tc>
      </w:tr>
      <w:tr>
        <w:trPr>
          <w:trHeight w:val="206"/>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00" w:type="dxa"/>
            <w:vAlign w:val="bottom"/>
          </w:tcPr>
          <w:p>
            <w:pPr>
              <w:spacing w:after="0"/>
              <w:rPr>
                <w:sz w:val="17"/>
                <w:szCs w:val="17"/>
                <w:color w:val="auto"/>
              </w:rPr>
            </w:pP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(287,950)</w:t>
            </w:r>
          </w:p>
        </w:tc>
        <w:tc>
          <w:tcPr>
            <w:tcW w:w="40" w:type="dxa"/>
            <w:vAlign w:val="bottom"/>
          </w:tcPr>
          <w:p>
            <w:pPr>
              <w:spacing w:after="0"/>
              <w:rPr>
                <w:sz w:val="17"/>
                <w:szCs w:val="17"/>
                <w:color w:val="auto"/>
              </w:rPr>
            </w:pP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Pr>
          <w:p>
            <w:pPr>
              <w:spacing w:after="0"/>
              <w:rPr>
                <w:sz w:val="18"/>
                <w:szCs w:val="18"/>
                <w:color w:val="auto"/>
              </w:rPr>
            </w:pP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Pr>
          <w:p>
            <w:pPr>
              <w:spacing w:after="0"/>
              <w:rPr>
                <w:sz w:val="18"/>
                <w:szCs w:val="18"/>
                <w:color w:val="auto"/>
              </w:rPr>
            </w:pPr>
          </w:p>
        </w:tc>
      </w:tr>
      <w:tr>
        <w:trPr>
          <w:trHeight w:val="216"/>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40" w:type="dxa"/>
            <w:vAlign w:val="bottom"/>
          </w:tcPr>
          <w:p>
            <w:pPr>
              <w:spacing w:after="0"/>
              <w:rPr>
                <w:sz w:val="18"/>
                <w:szCs w:val="18"/>
                <w:color w:val="auto"/>
              </w:rPr>
            </w:pPr>
          </w:p>
        </w:tc>
      </w:tr>
      <w:tr>
        <w:trPr>
          <w:trHeight w:val="418"/>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tcPr>
          <w:p>
            <w:pPr>
              <w:spacing w:after="0"/>
              <w:rPr>
                <w:sz w:val="24"/>
                <w:szCs w:val="24"/>
                <w:color w:val="auto"/>
              </w:rPr>
            </w:pPr>
          </w:p>
        </w:tc>
      </w:tr>
      <w:tr>
        <w:trPr>
          <w:trHeight w:val="621"/>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(7,479)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(7,870)</w:t>
            </w:r>
          </w:p>
        </w:tc>
      </w:tr>
      <w:tr>
        <w:trPr>
          <w:trHeight w:val="219"/>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(16,422)</w:t>
            </w:r>
          </w:p>
        </w:tc>
      </w:tr>
      <w:tr>
        <w:trPr>
          <w:trHeight w:val="207"/>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(311,769)</w:t>
            </w:r>
          </w:p>
        </w:tc>
        <w:tc>
          <w:tcPr>
            <w:tcW w:w="40" w:type="dxa"/>
            <w:vAlign w:val="bottom"/>
          </w:tcPr>
          <w:p>
            <w:pPr>
              <w:spacing w:after="0"/>
              <w:rPr>
                <w:sz w:val="17"/>
                <w:szCs w:val="17"/>
                <w:color w:val="auto"/>
              </w:rPr>
            </w:pP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40" w:type="dxa"/>
            <w:vAlign w:val="bottom"/>
          </w:tcPr>
          <w:p>
            <w:pPr>
              <w:spacing w:after="0"/>
              <w:rPr>
                <w:sz w:val="18"/>
                <w:szCs w:val="18"/>
                <w:color w:val="auto"/>
              </w:rPr>
            </w:pPr>
          </w:p>
        </w:tc>
      </w:tr>
      <w:tr>
        <w:trPr>
          <w:trHeight w:val="216"/>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0" w:type="dxa"/>
            <w:vAlign w:val="bottom"/>
          </w:tcPr>
          <w:p>
            <w:pPr>
              <w:spacing w:after="0"/>
              <w:rPr>
                <w:sz w:val="18"/>
                <w:szCs w:val="18"/>
                <w:color w:val="auto"/>
              </w:rPr>
            </w:pPr>
          </w:p>
        </w:tc>
      </w:tr>
      <w:tr>
        <w:trPr>
          <w:trHeight w:val="418"/>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Pr>
          <w:p>
            <w:pPr>
              <w:spacing w:after="0"/>
              <w:rPr>
                <w:sz w:val="24"/>
                <w:szCs w:val="24"/>
                <w:color w:val="auto"/>
              </w:rPr>
            </w:pPr>
          </w:p>
        </w:tc>
      </w:tr>
      <w:tr>
        <w:trPr>
          <w:trHeight w:val="621"/>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(7,705)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(8,028)</w:t>
            </w:r>
          </w:p>
        </w:tc>
      </w:tr>
      <w:tr>
        <w:trPr>
          <w:trHeight w:val="219"/>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(17,029)</w:t>
            </w:r>
          </w:p>
        </w:tc>
      </w:tr>
      <w:tr>
        <w:trPr>
          <w:trHeight w:val="207"/>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(336,526)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(336,475)</w:t>
            </w:r>
          </w:p>
        </w:tc>
        <w:tc>
          <w:tcPr>
            <w:tcW w:w="40" w:type="dxa"/>
            <w:vAlign w:val="bottom"/>
          </w:tcPr>
          <w:p>
            <w:pPr>
              <w:spacing w:after="0"/>
              <w:rPr>
                <w:sz w:val="17"/>
                <w:szCs w:val="17"/>
                <w:color w:val="auto"/>
              </w:rPr>
            </w:pP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8"/>
                <w:szCs w:val="18"/>
                <w:color w:val="auto"/>
              </w:rPr>
            </w:pPr>
          </w:p>
        </w:tc>
      </w:tr>
      <w:tr>
        <w:trPr>
          <w:trHeight w:val="216"/>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40" w:type="dxa"/>
            <w:vAlign w:val="bottom"/>
          </w:tcPr>
          <w:p>
            <w:pPr>
              <w:spacing w:after="0"/>
              <w:rPr>
                <w:sz w:val="18"/>
                <w:szCs w:val="18"/>
                <w:color w:val="auto"/>
              </w:rPr>
            </w:pPr>
          </w:p>
        </w:tc>
      </w:tr>
      <w:tr>
        <w:trPr>
          <w:trHeight w:val="418"/>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621"/>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117,417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117,417</w:t>
            </w:r>
          </w:p>
        </w:tc>
        <w:tc>
          <w:tcPr>
            <w:tcW w:w="40" w:type="dxa"/>
            <w:vAlign w:val="bottom"/>
          </w:tcPr>
          <w:p>
            <w:pPr>
              <w:spacing w:after="0"/>
              <w:rPr>
                <w:sz w:val="24"/>
                <w:szCs w:val="24"/>
                <w:color w:val="auto"/>
              </w:rPr>
            </w:pPr>
          </w:p>
        </w:tc>
      </w:tr>
      <w:tr>
        <w:trPr>
          <w:trHeight w:val="621"/>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621"/>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(118,610)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(118,862)</w:t>
            </w:r>
          </w:p>
        </w:tc>
      </w:tr>
      <w:tr>
        <w:trPr>
          <w:trHeight w:val="219"/>
        </w:trPr>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(15,402)</w:t>
            </w:r>
          </w:p>
        </w:tc>
      </w:tr>
      <w:tr>
        <w:trPr>
          <w:trHeight w:val="210"/>
        </w:trPr>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(353,121</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(353,078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-5417185</wp:posOffset>
            </wp:positionV>
            <wp:extent cx="7132320" cy="5417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41782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800" w:space="240"/>
            <w:col w:w="6140"/>
          </w:cols>
          <w:pgMar w:left="320" w:top="117"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12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6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(89,449)</w:t>
            </w: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(48,853)</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Non-cash lease expense</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(accretion) of premium (discount) on investments, net</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accounts receivable</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Provision for inventories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15,171</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redeemable convertible preferred stock warrant liability</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(4,030)</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extinguishment of term loan</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(3,197)</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(3,298)</w:t>
            </w:r>
          </w:p>
        </w:tc>
        <w:tc>
          <w:tcPr>
            <w:tcW w:w="0" w:type="dxa"/>
            <w:vAlign w:val="bottom"/>
          </w:tcPr>
          <w:p>
            <w:pPr>
              <w:spacing w:after="0"/>
              <w:rPr>
                <w:sz w:val="1"/>
                <w:szCs w:val="1"/>
                <w:color w:val="auto"/>
              </w:rPr>
            </w:pPr>
          </w:p>
        </w:tc>
      </w:tr>
      <w:tr>
        <w:trPr>
          <w:trHeight w:val="213"/>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(9,236)</w:t>
            </w:r>
          </w:p>
        </w:tc>
        <w:tc>
          <w:tcPr>
            <w:tcW w:w="5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(5,611)</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(5,397)</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Accrued payroll and related benefits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Accrued warranty liability</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revenue</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Accrued interest</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(217)</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12"/>
        </w:trPr>
        <w:tc>
          <w:tcPr>
            <w:tcW w:w="7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(73,175)</w:t>
            </w:r>
          </w:p>
        </w:tc>
        <w:tc>
          <w:tcPr>
            <w:tcW w:w="3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(6,446)</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(2,764)</w:t>
            </w: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(32,884)</w:t>
            </w:r>
          </w:p>
        </w:tc>
        <w:tc>
          <w:tcPr>
            <w:tcW w:w="5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(88,103)</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Sales and maturities of short-term investments</w:t>
            </w:r>
          </w:p>
        </w:tc>
        <w:tc>
          <w:tcPr>
            <w:tcW w:w="6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32,919</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66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(6,411)</w:t>
            </w:r>
          </w:p>
        </w:tc>
        <w:tc>
          <w:tcPr>
            <w:tcW w:w="30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common stock upon initial public offering, net of issuance costs paid</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255,728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cash exercise of redeemable convertible preferred stock warrants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redeemable convertible preferred stock, net of issuance costs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126,758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exercise of common stock warrant</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term loan, net of issuance costs</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29,630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 of term loan and extinguishment costs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(30,985)</w:t>
            </w:r>
          </w:p>
        </w:tc>
        <w:tc>
          <w:tcPr>
            <w:tcW w:w="5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Repayment of finance lease</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 of redeemable convertible preferred stock issuance costs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2"/>
        </w:trPr>
        <w:tc>
          <w:tcPr>
            <w:tcW w:w="7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386,555</w:t>
            </w:r>
          </w:p>
        </w:tc>
        <w:tc>
          <w:tcPr>
            <w:tcW w:w="3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306,969</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as of beginning of period</w:t>
            </w:r>
          </w:p>
        </w:tc>
        <w:tc>
          <w:tcPr>
            <w:tcW w:w="6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37,669</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as of end of period</w:t>
            </w:r>
          </w:p>
        </w:tc>
        <w:tc>
          <w:tcPr>
            <w:tcW w:w="66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344,638</w:t>
            </w:r>
          </w:p>
        </w:tc>
        <w:tc>
          <w:tcPr>
            <w:tcW w:w="300" w:type="dxa"/>
            <w:vAlign w:val="bottom"/>
            <w:tcBorders>
              <w:bottom w:val="single" w:sz="8" w:color="CFF0FC"/>
            </w:tcBorders>
          </w:tcPr>
          <w:p>
            <w:pPr>
              <w:spacing w:after="0"/>
              <w:rPr>
                <w:sz w:val="21"/>
                <w:szCs w:val="21"/>
                <w:color w:val="auto"/>
              </w:rPr>
            </w:pPr>
          </w:p>
        </w:tc>
        <w:tc>
          <w:tcPr>
            <w:tcW w:w="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60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6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CFF0FC"/>
            </w:tcBorders>
            <w:vMerge w:val="continue"/>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3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6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non-cash investing and financing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convertible preferred stock warrant liability for conversion of</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Series A redeemable preferred stock warrants into common stock warrants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280" w:type="dxa"/>
            <w:vAlign w:val="bottom"/>
          </w:tcPr>
          <w:p>
            <w:pPr>
              <w:spacing w:after="0"/>
              <w:rPr>
                <w:sz w:val="22"/>
                <w:szCs w:val="22"/>
                <w:color w:val="auto"/>
              </w:rPr>
            </w:pPr>
          </w:p>
        </w:tc>
        <w:tc>
          <w:tcPr>
            <w:tcW w:w="580" w:type="dxa"/>
            <w:vAlign w:val="bottom"/>
            <w:gridSpan w:val="2"/>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Reclassification of redeemable convertible preferred stock warrant liability to additional</w:t>
            </w:r>
          </w:p>
        </w:tc>
        <w:tc>
          <w:tcPr>
            <w:tcW w:w="34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paid-in capital</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2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Conversion of redeemable convertible preferred stock into common stock upon initial public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offering</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456,561</w:t>
            </w:r>
          </w:p>
        </w:tc>
        <w:tc>
          <w:tcPr>
            <w:tcW w:w="280" w:type="dxa"/>
            <w:vAlign w:val="bottom"/>
          </w:tcPr>
          <w:p>
            <w:pPr>
              <w:spacing w:after="0"/>
              <w:rPr>
                <w:sz w:val="22"/>
                <w:szCs w:val="22"/>
                <w:color w:val="auto"/>
              </w:rPr>
            </w:pPr>
          </w:p>
        </w:tc>
        <w:tc>
          <w:tcPr>
            <w:tcW w:w="580" w:type="dxa"/>
            <w:vAlign w:val="bottom"/>
            <w:gridSpan w:val="2"/>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Initial public offering issuance costs included in accrued expenses</w:t>
            </w: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FF0FC"/>
            </w:tcBorders>
            <w:vMerge w:val="continue"/>
          </w:tcPr>
          <w:p>
            <w:pPr>
              <w:spacing w:after="0"/>
              <w:rPr>
                <w:sz w:val="20"/>
                <w:szCs w:val="20"/>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 of inventories to property and equipment</w:t>
            </w: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common stock on settlement of accrued dividend</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FF0FC"/>
            </w:tcBorders>
            <w:vMerge w:val="continue"/>
          </w:tcPr>
          <w:p>
            <w:pPr>
              <w:spacing w:after="0"/>
              <w:rPr>
                <w:sz w:val="20"/>
                <w:szCs w:val="20"/>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41,763</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Deemed dividend on settlement of accrued dividend</w:t>
            </w: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42,530</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FF0FC"/>
            </w:tcBorders>
            <w:vMerge w:val="continue"/>
          </w:tcPr>
          <w:p>
            <w:pPr>
              <w:spacing w:after="0"/>
              <w:rPr>
                <w:sz w:val="20"/>
                <w:szCs w:val="20"/>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extinguishment of redeemable convertible preferred stock</w:t>
            </w: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117,598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 to redemption value on redeemable convertible preferred stock</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Outset Medical, Inc. (the “Company”) was originally incorporated on May 5, 2003 in the state of Delaware under the name Home Dialysis Plus, Ltd. The name of the Company was changed to Outset Medical, Inc. on January 5, 2015. Outset Medical, Inc. is a medical technology company pioneering a first-of-its-kind technology to reduce the cost and complexity of dialysis. The Tablo Hemodialysis System enables dialysis care in acute and chronic settings. The Company’s headquarters are located in San Jose, CA.</w:t>
      </w:r>
    </w:p>
    <w:p>
      <w:pPr>
        <w:spacing w:after="0" w:line="180"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Company’s registration statement on Form S-1 related to its initial public offering (IPO) was declared effective by the Securities and Exchange Commission (SEC) on September 14, 2020, and the Company’s common stock began trading on the Nasdaq Global Select Market on September 15, 2020. Upon the completion of the IPO, the Company sold 10,294,000 shares of common stock (which included 1,343,000 shares that were sold pursuant to the full exercise of the underwriters’ option to purchase additional shares in connection with the IPO) at a price to the public of $27.00 per share. Including the full exercise of the underwriters’ option to purchase additional shares, the Company received aggregate net proceeds of $254.8 million after deducting offering costs, underwriting discounts and commissions of $23.1 million.</w:t>
      </w:r>
    </w:p>
    <w:p>
      <w:pPr>
        <w:spacing w:after="0" w:line="187"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Upon the Company’s IPO, the Company recognized $13.4 million of cumulative stock-based compensation associated with stock options that vest upon the achievement of market and performance conditions satisfied on the effectiveness of the IPO (see Note 10 for further discussion).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and shareholders approved a certificate of amendment to the amended and restated certificate of incorporation to effect a reverse split of shares of the Company’s common stock on a 7.9-for-one basis (the “Reverse Stock Split”) effective as of September 8, 2020.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and options to purchase common stock share data, per share data and related information contained in these condensed financial statements have been retrospectively adjusted to reflect the effect of the Reverse Stock Split for all periods presented.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nine months ended September 30, 2020 and 2019, the Company incurred a net loss of $89.4 million and $48.9 million, respectively. As of September 30, 2020, the Company had an accumulated deficit of $462.0 million.</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As of September 30, 2020, the Company had cash, cash equivalents and short-term investments of $344.2 million, which are available to fund future operations, and restricted cash of $33.3 million, for a total cash, cash equivalents, restricted cash and short-term investments balance of $377.5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and short-term investments, which include the proceeds from the IPO, and cash generated from revenues from its products, as well as services and other sales, will be sufficient to meet its anticipated needs for at least the next 12 months from the issuance date of the accompanying condensed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nine-month periods are also unaudited. The results of operations for the three and nine months ended September 30, 2020 are not necessarily indicative of the results of operations to be anticipated for any other future annual or interim period. The condensed balance sheet as of December 31, 2019 included herein was derived from the audited financial statements as of that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 w:name="page12"/>
    <w:bookmarkEnd w:id="11"/>
    <w:p>
      <w:pPr>
        <w:ind w:firstLine="510"/>
        <w:spacing w:after="0" w:line="312" w:lineRule="auto"/>
        <w:rPr>
          <w:sz w:val="20"/>
          <w:szCs w:val="20"/>
          <w:color w:val="auto"/>
        </w:rPr>
      </w:pPr>
      <w:r>
        <w:rPr>
          <w:rFonts w:ascii="Times New Roman" w:cs="Times New Roman" w:eastAsia="Times New Roman" w:hAnsi="Times New Roman"/>
          <w:sz w:val="17"/>
          <w:szCs w:val="17"/>
          <w:color w:val="auto"/>
        </w:rPr>
        <w:t>These unaudited condensed financial statements should be read in conjunction with the Company’s audited financial statements and related notes for the year ended December 31, 2019, which are included in the final prospectus for the IPO filed with SEC pursuant to Rule 424(b) on September 16, 2020.</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share amounts disclosed in the notes to the condensed financial statements are rounded to the nearest thousand except for per share data.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preparation of the accompanying condensed financial statements in conformity with U.S. GAAP requires management to make judgments, estimates and assumptions that affect the reported amounts of assets and liabilities and disclosure of contingent assets and liabilities as of the date of the accompanying condensed financial statements and the reported amounts of revenue and expenses. These judgments, estimates and assumptions are used for, but not limited to, revenue recognition, allowance for doubtful accounts, inventory valuation and write-downs, warranty obligations, the fair value of common stock and redeemable convertible preferred stock, the fair value of stock options, the fair value of the redeemable convertible preferred stock warrant liability, valuation of investments, recoverability of the Company’s net deferred tax assets and the related valuation allowance, and certain accrued expenses. The Company evaluates its estimates and assumptions on an ongoing basis using historical experience and other factors and adjusts those estimates and assumptions when facts and circumstances dictate. Actual results may differ from those estimates under different assumptions or conditions and the differences may be material.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As of September 30, 2020, the restricted cash balance of $33.3 million primarily relates to contractual obligations under the SVB Loan and Security Agreement (see Note 7) and collateral for the building leases in San Jose, CA and Tijuana Mexico. The restricted cash balance of $0.7 million as of December 31, 2019 relates to collateral for the building leases.</w:t>
      </w:r>
    </w:p>
    <w:p>
      <w:pPr>
        <w:spacing w:after="0" w:line="176" w:lineRule="exact"/>
        <w:rPr>
          <w:sz w:val="20"/>
          <w:szCs w:val="20"/>
          <w:color w:val="auto"/>
        </w:rPr>
      </w:pPr>
    </w:p>
    <w:p>
      <w:pPr>
        <w:ind w:right="6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311,327</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39,216</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344,638</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an asset or liability based on the assumptions that market participants would use in pricing the asset or liability in an orderly transaction between market participants at the measurement date. The identification of market participant assumptions provides a basis for determining what inputs are to be used for pricing each asset or liability.</w:t>
      </w:r>
    </w:p>
    <w:p>
      <w:pPr>
        <w:spacing w:after="0" w:line="176"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A fair value hierarchy has been established which gives precedence to fair value measurements calculated using observable inputs over those using unobservable inputs.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instruments;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Other significant observable inputs (including quoted prices in active markets for similar instruments);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Significant unobservable inputs (including assumptions in determining the fair value of certain investments).</w:t>
      </w:r>
    </w:p>
    <w:p>
      <w:pPr>
        <w:spacing w:after="0" w:line="22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restricted cash, short-term investments, accounts receivable, accounts payable and accrued liabilities approximate their fair value due to their short maturities. Management believes that its term loan bears interest at the prevailing market rates for instruments with similar characteristics; accordingly, the carrying value of this instrument approximates its fair value. Money market funds are highly liquid investments and are actively traded. The pricing information on the Company’s money market funds are readily available and can be independently validated as of the measurement date. This approach results in the classification of these securities as Level 1 of the fair value hierarchy.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 w:name="page13"/>
    <w:bookmarkEnd w:id="12"/>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has issued redeemable convertible preferred stock warrants and estimated the fair value of these warrants using the Black-Scholes option pricing model, which is considered to be a Level 3 fair value measurement. The assumptions that were based on the individual characteristics of the warrants on the valuation date, as well as assumptions for future financings, expected volatility, expected life, yield, and risk-free interest rate. Effective on the date of the IPO, the redeemable convertible preferred stock warrants were considered to be indexed to the Company’s stock, and accordingly, the fair value of redeemable convertible preferred stock warrant liability was remeasured immediately prior to the IPO (See Note 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 Liability</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generally provides a one-year warranty for defective parts and workmanship on its Tablo consoles, commencing upon the transfer of title and risk of loss to the customer. The Company accrues the estimated cost of product warranties when it invoices the customer, based on historical experience and expected results. Should actual product failure rates and material usage costs differ from these estimates, revisions to the estimated warranty liability would be required. The Company periodically assesses the adequacy of its recorded product warranty liabilities and adjusts the balance as required. Warranty expense is recorded as a component of cost of product revenue in the accompanying condensed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 - Deferred Revenue</w:t>
      </w:r>
    </w:p>
    <w:p>
      <w:pPr>
        <w:spacing w:after="0" w:line="12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records deferred revenue when revenue is recognized subsequent to invoicing. For multi-year service agreements, the Company generally invoices customers annually at the beginning of each annual coverage period. Deferred revenue that will be recognized during the 12 months following the balance sheet date is recorded as the current portion of deferred revenue and the remaining portion is recorded as noncurrent.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 Liability</w:t>
      </w:r>
    </w:p>
    <w:p>
      <w:pPr>
        <w:spacing w:after="0" w:line="121"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The Company has accounted for its freestanding warrants to purchase shares of the Company’s redeemable convertible preferred stock as liabilities at fair value upon issuance primarily because the shares underlying the warrants contained contingent redemption features outside the control of the Company. The warrants were subject to re-measurement at each balance sheet date and any change in fair value was recognized in the accompanying condensed statements of operations as the change in fair value of redeemable convertible preferred stock warrant liability. The carrying value of the warrants would continue to be adjusted until such time as these instruments are exercised, expire or convert into warrants to purchase shares of the Company’s common stock upon the completion of a liquidation event, including the completion of the IPO, which occurred on September 15, 2020. Upon the closing of the IPO, the liabilities were reclassified to additional paid-in capital, a component of Stockholders’ equity (deficit).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Company’s revenue is generated primarily from the sale of its products and services. Product revenue consists primarily of sales of the Tablo console and related consumables, including Tablo cartridges, used in treatment delivery. Service and other revenue consists primarily of revenue generated from consoles service contracts and other revenue from shipping and handling charged to customers.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Company considers each product and each service contract to be a distinct performance obligation. Revenue is recognized when a performance obligation is satisfied, which occurs when control of the promised products or services is transferred to the customer in an amount that reflects the consideration the Company expects to receive in exchange for those products or services. Revenue from product sales is recognized at a point in time when management has determined that control has transferred to the customer, which is generally when legal title has transferred to the customer. Revenue from service contracts is recognized as the output of the service is transferred to the customer over time, typically evenly over the contract term. Revenue is recognized net of allowances for returns and any taxes collected from customers, which are subsequently remitted to governmental authorities.</w:t>
      </w:r>
    </w:p>
    <w:p>
      <w:pPr>
        <w:spacing w:after="0" w:line="18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Judgment is also required to determine the stand-alone selling price (SSP) for each distinct performance obligation. The Company uses an observable price to estimate SSP for items that are sold separately, including customer support agreements. In instances where SSP is not directly observable, such as when the Company does not sell the product or service separately, the Company determines the SSP using information that may include market conditions and other observable inputs. When stand-alone selling prices have not been established for products, the Company will utilize the residual method to allocate revenue. The Company may offer additional goods or services to customers at the inception of customer contracts at prices not at SSP. This is considered a material right and an additional performance obligation of the contract. SSP is assigned based on the estimated value of the material right.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Costs associated with product sales include commissions. The Company applies the practical expedient to expense the commissions as incurred as the expected amortization period is one year or less. Commissions are recorded as sales and marketing expenses in the accompanying condensed statements of operations.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Lease Arrangements</w:t>
      </w:r>
    </w:p>
    <w:p>
      <w:pPr>
        <w:spacing w:after="0" w:line="119"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Company enters into operating lease arrangements that contain both lease and non-lease elements. The lease element includes consoles, while non-lease elements include consumables, services and training. Revenue related to such arrangements is allocated to lease and non-lease elements based on their relative SSP. Revenue for the lease element is recognized on a straight-line basis as product revenue over the lease term in the accompanying condensed statements of operations. The costs of the consoles are included in property and equipment, net in the accompanying condensed balance sheets and amortized to cost of product revenue.</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Shipping and handling charged to customers are recorded as revenue. Shipping and handling costs are expensed as incurred and are included in sales and marketing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Company’s stock-based compensation relates to stock options with a service condition, stock options with performance and market-based vesting conditions, and stock purchase rights under the Company’s Employee Stock Purchase Plan (ESPP). Stock-based compensation for its stock-based awards is based on their grant date fair value. Service-based options initially granted to an optionee generally vest at a rate of 25% on the first anniversary of the original vesting date, with the balance vesting monthly over the remaining three years. Any subsequent follow-on options granted to the optionee generally vest monthly over four years. The Company estimates the fair value of stock options with a service condition and ESPP on the grant date using the Black-Scholes option-pricing model. The fair value of these stock option awards is recognized as compensation expense on a straight-line basis over the requisite service period in which the awards are expected to vest and forfeitures are recognized as they occur.</w:t>
      </w:r>
    </w:p>
    <w:p>
      <w:pPr>
        <w:spacing w:after="0" w:line="189"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For stock options with performance and market-based vesting conditions, stock-based compensation is recognized when the performance vesting condition is considered probable of being satisfied. Prior to the Company’s IPO in September 2020, the Company had not recognized any stock-based compensation as the satisfaction of the performance condition was not considered probable. Upon the closing of the IPO, the Company recorded a cumulative stock-based compensation using the accelerated attribution method as the performance condition was satisfied. Compensation related to these options is not reversed if the achievement of the market condition does not occur. The fair value of these stock options is estimated using the Monte Carlo approach.</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for potential dilutive securities. Diluted net loss per share is computed by dividing the net loss attributable to common stockholders by the weighted-average number of common shares and common share equivalents of potentially dilutive securities outstanding for the period. For purposes of the diluted net loss per share calculation, redeemable convertible preferred stock, warrants and awards under the Company’s equity compensation plan are considered to be potentially dilutive securities. For periods in which the Company reports net losses, diluted net loss per share attributable to common stockholders is the same as basic net loss per share attributable to common stockholders because potentially dilutive shares of common stock are not assumed to have been issued if their effect is antidilutive. Therefore, basic and diluted net loss per share was the same for all periods presented.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No. 2018-13,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(Topic 820): Disclosure Framework—Changes to the Disclosure Requirements for Fair Value Measurement </w:t>
      </w:r>
      <w:r>
        <w:rPr>
          <w:rFonts w:ascii="Times New Roman" w:cs="Times New Roman" w:eastAsia="Times New Roman" w:hAnsi="Times New Roman"/>
          <w:sz w:val="18"/>
          <w:szCs w:val="18"/>
          <w:color w:val="auto"/>
        </w:rPr>
        <w:t>(ASU 2018-13).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on changes in unrealized gains and losses recognized in other comprehensive income categorized within Level 3, the range and weighted average of significant unobservable inputs used to develop Level 3 fair value measurements, and the narrative description of measurement uncertainty should be applied prospectively in the initial fiscal year of adoption. All other amendments should be applied retrospectively to all periods presented upon their effective date. The Company adopted ASU 2018-13 as of January 1, 2020, which did not have a material impact on the condensed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which requires an entity to utilize a new impairment model known as the current expected credit loss (CECL) model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Times New Roman" w:cs="Times New Roman" w:eastAsia="Times New Roman" w:hAnsi="Times New Roman"/>
          <w:sz w:val="18"/>
          <w:szCs w:val="18"/>
          <w:i w:val="1"/>
          <w:iCs w:val="1"/>
          <w:color w:val="auto"/>
        </w:rPr>
        <w:t>Financial Instruments—Credit Losses (Topic 326), Derivatives and Hedging (Topic 815) and Leases (Topic 842): Effective Dates</w:t>
      </w:r>
      <w:r>
        <w:rPr>
          <w:rFonts w:ascii="Times New Roman" w:cs="Times New Roman" w:eastAsia="Times New Roman" w:hAnsi="Times New Roman"/>
          <w:sz w:val="18"/>
          <w:szCs w:val="18"/>
          <w:color w:val="auto"/>
        </w:rPr>
        <w:t>, which defers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ASU 2016-13 to fiscal years beginning after December 15, 2022 for all entities except SEC reporting companies that are not smaller reporting companies. ASU 2016-13 will be effective for the Company beginning January 1, 2023. The Company is currently evaluating the impact of the adoption of ASU 2016-13 on its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and Deferred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by source consisted of the following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3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1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1,915</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bottom w:val="single" w:sz="8" w:color="CFF0FC"/>
            </w:tcBorders>
          </w:tcPr>
          <w:p>
            <w:pPr>
              <w:spacing w:after="0"/>
              <w:rPr>
                <w:sz w:val="19"/>
                <w:szCs w:val="19"/>
                <w:color w:val="auto"/>
              </w:rPr>
            </w:pPr>
          </w:p>
        </w:tc>
      </w:tr>
      <w:tr>
        <w:trPr>
          <w:trHeight w:val="223"/>
        </w:trPr>
        <w:tc>
          <w:tcPr>
            <w:tcW w:w="3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product revenue</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2,409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20" w:type="dxa"/>
            <w:vAlign w:val="bottom"/>
            <w:shd w:val="clear" w:color="auto" w:fill="CFF0FC"/>
          </w:tcPr>
          <w:p>
            <w:pPr>
              <w:spacing w:after="0"/>
              <w:rPr>
                <w:sz w:val="19"/>
                <w:szCs w:val="19"/>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FF0FC"/>
            </w:tcBorders>
          </w:tcPr>
          <w:p>
            <w:pPr>
              <w:spacing w:after="0"/>
              <w:rPr>
                <w:sz w:val="19"/>
                <w:szCs w:val="19"/>
                <w:color w:val="auto"/>
              </w:rPr>
            </w:pPr>
          </w:p>
        </w:tc>
      </w:tr>
      <w:tr>
        <w:trPr>
          <w:trHeight w:val="223"/>
        </w:trPr>
        <w:tc>
          <w:tcPr>
            <w:tcW w:w="32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2,630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As of September 30, 2020, the aggregate amount of the transaction price allocated to the remaining performance obligations related to customer service contracts that are unsatisfied or partially unsatisfied was $4.7 million, which is recorded as deferred revenue on the Company’s condensed balance sheets. Of that amount, $4.1 million will be recognized as revenue during the next 12 months and approximately $0.6 million thereafter.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related to console service agreements and for prepayments for products or services yet to be delivered. Revenue under these agreements is recognized over the related service period. The following table summarized the Company’s contract liabilities (in thousands):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revenue</w:t>
            </w: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Revenue recorded during the three and nine months ended September 30, 2020 included $0.2 million and $0.8 million, respectively, of previously deferred revenue that was included in contract liabilities as of December 31, 2019.</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measured at fair value on a recurring basis by level within the fair value hierarchy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3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13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3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w:t>
            </w:r>
          </w:p>
        </w:tc>
        <w:tc>
          <w:tcPr>
            <w:tcW w:w="13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w:t>
            </w: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w:t>
            </w:r>
          </w:p>
        </w:tc>
        <w:tc>
          <w:tcPr>
            <w:tcW w:w="13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2020, the remaining contractual maturities for available-for-sale securities were less than one year.</w:t>
      </w:r>
    </w:p>
    <w:p>
      <w:pPr>
        <w:spacing w:after="0" w:line="225"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Impairment assessments are made at the individual security level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As of September 30, 2020 and December 31, 2019, none of the Company’s available-for-sale securities were in an unrealized loss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 Liability</w:t>
      </w:r>
    </w:p>
    <w:p>
      <w:pPr>
        <w:spacing w:after="0" w:line="22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valuation of the Company’s redeemable convertible preferred stock warrant liability contained unobservable inputs that reflected the Company’s own assumptions for which there was little, if any, market activity for at the measurement date. Accordingly, the Company’s redeemable convertible preferred stock warrant liability was measured at fair value on a recurring basis using unobservable inputs and were classified as Level 3 inputs, and any change in fair value of the redeemable convertible preferred stock warrant liability was recognized in the accompanying condensed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Effective on the date of the IPO, the redeemable convertible preferred stock warrants were considered to be indexed to the Company’s stock and now meet the criteria to be classified in equity. The Company remeasured the warrants immediately prior to the IPO. The fair value of the Series A redeemable convertible preferred stock warrants which were converted into common stock warrants was determined using the Black-Scholes option-pricing model and deemed a Level 3 fair value measurement. The fair value of Series B and C redeemable convertible preferred stock warrants which were exercised was determined using the intrinsic method based on the IPO price of $27.00 per share and deemed a Level 2 fair value measurement. Subsequently, the entire redeemable convertible preferred stock warrants liability was reclassified to additional paid-in capital.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fair value of the redeemable convertible preferred stock warrant liability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Conversion of Series A redeemable convertible preferred stock warrants</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 common stock warrants upon the closing of the IPO</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Reclassified to additional paid-in capital</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86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80" w:type="dxa"/>
            <w:vAlign w:val="bottom"/>
            <w:tcBorders>
              <w:bottom w:val="single" w:sz="8" w:color="CFF0F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86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80" w:type="dxa"/>
            <w:vAlign w:val="bottom"/>
            <w:tcBorders>
              <w:bottom w:val="single" w:sz="8" w:color="CFF0F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 noncurrent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586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80" w:type="dxa"/>
            <w:vAlign w:val="bottom"/>
            <w:tcBorders>
              <w:bottom w:val="single" w:sz="8" w:color="CFF0F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 Liability</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 in accrued warranty liability is presented in the following table (in thousands):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6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20" w:type="dxa"/>
            <w:vAlign w:val="bottom"/>
          </w:tcPr>
          <w:p>
            <w:pPr>
              <w:spacing w:after="0"/>
              <w:rPr>
                <w:sz w:val="20"/>
                <w:szCs w:val="20"/>
                <w:color w:val="auto"/>
              </w:rPr>
            </w:pPr>
          </w:p>
        </w:tc>
        <w:tc>
          <w:tcPr>
            <w:tcW w:w="6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62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FF0FC"/>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 to cost of product revenue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8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Consumption</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(1,169)</w:t>
            </w:r>
          </w:p>
        </w:tc>
      </w:tr>
      <w:tr>
        <w:trPr>
          <w:trHeight w:val="223"/>
        </w:trPr>
        <w:tc>
          <w:tcPr>
            <w:tcW w:w="62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lawsuits, claims, investigations and proceedings, consisting of intellectual property, commercial, employment and other matters, which arise in the ordinary course of business. The Company is not currently aware of any matters that would be material to the financial statements as a whole.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indemnifications and has not accrued any liabilities related to such obligations in these condensed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consist of the following (in thousands):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1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80" w:type="dxa"/>
            <w:vAlign w:val="bottom"/>
          </w:tcPr>
          <w:p>
            <w:pPr>
              <w:spacing w:after="0"/>
              <w:rPr>
                <w:sz w:val="20"/>
                <w:szCs w:val="20"/>
                <w:color w:val="auto"/>
              </w:rPr>
            </w:pPr>
          </w:p>
        </w:tc>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11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w:t>
            </w:r>
          </w:p>
        </w:tc>
      </w:tr>
      <w:tr>
        <w:trPr>
          <w:trHeight w:val="223"/>
        </w:trPr>
        <w:tc>
          <w:tcPr>
            <w:tcW w:w="118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term loan</w:t>
            </w:r>
          </w:p>
        </w:tc>
        <w:tc>
          <w:tcPr>
            <w:tcW w:w="1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 term loan, current</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118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Term loan, noncurrent</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On June 30, 2017 the Company entered into a senior, secured, delayed-draw term loan facility (the “Perceptive Term Loan Agreement”) with Perceptive Credit Holdings, LP (the “Perceptive Lenders”), as the administrative agent and the collateral agent, for various related Perceptive group companies to borrow up to $40.0 million (the “Perceptive Term Loans”). The Perceptive Term Loans had a maturity date of June 30, 2021 and bore interest at a rate of 8.55% plus the greater of the three-month LIBOR and 2.00%.</w:t>
      </w:r>
    </w:p>
    <w:p>
      <w:pPr>
        <w:spacing w:after="0" w:line="180"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July 2020, the Company used the SVB Term Loan (see below) to repay in full all amounts due under the Perceptive Term Loan and cash on hand to pay $1.2 million in early prepayment, accrued interest and exit fees. The repayment of the Perceptive Term Loan was accounted for as a debt extinguishment, which resulted in a loss on extinguishment of $1.6 million recorded in the accompanying condensed statements of operations for the three and nine months ended September 30, 2020.</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SVB Loan and Security Agreement</w:t>
      </w:r>
    </w:p>
    <w:p>
      <w:pPr>
        <w:spacing w:after="0" w:line="121" w:lineRule="exact"/>
        <w:rPr>
          <w:sz w:val="20"/>
          <w:szCs w:val="20"/>
          <w:color w:val="auto"/>
        </w:rPr>
      </w:pPr>
    </w:p>
    <w:p>
      <w:pPr>
        <w:ind w:right="680" w:firstLine="510"/>
        <w:spacing w:after="0" w:line="282" w:lineRule="auto"/>
        <w:rPr>
          <w:sz w:val="20"/>
          <w:szCs w:val="20"/>
          <w:color w:val="auto"/>
        </w:rPr>
      </w:pPr>
      <w:r>
        <w:rPr>
          <w:rFonts w:ascii="Times New Roman" w:cs="Times New Roman" w:eastAsia="Times New Roman" w:hAnsi="Times New Roman"/>
          <w:sz w:val="18"/>
          <w:szCs w:val="18"/>
          <w:color w:val="auto"/>
        </w:rPr>
        <w:t>On July 2, 2020, the Company entered into a senior secured term loan facility with Silicon Valley Bank (SVB) (the SVB Loan and Security Agreement), which provides for a $30.0 million term loan (the “SVB Term Loan”).</w:t>
      </w:r>
    </w:p>
    <w:p>
      <w:pPr>
        <w:spacing w:after="0" w:line="162" w:lineRule="exact"/>
        <w:rPr>
          <w:sz w:val="20"/>
          <w:szCs w:val="20"/>
          <w:color w:val="auto"/>
        </w:rPr>
      </w:pPr>
    </w:p>
    <w:p>
      <w:pPr>
        <w:ind w:right="460" w:firstLine="510"/>
        <w:spacing w:after="0" w:line="261" w:lineRule="auto"/>
        <w:rPr>
          <w:sz w:val="20"/>
          <w:szCs w:val="20"/>
          <w:color w:val="auto"/>
        </w:rPr>
      </w:pPr>
      <w:r>
        <w:rPr>
          <w:rFonts w:ascii="Times New Roman" w:cs="Times New Roman" w:eastAsia="Times New Roman" w:hAnsi="Times New Roman"/>
          <w:sz w:val="18"/>
          <w:szCs w:val="18"/>
          <w:color w:val="auto"/>
        </w:rPr>
        <w:t>The SVB Term Loan matures on November 1, 2025. Payments under the SVB Term Loan are for interest only through May 2023, and then 30 monthly principal and interest from June 2023 until maturity. The SVB Term Loan bears interest at the greater of (A) 0.5% above the Prime Rate as reported in the Wall Street Journal and (B) 3.75% (3.75% as of September 30, 2020). The Company is obligated to maintain a restricted cash balance greater or equal to the outstanding principal balance of $30.0 million of the SVB Term Loan.</w:t>
      </w:r>
    </w:p>
    <w:p>
      <w:pPr>
        <w:spacing w:after="0" w:line="180"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There is also a final payment fee equal to 6.75% of the original principal amount of the SVB Term Loan, or approximately $2.0 million, due at maturity (or any earlier date of optional pre-payment or acceleration of principal due to an event of default). Such fee is being accreted to interest expense using the effective interest method with the offset recorded in noncurrent accrued interest. The Company may, at its option, prepay the SVB Term Loan in full, subject to an additional prepayment fee ranging between 1% and 3% of the outstanding principal amount of the SVB.</w:t>
      </w:r>
    </w:p>
    <w:p>
      <w:pPr>
        <w:spacing w:after="0" w:line="180"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In the event of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Term Loan is secured by substantially all of the Company’s assets, including all of the capital stock held by the Company, if any (subject to a 65% limitation on pledges of capital stock of foreign subsidiaries), subject to certain exceptions. The SVB Loan and Security Agreement contains customary representations, warranties, affirmative covenants and also contains certain restrictive covenants.</w:t>
      </w:r>
    </w:p>
    <w:p>
      <w:pPr>
        <w:spacing w:after="0" w:line="18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Debt issuance costs paid directly to SVB and other debt issuance costs amounting to $0.4 million were accounted for as discounts on the SVB Term Loan as of September 20, 2020. These debt discounts, along with the final payment fee, are being amortized over the term of the SVB Term Loan using the effective interest rate method. As of September 30, 2020, the unamortized debt discount is $0.3 million, which is recorded as a direct deduction from the SVB Term Loan on the accompanying condensed balance sheet.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 and Stockholders’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right="540" w:firstLine="51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Company’s IPO, all of the outstanding shares of redeemable convertible preferred stock converted into 25,958,000 shares of common stock, excluding the 274,000 shares of common stock that were issued on the exercise of outstanding redeemable convertible preferred stock warrants (see Note 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Upon the closing of the IPO, the Company’s amended and restated certificate of incorporation authorizes 5,000,000 shares of undesignated preferred stock, $0.001 par value per share, the rights, preferences and privileges of which may be designated from time to time by the Company’s board of directors. As of September 30, 2020, no shares of the preferred stock were issued and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 Warrants and 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the closing of the IPO, the aggregate outstanding Series A redeemable convertible preferred stock warrants of 500,000 shares converted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63,000 common stock warrants with an exercise price of $7.96 per share. The common stock warrants expire in September 2025.</w:t>
      </w:r>
    </w:p>
    <w:p>
      <w:pPr>
        <w:spacing w:after="0" w:line="207"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On the closing of the IPO, the aggregate outstanding Series B redeemable convertible preferred stock warrants of 2,176,000 shares were net exercised with an exercise price of $2.2674 per share, which resulted in the issuance of 65,000 shares of the Company’s common stock based on the IPO price of $27.00 per share. In addition, the aggregate outstanding Series C redeemable convertible preferred stock warrants of 1,655,000 shares were cash exercised at an exercise price of $2.5915 per share, which resulted in the issuance of 209,000 shares of the Company’s common stock with total aggregate cash proceeds of $4.3 million. As of September 30, 2020, there were no preferred stock warrants outstanding.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September 2020, the Company adopted the 2020 Equity Incentive Plan (the “2020 Plan”), which became effective in connection with the IPO. As a result, the Company may not grant any additional awards under the 2010 and 2019 Plans (the “Prior Plans”). The Prior Plans will continue to govern outstanding equity awards previously granted thereunder. The Company has initially reserved 3,665,000 shares of common stock for the issuance of awards under the 2020 Plan. In addition, the number of shares of common stock available under the Plan shall increase annually on the first day of each fiscal year, commencing January 2021, and continuing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Company’s board of directors. No awards were granted under the 2020 Plan in September 2020.</w:t>
      </w:r>
    </w:p>
    <w:p>
      <w:pPr>
        <w:spacing w:after="0" w:line="18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Options under the 2020 Plan have a contractual term of 10 years. The exercise price of an option shall not be less than 100% of the fair market value of the shares on the date of grant.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Share Purchase Plan (ESPP)</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September 2020, the Company adopted the Employee Share Purchase Plan (ESPP). The Company has initially reserved 687,000 shares of common stock for purchase under the ESPP. In addition, the number of shares of common stock available for issuance under the ESPP will automatically increase on the first trading day in January of each calendar year, commencing January 2021, by an amount equal to the lesser of (i) 687,000 shares, (ii) 1% of the number of common stock issued and outstanding on December 31 of the immediately preceding fiscal year, and (iii) an amount determined by the Company’s board of directors.</w:t>
      </w:r>
    </w:p>
    <w:p>
      <w:pPr>
        <w:spacing w:after="0" w:line="183"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Subject to any limitations contained therein, the ESPP allows eligible participants to contribute, through payroll deductions, 15% of their eligible compensation to purchase the Company’s common stock at equal to 85% of the fair market value of the common stock on the first day of the offering period or purchase date, whichever is lower. The ESPP generally provides for consecutive, overlapping 6-month offering periods. The initial offering period began on September 15, 2020 through February 26,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stock-based compensation included in the accompanying condensed statements of operations (in thousands):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3"/>
        </w:trPr>
        <w:tc>
          <w:tcPr>
            <w:tcW w:w="4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1"/>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r>
      <w:tr>
        <w:trPr>
          <w:trHeight w:val="211"/>
        </w:trPr>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r>
      <w:tr>
        <w:trPr>
          <w:trHeight w:val="21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FF0FC"/>
          </w:tcPr>
          <w:p>
            <w:pPr>
              <w:spacing w:after="0"/>
              <w:rPr>
                <w:sz w:val="19"/>
                <w:szCs w:val="19"/>
                <w:color w:val="auto"/>
              </w:rPr>
            </w:pPr>
          </w:p>
        </w:tc>
      </w:tr>
      <w:tr>
        <w:trPr>
          <w:trHeight w:val="213"/>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22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8,836</w:t>
            </w:r>
          </w:p>
        </w:tc>
        <w:tc>
          <w:tcPr>
            <w:tcW w:w="2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FF0FC"/>
            </w:tcBorders>
          </w:tcPr>
          <w:p>
            <w:pPr>
              <w:spacing w:after="0"/>
              <w:rPr>
                <w:sz w:val="18"/>
                <w:szCs w:val="18"/>
                <w:color w:val="auto"/>
              </w:rPr>
            </w:pPr>
          </w:p>
        </w:tc>
      </w:tr>
      <w:tr>
        <w:trPr>
          <w:trHeight w:val="209"/>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13,908</w:t>
            </w:r>
          </w:p>
        </w:tc>
        <w:tc>
          <w:tcPr>
            <w:tcW w:w="22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15,171</w:t>
            </w:r>
          </w:p>
        </w:tc>
        <w:tc>
          <w:tcPr>
            <w:tcW w:w="2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shd w:val="clear" w:color="auto" w:fill="CFF0FC"/>
          </w:tcPr>
          <w:p>
            <w:pPr>
              <w:spacing w:after="0"/>
              <w:rPr>
                <w:sz w:val="18"/>
                <w:szCs w:val="18"/>
                <w:color w:val="auto"/>
              </w:rPr>
            </w:pPr>
          </w:p>
        </w:tc>
      </w:tr>
    </w:tbl>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 with Market and Performance Conditions</w:t>
      </w:r>
    </w:p>
    <w:p>
      <w:pPr>
        <w:spacing w:after="0" w:line="11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has 1,944,000 shares of stock options outstanding to employees and executive officers. with performance and market-based vesting conditions. The options vest over the requisite service period if the Company achieves both (i) a performance condition tied to a liquidity event, which includes the effectiveness of an IPO, and (ii) certain market conditions, provided the optionee is providing services on the date of the event. In February 2020, the Company modified the market conditions, which resulted in a new grant date fair value for 1,457,000 stock options with performance and market-based conditions as of the modification date.</w:t>
      </w:r>
    </w:p>
    <w:p>
      <w:pPr>
        <w:spacing w:after="0" w:line="183"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recorded cumulative stock-based compensation of $13.4 million related to all outstanding stock options with performance and market-based vesting conditions as the performance vesting condition was satisfied upon the closing of the IPO. As of September 30, 2020, 152,000 shares of these options were fully vested. Unamortized stock-based compensation amounted to $10.0 million as of September 30, 2020, which the Company expects to recognize over an estimated weighted-average period of 0.4 years.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and 2019, the Company incurred insignificant amounts for an income tax provision. The U.S. federal and California deferred tax assets generated from the Company’s net operating losses have been fully reserved, as the Company believes it is not more likely than not that the benefit will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Common Stockholders</w:t>
      </w:r>
    </w:p>
    <w:p>
      <w:pPr>
        <w:spacing w:after="0" w:line="121" w:lineRule="exact"/>
        <w:rPr>
          <w:sz w:val="20"/>
          <w:szCs w:val="20"/>
          <w:color w:val="auto"/>
        </w:rPr>
      </w:pPr>
    </w:p>
    <w:p>
      <w:pPr>
        <w:ind w:right="940" w:firstLine="51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attributable to common stockholders is as follows (in thousands except per share amounts):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38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3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(15,402)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(48,853)</w:t>
            </w:r>
          </w:p>
        </w:tc>
        <w:tc>
          <w:tcPr>
            <w:tcW w:w="0" w:type="dxa"/>
            <w:vAlign w:val="bottom"/>
          </w:tcPr>
          <w:p>
            <w:pPr>
              <w:spacing w:after="0"/>
              <w:rPr>
                <w:sz w:val="1"/>
                <w:szCs w:val="1"/>
                <w:color w:val="auto"/>
              </w:rPr>
            </w:pPr>
          </w:p>
        </w:tc>
      </w:tr>
      <w:tr>
        <w:trPr>
          <w:trHeight w:val="211"/>
        </w:trPr>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 to redemption value on redeemable</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(118,862)</w:t>
            </w:r>
          </w:p>
        </w:tc>
        <w:tc>
          <w:tcPr>
            <w:tcW w:w="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(134,760)</w:t>
            </w: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Deemed dividend on settlement of accrued dividend</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extinguishment of redeemable convertible</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117,598</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8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basic and diluted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(16,666)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(66,015)</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of common stock,</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6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(78.77)</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calculation of diluted net loss per share due to their anti-dilutive effect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6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Redeemable convertible preferred stock, on an as-if</w:t>
            </w:r>
          </w:p>
        </w:tc>
        <w:tc>
          <w:tcPr>
            <w:tcW w:w="7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converted basis</w:t>
            </w:r>
          </w:p>
        </w:tc>
        <w:tc>
          <w:tcPr>
            <w:tcW w:w="7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Warrant to purchase common stock</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5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on Form 10-Q and our audited financial statements and notes thereto and the related Management’s Discussion and Analysis of Financial Condition and Results of Operations included in our final prospectus dated September 14, 2020 that forms a part of our Registration Statement on Form S-1 (File No. 333-248225 and 333-248801), as filed with the Securities and Exchange Commission (SEC) pursuant to Rule 424(b) under the Securities Act of 1933, as amended (the “Securities Act”), on September 16, 2020 (Prospectus).</w:t>
      </w:r>
    </w:p>
    <w:p>
      <w:pPr>
        <w:spacing w:after="0" w:line="182"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Forward-looking statements are not guarantees of future performance and are subject to risks and uncertainties that could cause actual results and events to differ from those anticipated.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Tablo frees patients and providers from the burdensome infrastructure required to operate traditional dialysis machines. The integration of water purification and on-demand dialysate production enables Tablo to serve as a dialysis clinic on wheels and allows providers to standardize to a single technology platform from the hospital to the home. Tablo is also intelligent and connected, with automated documentation and the ability to integrate with electronic medical record reporting, along with streamlined remote machine management to maximize device uptime. 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 Tablo is currently cleared by the U.S. Food and Drug Administration (FDA) for use in the hospital, clinic or home setting.</w:t>
      </w:r>
    </w:p>
    <w:p>
      <w:pPr>
        <w:spacing w:after="0" w:line="194"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designed Tablo from the ground up to be a single enterprise solution that can be utilized across the continuum of care, allowing dialysis to be delivered anytime, anywhere and by anyone. Tablo is comprised of a compact console with integrated water purification, on-demand dialysate production and a simple-to-use touchscreen interface. With Tablo, we are bringing data to dialysis. Tablo is built to live in a connected setting with cloud-based system monitoring, patient analytics and clinical recordkeeping and the ability to activate new capabilities and enhancements through wireless software updates. Tablo’s data analytics and connectivity also enable predictive preventative maintenance to maximize machine uptime. Unlike existing dialysis machines, which have limited clinical versatility across all care settings and are generally burdened by specialized and expensive infrastructure, Tablo is a single enterprise dialysis solution that can be seamlessly utilized across different care settings and for multiple clinical needs.</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along with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183"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sell our solution through our direct sales organization, which covers most major metropolitan markets in the United States. As of September 30, 2020, our sales organization is comprised of 30 capital sales team members, responsible for generating new customer demand for Tablo, and 46 clinical sales team members responsible for driving utilization and fleet expansion of Tablo consoles at existing customer sites. In addition, our field service team comprised of 52 members provides maintenance services and product support to Tablo customers. The same sales organization and field service team will be used to drive Tablo penetration in both the acute and home markets. We believe the ability to leverage one team to serve both markets will result in significant productivity and cost optimization as we continue to scale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We are executing a well-defined, three-pronged strategy to expand gross margins. First, we are insourcing our console manufacturing to lower console cost. Second, we are adding a second-source contract manufacturer for our cartridges to gain higher efficiency and lower material cost. Third, we will continue to utilize our cloud-based data system, as well as enhanced product performance, to drive down the cost of service.</w:t>
      </w:r>
    </w:p>
    <w:p>
      <w:pPr>
        <w:spacing w:after="0" w:line="176"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generate revenue primarily from the initial sale of Tablo console, and recurring sales of per-treatment consumables, including the Tablo cartridge, which generates significant total revenue over the life of the console. We generate additional revenue via annual service contracts. Our total revenue was $13.8 million and $2.6 million for the three months ended September 30, 2020 and 2019, respectively, and $32.7 million and $8.0 million for the nine months ended September 30, 2020 and 2019, respectively. For the three months ended September 30, 2020 and 2019, we incurred net losses of $42.3 million and $15.4 million, respectively, and for the nine months ended September 30, 2020 and 2019, we incurred net losses of $89.4 million and $48.9 million, respectively. As of September 30, 2020, we had an accumulated deficit of $462.0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 September 17, 2020, we completed our initial public offering (IPO), in which we sold 10,293,777 shares of common stock (which included 1,342,666 shares that were offered and sold pursuant to the full exercise of the IPO underwriters’ option to purchase additional shares in connection with the IPO) at a price to the public of $27.00 per share. Including the full exercise of the underwriters’ option to purchase additional shares, we received aggregate net proceeds of $254.8 million after deducting offering costs, underwriting discounts and commissions of $23.1 million. Upon the closing of the IPO, all of our outstanding redeemable convertible preferred stock automatically converted into shares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the COVID-19 pandemic</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to be a pandemic. Since then, COVID-19 has continued to spread throughout much of the United States and the world causing uncertainty and disruption to business activities. We continue to closely monitor the recent developments surrounding the continued spread and potential resurgence of COVID-19. The results of our business may be impacted by developments related to the COVID-19 pandemic.</w:t>
      </w:r>
    </w:p>
    <w:p>
      <w:pPr>
        <w:spacing w:after="0" w:line="72"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believe that the COVID-19 pandemic has highlighted the limitations of traditional machines and the benefits of Tablo, which has driven an increase in demand for Tablo. The duration and extent of the COVID-19 pandemic are uncertain. If the pandemic were to dissipate, whether due to a significant decrease in new infections, the availability of vaccines, or otherwise, the increase in demand for Tablo attributed to COVID-19 could decrease and this could have an adverse effect on our results of operations and profitability. As a result, any increase in revenue due to a corresponding increase in demand for Tablo during periods when COVID-19 persists may not be indicative of our revenue in future periods.</w:t>
      </w:r>
    </w:p>
    <w:p>
      <w:pPr>
        <w:spacing w:after="0" w:line="75"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We are continuing to closely monitor the COVID-19 pandemic. In order to operate in a safe manner, we are following the health and safety guidelines of the U.S. Centers for Disease Control and Prevention, Occupational Safety and Health Administration, and local and state public health departments where we operate. The majority of our employees at our headquarters have been asked to work from home, with only limited access given to employees to work in the office. For roles that require employees to be physically on-site, such as our R&amp;D and manufacturing technical staff, we are providing protective equipment, practicing social distancing, enforcing mask wearing and increasing sanitizing standards. In addition, we have created a business continuity plan and incident management team to respond quickly and effectively to changes in order to offer customers uninterrupted products, services and support while safeguarding the best interest of employees, suppliers and stockholders.</w:t>
      </w:r>
    </w:p>
    <w:p>
      <w:pPr>
        <w:spacing w:after="0" w:line="8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business may also be impacted by an escalation or a continuation of the COVID-19 pandemic. Operations at our contract manufacturing partners’ facilities and our outsourced business administration service provider, Tacna Services (Tacna), for our new facility in Tijuana, Mexico, may be disrupted. Additionally, the COVID-19 pandemic could disrupt the operations of our third-party suppliers, including those we consider as critical single-source providers of components. How we address any disruptions caused by COVID-19 to our contract manufacturing partners, Tacna, or third-party suppliers would be a significant factor for our business. Although we have not experienced disruptions in our supply chain to date, we cannot predict how long the pandemic and measures intended to contain the spread of COVID-19 will continue and what effect COVID-19 and the associated containment measures will have on our suppliers and vendors, in particular for any of our suppliers and vendors that may not qualify as essential businesses and suffer more significant disruptions to their business operations. We are working closely with our manufacturing partners and suppliers to help ensure we are able to source key components and maintain appropriate inventory levels to meet customer demand.</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p>
      <w:pPr>
        <w:spacing w:after="0" w:line="121" w:lineRule="exact"/>
        <w:rPr>
          <w:sz w:val="20"/>
          <w:szCs w:val="20"/>
          <w:color w:val="auto"/>
        </w:rPr>
      </w:pPr>
    </w:p>
    <w:p>
      <w:pPr>
        <w:ind w:right="8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2020 and 2019 (in thousands, except percentages):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8"/>
        </w:trPr>
        <w:tc>
          <w:tcPr>
            <w:tcW w:w="4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48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revenue</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260" w:type="dxa"/>
            <w:vAlign w:val="bottom"/>
          </w:tcPr>
          <w:p>
            <w:pPr>
              <w:spacing w:after="0"/>
              <w:rPr>
                <w:sz w:val="19"/>
                <w:szCs w:val="19"/>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cost of revenue</w:t>
            </w: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Gross margin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(37)</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(201)</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1"/>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4"/>
        </w:trPr>
        <w:tc>
          <w:tcPr>
            <w:tcW w:w="4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stock warrant liability</w:t>
            </w: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(3,109)</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ind w:left="580"/>
        <w:spacing w:after="0"/>
        <w:rPr>
          <w:sz w:val="20"/>
          <w:szCs w:val="20"/>
          <w:color w:val="auto"/>
        </w:rPr>
      </w:pPr>
      <w:r>
        <w:rPr>
          <w:rFonts w:ascii="Times New Roman" w:cs="Times New Roman" w:eastAsia="Times New Roman" w:hAnsi="Times New Roman"/>
          <w:sz w:val="18"/>
          <w:szCs w:val="18"/>
          <w:i w:val="1"/>
          <w:iCs w:val="1"/>
          <w:color w:val="auto"/>
        </w:rPr>
        <w:t>* Not meaningful</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Product revenue increased by $8.4 million, or 349% for the three months ended September 30, 2020 as compared to the three months ended September 30, 2019. The increase was primarily due to higher console revenue ($7.1 million) driven by new customer adoption, fleet expansion across existing customers, sales that we believe were attributable to COVID-19 driven demand, and increased console leasing revenue ($0.7 million). In addition, sales of Tablo consumables for the three months ended September 30, 2020 increased by $1.3 million given our higher console installed base as compared to the prior year period.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Service and Other Revenue</w:t>
      </w:r>
    </w:p>
    <w:p>
      <w:pPr>
        <w:spacing w:after="0" w:line="119"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Service and other revenue increased by $2.7 million, or 1,232% for the three months ended September 30, 2020 as compared to the three months ended September 30, 2019. The increase was primarily due to services associated with growth in our Tablo installed base, including leased consoles, and partially driven by COVID-19 demand for services associated with leased consoles.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Cost of product revenue increased by $10.9 million, or 172% for the three months ended September 30, 2020 as compared to the three months ended September 30, 2019. This increase was primarily due to higher console and consumable volume of $20.7 million, which was offset by a $10.0 million reduction in product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119"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Cost of service and other revenue increased by $43 thousand, or 3% for the three months ended September 30, 2020 as compared to the three months ended September 30, 2019. This increase was primarily due to a modest increase in headcount, which was largely offset by lower travel costs, and higher utilization of our field service personnel given our larger installed base.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Gross profit increased by $0.2 million, or 3% for the three months ended September 30, 2020 as compared to the three months ended September 30, 2019. The gross margin percentage improved by 164 percentage points for the three months ended September 30, 2020, as compared to the three months ended September 30, 2019, driven primarily by lower product costs as well as higher service revenue and improved utilization of our services organization given our larger installed base.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$3.5 million, or 61% for the three months ended September 30, 2020 as compared to the three months ended September 30, 2019. The increase was primarily due to a $3.4 million increase in compensation and personnel costs, which includes a $3.0 million increase in stock-based compensation, and a $0.3 million increase in facilities and other allocated costs. The increases were partially offset by a $0.2 million decrease in consultant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ind w:right="140" w:firstLine="510"/>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$8.3 million, or 166% for the three months ended September 30, 2020 as compared to the three months ended September 30, 2019. The increase was primarily due to a $7.6 million increase in compensation and personnel costs, which includes a $2.6 million increase in stock-based compensation, and a $3.2 million increase in commission expense as a result of higher orders, a $0.6 million increase in supplies, materials and freight expenses related to increased activities in support of driving penetration of Tablo and a $0.1 million increase in consultant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$10.6 million, or 437% for the three months ended September 30, 2020 as compared to the three months ended September 30, 2019. The increase was primarily due to a $9.6 million increase in compensation and personnel costs, which includes a $7.9 million increase in stock-based compensation, and a $1.0 million increase in professional service and consultant service expenses to support our preparation to become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interest income and other income (expense), net decreased by $0.6 million, or 101% for the three months ended September 30, 2020 as compared to the three months ended September 30, 2019 was driven by lower interest rates and a lower average balance in money market funds and short-term investment securities in the third quarter of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Interest expense decreased by $0.6 million, or 59 % for the three months ended September 30, 2020 as compared to the three months ended September 30, 2019. The decrease was driven primarily by the repayment of our Perceptive Term Loan in July 2020 and a lower interest rate that was applied under the SVB Term Loan.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Redeemable Convertible Preferred Stock Warrant Liability</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change in the fair value of the redeemable convertible preferred stock warrant liability decreased by $3.1 million, or 88% for the three months ended September 30, 2020 as compared to the three months ended September 30, 2019. The decrease is primarily due to the changes in assumptions used to value the warrant liability. Upon the closing of the IPO, all shares of our outstanding redeemable convertible preferred stock warrants were either exercised into common stock or automatically converted into warrants to purchase common stock. Accordingly, we have ceased to incur the change in fair value of redeemable convertible preferred stock warrant liability as the entire redeemable convertible preferred stock warrant liability was reclassified to additional paid-in capital.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Term Loan</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loss on extinguishment of term loan of $1.6 million was recognized for the repayment of the Perceptive Term loan in July 2020, which included early prepayment and exit fees.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121" w:lineRule="exact"/>
        <w:rPr>
          <w:sz w:val="20"/>
          <w:szCs w:val="20"/>
          <w:color w:val="auto"/>
        </w:rPr>
      </w:pPr>
    </w:p>
    <w:p>
      <w:pPr>
        <w:ind w:right="8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2020 and 2019 (in thousands, except percentages):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48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revenue</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24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23,168</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48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cost of revenue</w:t>
            </w:r>
          </w:p>
        </w:tc>
        <w:tc>
          <w:tcPr>
            <w:tcW w:w="4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46,142</w:t>
            </w:r>
          </w:p>
        </w:tc>
        <w:tc>
          <w:tcPr>
            <w:tcW w:w="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Gross margin</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 xml:space="preserve">(41) </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(188) </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14,821</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72,398</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35,683</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(34,115)</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1"/>
        </w:trPr>
        <w:tc>
          <w:tcPr>
            <w:tcW w:w="4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4"/>
        </w:trPr>
        <w:tc>
          <w:tcPr>
            <w:tcW w:w="4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stock warrant liability</w:t>
            </w: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(4,123)</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(1,567)</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(89,449)</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(48,833)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(40,616)</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r>
      <w:tr>
        <w:trPr>
          <w:trHeight w:val="223"/>
        </w:trPr>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ind w:left="580"/>
        <w:spacing w:after="0"/>
        <w:rPr>
          <w:sz w:val="20"/>
          <w:szCs w:val="20"/>
          <w:color w:val="auto"/>
        </w:rPr>
      </w:pPr>
      <w:r>
        <w:rPr>
          <w:rFonts w:ascii="Times New Roman" w:cs="Times New Roman" w:eastAsia="Times New Roman" w:hAnsi="Times New Roman"/>
          <w:sz w:val="18"/>
          <w:szCs w:val="18"/>
          <w:i w:val="1"/>
          <w:iCs w:val="1"/>
          <w:color w:val="auto"/>
        </w:rPr>
        <w:t>* Not meaningful</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Product revenue increased by $18.9 million, or 252% for the nine months ended September 30, 2020 as compared to the nine months ended September 30, 2019. The increase was primarily due to higher Tablo console revenue ($16.0 million) driven by new customer adoption, fleet expansion across existing customers, sales that we believe were attributable to COVID-19 driven demand, and increased console leasing revenue ($1.9 million). In addition, the sales of Tablo consumables, including cartridges, for the nine months ended September 30, 2020 increased by $2.9 million given our higher console installed base as compared to the prior year period.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Service and Other Revenue</w:t>
      </w:r>
    </w:p>
    <w:p>
      <w:pPr>
        <w:spacing w:after="0" w:line="119"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Service and other revenue increased by $5.8 million, or 1,171% for the nine months ended September 30, 2020 as compared to the nine months ended September 30, 2019. The increase was primarily due to services associated with growth in our Tablo installed base, including leased consoles, and partially driven by COVID-19 demand for services associated with leased consoles.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Cost of product revenue increased by $23.2 million, or 122% for the nine months ended September 30, 2020 as compared to the nine months ended September 30, 2019. This increase was primarily due to higher console and consumable volume of $42.6 million, which was offset by a $19.5 million reduction in product costs.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11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Cost of service and other revenue decreased by $41 thousand, or 1% for the nine months ended September 30, 2020 as compared to the nine months ended September 30, 2019. This decrease was primarily due to lower travel costs and higher utilization of our field service personnel given our larger installed base.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Gross profit increased by $1.6 million, or 10% for the nine months ended September 30, 2020 as compared to the nine months ended September 30, 2019. The gross margin percentage improved by 147 percentage points for the nine months ended September 30, 2020, as compared to the nine months ended September 30, 2019, driven primarily by lower product costs as well as higher service revenue and improved utilization of our services organization given our larger installed base.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$4.4 million, or 26% for the nine months ended September 30, 2020 as compared to the nine months ended September 30, 2019. The increase was primarily due to a $4.2 million increase in compensation and personnel costs, which includes a $3.1 million increase in stock-based compensation, and a $0.6 million increase in materials and supplies. The increases were partially offset by a $0.2 million decrease in facilities and other allocated costs and a $0.1 million decrease in clinical related and other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$16.5 million, or 123% for the nine months ended September 30, 2020 as compared to the nine months ended September 30, 2019. The increase was primarily due to a $14.5 million increase in compensation and personnel costs as a result of increased headcount, which includes a $2.7 million increase in stock-based compensation, and a $6.1 million increase in commission expense as a result of higher orders, a $1.5 million increase in supplies, materials and freight expenses related to increased activities in support of driving penetration of Tablo and a $0.5 million increase in facilities and other allocated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$14.8 million, or 223% for the nine months ended September 30, 2020 as compared to the nine months ended September 30, 2019. The increase was primarily due to a $11.7 million increase in compensation and personnel costs, which includes a $8.6 million increase in stock-based compensation, and a $3.2 million increase in professional service and consultant service expenses to support our preparation to become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interest income and other income (expense), net decreased by $1.6 million, or 75% for the nine months ended September 30, 2020 as compared to the nine months ended September 30, 2019 was driven by lower interest rates and a lower average balance in money market funds and short-term investment securities during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Interest expense decreased by $0.8 million, or 24% for the nine months ended September 30, 2020, compared to the nine months ended September 30, 2019. This decrease was primarily due to a lower debt discount amortization expense in the nine months ended September 30, 2020, the repayment of our Perceptive Term Loan in July 2020 and a lower interest rate under the SVB Term 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Redeemable Convertible Preferred Stock Warrant Liability</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change in the fair value of the redeemable convertible preferred stock warrant liability was driven by the changes in assumptions used to value the warrant liability. Upon the closing of the IPO, all shares of our outstanding redeemable convertible preferred stock warrants were either exercised into common stock or automatically converted into warrants to purchase common stock. Accordingly, we have ceased to incur the change in fair value of redeemable convertible preferred stock warrant liability as the entire redeemable convertible preferred stock warrant liability was reclassified to additional paid-in capital.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Term Loan</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loss on extinguishment of term loan of $1.6 million was recognized for the repayment of the Perceptive Term loan in July 2020, which included early prepayment and exit fees.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and issuances of debt. In September 2020, we completed our IPO for aggregate proceeds of $254.8 million (inclusive of the full exercise of the underwriters’ option to purchase additional shares), net of offering costs, underwriter discounts and commissions of $23.1 million.</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had cash, cash equivalents and short-term investments of $344.2 million, which are available to fund future operations, and restricted cash of $33.3 million, for a total cash, cash equivalents, restricted cash and short-term investments balance of $377.5 million and an accumulated deficit of $462.0 million.</w:t>
      </w:r>
    </w:p>
    <w:p>
      <w:pPr>
        <w:spacing w:after="0" w:line="176"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We believe that our existing cash, cash equivalents and short-term investments, and cash generated from sales of our products, will be sufficient to meet our anticipated needs for at least the next 12 months from the date of this Quarterly Report on Form 10-Q.</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(73,175)</w:t>
            </w:r>
          </w:p>
        </w:tc>
        <w:tc>
          <w:tcPr>
            <w:tcW w:w="52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(55,100)</w:t>
            </w:r>
          </w:p>
        </w:tc>
      </w:tr>
      <w:tr>
        <w:trPr>
          <w:trHeight w:val="230"/>
        </w:trPr>
        <w:tc>
          <w:tcPr>
            <w:tcW w:w="5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(6,411)</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61,501</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386,555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FF0FC"/>
            </w:tcBorders>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306,969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12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of $73.2 million for the nine months ended September 30, 2020 was due to a net loss of $89.4 million and net cash outflow from the change in our operating assets and liabilities of $3.2 million, which were partially offset by adjustments for stock-based compensation of $15.2 million, loss on extinguishment of term loan of $1.6 million, depreciation and amortization of $1.2 million, non-cash interest expense of $0.5 million, non-cash lease expense of $0.4 million, provision for inventories of $0.4 million, and change in fair value of redeemable convertible preferred stock warrant liability of $0.1 million. The net cash outflow from operating assets and liabilities was primarily due to an increase in inventories of $9.2 million due to the timing of inventory purchases including advance purchases of inventory due to anticipated demand, an increase in prepaid expenses and other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auto"/>
        </w:rPr>
        <w:t>assets of $5.4 million, and an increase in accounts receivable of $3.2 million due to timing of collections. The net cash outflow from operating assets and liabilities was partially offset by an increase in accrued expenses and other current liabilities of $5.1 million consistent with the growth of our business, an increase in accrued payroll and related benefits of $3.9 million due to an increase in headcounts, an increase in deferred revenue of $3.7 million, and an increase in accrued warranty liability of $1.6 million and an increase in accounts payable of $0.4 million due to timing of vendor payments.</w:t>
      </w:r>
    </w:p>
    <w:p>
      <w:pPr>
        <w:spacing w:after="0" w:line="1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of $55.1 million for the nine months ended September 30, 2019 was due to a net loss of $48.9 million and the net cash outflow from the change in our operating assets and liabilities of $4.8 million, and net non-cash charges of $1.4 million. Non-cash changes consisted of $4.0 million in the change in the fair value of the redeemable convertible preferred stock warrant liability and $0.9 million in the accretion of discount on investments, which were partially offset by $1.1 million in depreciation and amortization, $0.7 million in non-cash interest expense, $0.6 million in stock-based compensation, $0.3 million in the loss on disposal of property and equipment, $0.3 million in provision for accounts receivable, $0.3 million in non-cash lease expense and $0.2 million in provision for inventories. The net cash outflow from the change in operating assets and liabilities was due to a $5.6 million increase in inventories and a $3.3 million increase in accounts receivable due to growth in our business, and a $0.4 million decrease in operating lease liability. These changes were partially offset by a $1.2 million increase in accrued and other current liabilities, a $1.0 million increase in accrued payroll and related benefits, a $0.8 million increase in accounts payable due to timing of payments, a $0.8 million increase in accrued warranty liability, and a $0.7 million increase in deferred revenue.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$6.4 million for the nine months ended September 30, 2020 was due primarily to the purchases of short-term investments of $32.9 million and the purchases of property and equipment of $6.4 million, partially offset by the sales and maturities of short-term investments of $32.9 million.</w:t>
      </w:r>
    </w:p>
    <w:p>
      <w:pPr>
        <w:spacing w:after="0" w:line="176"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$61.5 million for the nine months ended September 30, 2019 was due primarily to the sales and maturities of short-term investments of $152.4 million, partially offset by the purchases of short-term investments of $88.1 million and the purchases of property and equipment of $2.8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of $386.6 million for the nine months ended September 30, 2020 was due primarily to the net proceeds of $255.7 million from the issuance of our common stock in our IPO, net of issuance costs paid to date, the net proceeds of $126.8 million from the issuance of our Series E redeemable convertible preferred stock, the net proceeds of $29.6 million from borrowings on the SVB Loan and Security Agreement, proceeds of $4.3 million from the exercise of the Series C redeemable convertible preferred stock warrants, and proceeds of $1.1 million from the issuance of common stock from exercises of stock options, partially offset by the cash outflow of $31.0 million in repayment of Perceptive Loan which included early prepayment and exit fees.</w:t>
      </w:r>
    </w:p>
    <w:p>
      <w:pPr>
        <w:spacing w:after="0" w:line="187"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$0.1 million for the nine months ended September 30, 2019 was due primarily to the issuance of common stock from exercises of stock options of $0.3 million, partially offset by the payment of redeemable convertible preferred stock issuance costs of $0.2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40" w:firstLine="510"/>
        <w:spacing w:after="0" w:line="312" w:lineRule="auto"/>
        <w:rPr>
          <w:sz w:val="20"/>
          <w:szCs w:val="20"/>
          <w:color w:val="auto"/>
        </w:rPr>
      </w:pPr>
      <w:r>
        <w:rPr>
          <w:rFonts w:ascii="Times New Roman" w:cs="Times New Roman" w:eastAsia="Times New Roman" w:hAnsi="Times New Roman"/>
          <w:sz w:val="17"/>
          <w:szCs w:val="17"/>
          <w:color w:val="auto"/>
        </w:rPr>
        <w:t>During the three months ended September 30, 2020, there have been no material changes outside the ordinary course of business to our contractual obligations from those disclosed in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included in the Prospectus.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9" w:name="page30"/>
    <w:bookmarkEnd w:id="29"/>
    <w:p>
      <w:pPr>
        <w:ind w:firstLine="510"/>
        <w:spacing w:after="0" w:line="25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Prospectus, except for the determination of the fair value of our common stock, which is used in estimating the fair value of stock-based awards at the grant date. Prior to the IPO, our common stock was not publicly traded, therefore we estimated the fair value of our common stock as discussed in our Prospectus. Following our IPO, the closing sale price per share of our common stock as reported on the Nasdaq Global Select Market on the date of grant will be used to determine the exercise price per share of our share-based awards to purchase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920" w:firstLine="510"/>
        <w:spacing w:after="0" w:line="282" w:lineRule="auto"/>
        <w:rPr>
          <w:sz w:val="20"/>
          <w:szCs w:val="20"/>
          <w:color w:val="auto"/>
        </w:rPr>
      </w:pPr>
      <w:r>
        <w:rPr>
          <w:rFonts w:ascii="Times New Roman" w:cs="Times New Roman" w:eastAsia="Times New Roman" w:hAnsi="Times New Roman"/>
          <w:sz w:val="18"/>
          <w:szCs w:val="18"/>
          <w:color w:val="auto"/>
        </w:rPr>
        <w:t>See Note 2 to our unaudited interim condensed financial statements included elsewhere in this Quarterly Report on Form 10-Q for more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Our cash, cash equivalents, restricted cash and short-term investments as of September 30, 2020 consist of $377.5 million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and short-term investments.</w:t>
      </w:r>
    </w:p>
    <w:p>
      <w:pPr>
        <w:spacing w:after="0" w:line="183" w:lineRule="exact"/>
        <w:rPr>
          <w:sz w:val="20"/>
          <w:szCs w:val="20"/>
          <w:color w:val="auto"/>
        </w:rPr>
      </w:pPr>
    </w:p>
    <w:p>
      <w:pPr>
        <w:ind w:right="460" w:firstLine="510"/>
        <w:spacing w:after="0" w:line="261" w:lineRule="auto"/>
        <w:rPr>
          <w:sz w:val="20"/>
          <w:szCs w:val="20"/>
          <w:color w:val="auto"/>
        </w:rPr>
      </w:pPr>
      <w:r>
        <w:rPr>
          <w:rFonts w:ascii="Times New Roman" w:cs="Times New Roman" w:eastAsia="Times New Roman" w:hAnsi="Times New Roman"/>
          <w:sz w:val="18"/>
          <w:szCs w:val="18"/>
          <w:color w:val="auto"/>
        </w:rPr>
        <w:t>As of September 30, 2020, we had $30.0 million in variable rate debt outstanding. The SVB Term Loan matures on November 1, 2025, with interest-only monthly payments until June 2023. The term loan accrues interest at a rate per annum equal to the greater of (A) one-half of one percent</w:t>
      </w:r>
    </w:p>
    <w:p>
      <w:pPr>
        <w:ind w:right="20"/>
        <w:spacing w:after="0" w:line="255" w:lineRule="auto"/>
        <w:rPr>
          <w:sz w:val="20"/>
          <w:szCs w:val="20"/>
          <w:color w:val="auto"/>
        </w:rPr>
      </w:pPr>
      <w:r>
        <w:rPr>
          <w:rFonts w:ascii="Times New Roman" w:cs="Times New Roman" w:eastAsia="Times New Roman" w:hAnsi="Times New Roman"/>
          <w:sz w:val="18"/>
          <w:szCs w:val="18"/>
          <w:color w:val="auto"/>
        </w:rPr>
        <w:t>(0.50%) above the Prime Rate as reported in the Wall Street Journal then in effect (which shall not be less than zero) and (B) three and three-quarters of one percent (3.75%). An immediate 100 basis point change in the prime rate would not have a material impact on our debt-related obligations, financial position or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Our expenses are generally denominated in U.S. dollars. However, we have entered into a limited number of supply contracts with vendors with payments denominated in foreign currencies. We are subject to foreign currency transaction gains or losses on our contracts denominated in foreign currencies. To date, foreign currency transaction gains and losses have not been material to our financial statements.</w:t>
      </w:r>
    </w:p>
    <w:p>
      <w:pPr>
        <w:spacing w:after="0" w:line="176" w:lineRule="exact"/>
        <w:rPr>
          <w:sz w:val="20"/>
          <w:szCs w:val="20"/>
          <w:color w:val="auto"/>
        </w:rPr>
      </w:pPr>
    </w:p>
    <w:p>
      <w:pPr>
        <w:jc w:val="both"/>
        <w:ind w:right="180" w:firstLine="510"/>
        <w:spacing w:after="0" w:line="289" w:lineRule="auto"/>
        <w:rPr>
          <w:sz w:val="20"/>
          <w:szCs w:val="20"/>
          <w:color w:val="auto"/>
        </w:rPr>
      </w:pPr>
      <w:r>
        <w:rPr>
          <w:rFonts w:ascii="Times New Roman" w:cs="Times New Roman" w:eastAsia="Times New Roman" w:hAnsi="Times New Roman"/>
          <w:sz w:val="17"/>
          <w:szCs w:val="17"/>
          <w:color w:val="auto"/>
        </w:rPr>
        <w:t>Unfavorable changes in foreign exchange rates versus the U.S. dollar could increase our product costs, thus reducing our gross profit. We have not engaged in the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September 30, 2020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21"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15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have incurred net losses of $42.3 million and $15.4 million for the three months ended September 30, 2020 and 2019, respectively, and $89.4 million and $48.9 million for the nine months ended September 30, 2020 and 2019, respectively. As of September 30, 2020, we had $377.5 million in cash, cash equivalents, restricted cash and short-term investments, and an accumulated deficit of $462.0 million. Based on our current planned operations, we expect our existing cash, cash equivalents and short-term investments, and cash generated from sales of our products, will be sufficient to meet our anticipated needs for at least the next 12 months from the date of this Quarterly Report on Form 10-Q. We have based this estimate on assumptions that may prove to be wrong, and we could use our capital resources sooner than we currently expect. We expect to continue to incur significant net losses for the foreseeable future.</w:t>
      </w:r>
    </w:p>
    <w:p>
      <w:pPr>
        <w:spacing w:after="0" w:line="189" w:lineRule="exact"/>
        <w:rPr>
          <w:sz w:val="20"/>
          <w:szCs w:val="20"/>
          <w:color w:val="auto"/>
        </w:rPr>
      </w:pPr>
    </w:p>
    <w:p>
      <w:pPr>
        <w:jc w:val="both"/>
        <w:ind w:right="240" w:firstLine="510"/>
        <w:spacing w:after="0" w:line="261" w:lineRule="auto"/>
        <w:rPr>
          <w:sz w:val="20"/>
          <w:szCs w:val="20"/>
          <w:color w:val="auto"/>
        </w:rPr>
      </w:pPr>
      <w:r>
        <w:rPr>
          <w:rFonts w:ascii="Times New Roman" w:cs="Times New Roman" w:eastAsia="Times New Roman" w:hAnsi="Times New Roman"/>
          <w:sz w:val="18"/>
          <w:szCs w:val="18"/>
          <w:color w:val="auto"/>
        </w:rPr>
        <w:t>Our revenue is derived, and we expect it to continue to be derived, primarily from sales of Tablo, its associated consumables and related services. Because of its recent commercial introduction, Tablo currently has limited product and brand recognition. In addition, demand for Tablo may decline or may not increase as quickly as we expect. Our ability to generate revenue from sales of Tablo, associated consumables and related services, or from any products we may develop in the future, may not be sufficient to enable us to transition to profitability and generate positive cash flows.</w:t>
      </w:r>
    </w:p>
    <w:p>
      <w:pPr>
        <w:spacing w:after="0" w:line="180"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expect that our sales and marketing, research and development, regulatory and other expenses will continue to increase as we expand our marketing efforts to increase adoption of Tablo, expand existing relationships with our customers, obtain regulatory clearances or approvals for future product enhancements to Tablo, and conduct clinical trials on Tablo. In addition, we expect our general and administrative expenses to increase due to the additional costs associated with scaling our business operations as well as our new status of being a public company, including due to legal, accounting, insurance, exchange listing and Securities and Exchange Commission (SEC)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manufacturing and production of the Tablo system to achieve sustainable gross margins.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partner with contract manufacturers in the assembly and testing of the Tablo console. Currently, the Tablo console is produced by our contract manufacturer based in Morgan Hill, California, which has resulted in higher costs associated with labor and component parts. While we are undertaking a number of initiatives designed to reduce the cost of producing Tablo devices, including establishing a new facility for the production of Tablo consoles in Tijuana, Mexico with our outsourced business administration service provider, Tacna, and moving production of a majority of the Tablo cartridges from our existing contract manufacturing partner to a new contract manufacturer in Tijuana, Mexico, there is no guarantee that we will be able to achieve planned cost reductions from our various cost savings initiatives. For example, the establishment of our new manufacturing facility with Tacna could be delayed, or savings associated with this facility may not be as significant as projected or realized within the timeframe we currently estimate. There may also be unforeseen occurrences that increase our costs, such as increased prices of the components of Tablo, changes to labor costs or less favorable terms with third party suppliers or contract manufacturing partners. Our ability to maintain Tablo’s pricing is dependent on our customers’ recognition that the benefits outweigh the higher upfront purchase price. If we are unable to reduce our costs, if cost reductions are less significant or less timely than projected or if we are unable to maintain Tablo’s pricing, we will not be able to achieve sustainable gross margins, which would adversely affect our ability to invest in and grow our business and adversely impact our business, financial condition and results of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Tablo will depend upon attaining significant market acceptance among providers and patients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the acceptance of Tablo as safe, easy to learn, easy to use, clinically flexible, operationally versatile and, with respect to providers, cost effective. We began commercializing Tablo throughout the United States in 2018 and have begun the process to commercialize Tablo for home-based dialysis in 2020. Our limited commercialization experience makes it difficult to evaluate our current business and predict our future prospects. We cannot predict how quickly, if at all, providers and patients will accept Tablo or, if accepted, how frequently it will be used. These constituents must believe that Tablo offers benefits over traditional machines. The degree of market acceptance of Tablo will depend on a number of factors, including:</w:t>
      </w:r>
    </w:p>
    <w:p>
      <w:pPr>
        <w:spacing w:after="0" w:line="147" w:lineRule="exact"/>
        <w:rPr>
          <w:sz w:val="20"/>
          <w:szCs w:val="20"/>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providers and others in the medical community consider Tablo to be a safe and cost-effective treatment method;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Tablo over traditional machines;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maintenance and upkeep using Tablo in relation to traditional machines;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Tablo relative to traditional machines;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for Tablo;</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of, and operational benefits from, Tablo;</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availability of coverage and adequate reimbursement for dialysis from payors, including government authorities;</w:t>
      </w:r>
    </w:p>
    <w:p>
      <w:pPr>
        <w:spacing w:after="0" w:line="184" w:lineRule="exact"/>
        <w:rPr>
          <w:rFonts w:ascii="Times New Roman" w:cs="Times New Roman" w:eastAsia="Times New Roman" w:hAnsi="Times New Roman"/>
          <w:sz w:val="18"/>
          <w:szCs w:val="18"/>
          <w:color w:val="auto"/>
        </w:rPr>
      </w:pPr>
    </w:p>
    <w:p>
      <w:pPr>
        <w:ind w:left="1380" w:right="120" w:hanging="360"/>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Tablo based on the collective buying power of the GPO members;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and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authorities.</w:t>
      </w:r>
    </w:p>
    <w:p>
      <w:pPr>
        <w:spacing w:after="0" w:line="185" w:lineRule="exact"/>
        <w:rPr>
          <w:sz w:val="20"/>
          <w:szCs w:val="20"/>
          <w:color w:val="auto"/>
        </w:rPr>
      </w:pPr>
    </w:p>
    <w:p>
      <w:pPr>
        <w:ind w:right="120" w:firstLine="510"/>
        <w:spacing w:after="0" w:line="289" w:lineRule="auto"/>
        <w:rPr>
          <w:sz w:val="20"/>
          <w:szCs w:val="20"/>
          <w:color w:val="auto"/>
        </w:rPr>
      </w:pPr>
      <w:r>
        <w:rPr>
          <w:rFonts w:ascii="Times New Roman" w:cs="Times New Roman" w:eastAsia="Times New Roman" w:hAnsi="Times New Roman"/>
          <w:sz w:val="17"/>
          <w:szCs w:val="17"/>
          <w:color w:val="auto"/>
        </w:rPr>
        <w:t>Additionally, even if Tablo achieves widespread market acceptance, it may not maintain that market acceptance over time if competing products or technologies, which are more cost effective or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5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derive substantially all of our revenue from the sale of Tablo and associated consumables and are therefore highly dependent on Tablo for our success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We derive substantially all of our revenues from sales of Tablo and its associated consumables, with the remainder of our revenues largely coming from services provided for the support and maintenance of Tablo. Accordingly, our business is exposed to risks that our revenues are concentrated in a single product. As a result, any event that adversely affects Tablo or the market for Tablo and associated consumables could adversely affect our business, financial condition and results of operation.</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from home-based dialysis is subject to certain risks and uncertainties, including around the adoption of Tablo in the home setting.</w:t>
      </w:r>
    </w:p>
    <w:p>
      <w:pPr>
        <w:spacing w:after="0" w:line="159" w:lineRule="exact"/>
        <w:rPr>
          <w:sz w:val="20"/>
          <w:szCs w:val="20"/>
          <w:color w:val="auto"/>
        </w:rPr>
      </w:pPr>
    </w:p>
    <w:p>
      <w:pPr>
        <w:ind w:right="220" w:firstLine="510"/>
        <w:spacing w:after="0" w:line="255" w:lineRule="auto"/>
        <w:rPr>
          <w:sz w:val="20"/>
          <w:szCs w:val="20"/>
          <w:color w:val="auto"/>
        </w:rPr>
      </w:pPr>
      <w:r>
        <w:rPr>
          <w:rFonts w:ascii="Times New Roman" w:cs="Times New Roman" w:eastAsia="Times New Roman" w:hAnsi="Times New Roman"/>
          <w:sz w:val="18"/>
          <w:szCs w:val="18"/>
          <w:color w:val="auto"/>
        </w:rPr>
        <w:t>In March 2020, Tablo was cleared by the FDA for patient use in the home of patients with acute and/or chronic renal failure, with or without ultrafiltration, and we intend to expand within the home market. However, this implementation is subject to certain risks, including our ability to attract, retain and manage patients. Our business strategy, including our pricing of Tablo, is based on certain assumptions about the adoption of Tablo by home dialysis patients, as well as patient retention. If these assumptions about the home market are inaccurate and we are unable to increase our share of the home dialysis market by attracting new patients, or retain such market share once achieved, we would need to significantly change certain aspects of our business strategy, including the pricing of the Tablo console, associated consumables and support and maintenance, which could adversely affect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3" w:name="page34"/>
    <w:bookmarkEnd w:id="33"/>
    <w:p>
      <w:pPr>
        <w:ind w:firstLine="510"/>
        <w:spacing w:after="0" w:line="255" w:lineRule="auto"/>
        <w:rPr>
          <w:sz w:val="20"/>
          <w:szCs w:val="20"/>
          <w:color w:val="auto"/>
        </w:rPr>
      </w:pPr>
      <w:r>
        <w:rPr>
          <w:rFonts w:ascii="Times New Roman" w:cs="Times New Roman" w:eastAsia="Times New Roman" w:hAnsi="Times New Roman"/>
          <w:sz w:val="18"/>
          <w:szCs w:val="18"/>
          <w:color w:val="auto"/>
        </w:rPr>
        <w:t>Our limited experience in the distribution, logistics and service support that relate to the use of Tablo in the home care setting may also negatively impact our ability to generate revenue from home-based dialysis. Currently, the provision of in-clinic and home dialysis is largely dominated by DaVita Inc. (DaVita) and Fresenius Medical Care AG &amp; Co. KGaA (Fresenius), and our expansion within the home dialysis market is dependent on our ability to grow new home programs with health systems and innovative dialysis clinic partners. In addition, patients and their care partners using Tablo for home dialysis may not successfully operate Tablo or may require increased service and support from us. Moreover, given the home dialysis market is a novel one for us, we also face the risk that we may encounter difficulties whose precise nature or magnitude we cannot accurately predict at this time, but which may have a material adverse effect on our business, financial condition or results of operations.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contract manufacturers and single source suppliers, making us vulnerable to supply problems and price fluctuations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rely on third-party suppliers, including in some instances single source suppliers, to provide us with certain components of Tablo. The number of suppliers feeding into Tablo console production is in excess of 250 worldwide. We consider approximately 10% of these suppliers, located in the United States, Europe and China, as critical providers of components such as pumps, motors, valves and PCBA boards. While we have initiated the second source qualification process for the majority of these critical components, we may not be successful in securing second sourcing for all of them.</w:t>
      </w:r>
    </w:p>
    <w:p>
      <w:pPr>
        <w:spacing w:after="0" w:line="180"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In addition, we purchase supplies through purchase orders and do not have long-term supply agreements with, or guaranteed commitments from, our suppliers, including single source suppliers. Additionally, at present, we rely on contract manufacturers for the production of the Tablo console and Tablo cartridge. Many of our suppliers and contract manufacturers are not obligated to perform services or supply products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Tablo system, establishing additional or replacement suppliers for any of these materials, components or services, if required, could be time-consuming and expensive, may result in interruptions in our operations and product delivery, may affect the performance specifications of our Tablo system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w:t>
      </w:r>
    </w:p>
    <w:p>
      <w:pPr>
        <w:spacing w:after="0" w:line="195"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Tablo system, the supply of our products to customers and the development of any future products will be delayed, limited or prevented, which could have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manufacturing disruptions.</w:t>
      </w:r>
    </w:p>
    <w:p>
      <w:pPr>
        <w:spacing w:after="0" w:line="229"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currently rely on contract manufacturing partners for the production of the Tablo console and the Tablo cartridge. If any of our contract manufacturing partners’ facilities were disrupted, by labor disputes, work stoppages, pandemic, riots, terrorism, vandalism, natural disaster or otherwise, it could cause substantial delays in our operations and we may not have a sufficient number of Tablo consoles or Tablo cartridges in inventory to fulfill orders. Further, to the extent we seek to renew or renegotiate our arrangements with any of our contract manufacturing partners, and cannot agree to the terms and conditions of future contract manufacturing arrangements, or if any of our contract manufacturing partners terminate existing agreements with us, our ability to produce and sell Tablo could be delayed until an alternative manufacturing partner or arrangement is identified, a new contract manufacturing agreement is negotiated and new production lines are established.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ind w:right="20" w:firstLine="510"/>
        <w:spacing w:after="0" w:line="269" w:lineRule="auto"/>
        <w:rPr>
          <w:sz w:val="20"/>
          <w:szCs w:val="20"/>
          <w:color w:val="auto"/>
        </w:rPr>
      </w:pPr>
      <w:r>
        <w:rPr>
          <w:rFonts w:ascii="Times New Roman" w:cs="Times New Roman" w:eastAsia="Times New Roman" w:hAnsi="Times New Roman"/>
          <w:sz w:val="17"/>
          <w:szCs w:val="17"/>
          <w:color w:val="auto"/>
        </w:rPr>
        <w:t>While we currently rely on contract manufacturing partners for the production of Tablo, we are in the process of establishing a new facility in Tijuana, Mexico with our outsourced business administration service provider, Tacna, for the production of the Tablo console. Under our arrangement with Tacna, we will control the operations, engineering, quality and materials supply functions at the new facility, while Tacna will provide manufacturing space, the workforce, utilities, cross-border logistics, local permits and licenses. Delays or disruptions to the startup of the Tijuana, Mexico facility could result in significant costs or delays to us. Once the facility is established, we may experience strikes, work stoppages, work slowdowns, high employee turnover, grievances, complaints, claims of unfair labor practices, other collective bargaining disputes or other labor disputes. The facility may also suffer disruptions from pandemic, terrorism, vandalism, or natural disasters. Any such occurrences could negatively impact our ability to produce the Tablo console. Moreover, while certain members of our management team have some manufacturing experience, as an organization we do not have any prior experience in this type of manufacturing arrangement, and we could accordingly experience other risks, the nature and magnitude of which we are unable to assess precisely at this time. Further, even after the establishment of the Tijuana manufacturing facility, we will likely continue to use contract manufacturing partners for the production of some Tablo consoles, as well as Tablo cartridges, for the foreseeable future and will continue to rely on them.</w:t>
      </w:r>
    </w:p>
    <w:p>
      <w:pPr>
        <w:spacing w:after="0" w:line="18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following the establishment of the manufacturing facility in Tijuana, Mexico and the planned transfer of the production of a majority of the Tablo cartridge to a new contract manufacturing partner in Tijuana, Mexico, the manufacturing of a majority of the Tablo console and cartridge will be located in Tijuana, Mexico. Recently, the United States-Mexico-Canada Agreement (USMCA), a new trade deal among the United States, Mexico and Canada to replace the North American Free Trade Agreement, was approved by the U.S. Congress and signed into law. Although the USMCA went into effect on July 1, 2020, its full impact on manufacturing operations in Mexico, as well as economic conditions and markets generally, is still unknown. Further, during the negotiations leading up to the USMCA, the political and trade relationship between the United States and Mexico was strained, and such relationship may deteriorate. If our ability, the ability of our partners or our contract manufacturer’s ability, to manufacture Tablo consoles and cartridges is interrupted as a result, or if our ability to import Tablo consoles and cartridges into the United States is impacted, we may not have a sufficient number of Tablo consoles or cartridges in inventory to fulfill all orders requested, which could adversely affect our business,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Tablo to achieve our profitability objectives. Poor product performance and reliability could lead to customer dissatisfaction, adversely affect our reputation and revenues, and increase our service and distribution costs and working capital requirements. Software and hardware incorporated into Tablo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 In addition, as we transition the manufacturing of the Tablo console to a facility in Tijuana, Mexico operated in collaboration with Tacna, we are more exposed to risks relating to product quality and reliability until the manufacturing processes mature. Like all transitions of this nature, they could increase our costs in the near-term and accordingly adversely affect our business, financial condition and results of operations.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For example, in response to the ongoing COVID-19 pandemic, numerous state and local jurisdictions have imposed, and others in the future may impose, “shelter-in-place” orders, quarantines, executive orders and similar government orders and restrictions for their residents. Such orders or restrictions have resulted in work stoppages, slowdowns and delays, travel restrictions and cancellation of events. Disruptions or potential disruptions to our business from COVID-19 or a future pandemic include the inability of our suppliers to manufacture components and parts and to deliver these to us on a timely basis, or at all; disruptions in our production schedule and ability to manufacture and assemble products;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and customers; and additional government requirements or other incremental mitigation efforts that may further impact our or our suppliers’ capacity to manufacture Tablo. The extent to which the COVID-19 pandemic impacts our business will depend on future developments, which are highly uncertain and cannot be predicted, including new information which may emerge concerning the severity and spread of COVID-19, the nature, extent and effectiveness of containment measures, the extent and duration of the effect on the economy and how quickly and to what extent normal economic and operating conditions can resume.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5" w:name="page36"/>
    <w:bookmarkEnd w:id="35"/>
    <w:p>
      <w:pPr>
        <w:ind w:firstLine="510"/>
        <w:spacing w:after="0" w:line="256"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which could result in a reduction in our ability to access capital that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innovate and improve Tablo, we could lose customers or market share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success will depend on our ability to keep ahead of developments in the dialysis industry. It is critical to our competitiveness that we continue to innovate and make improvements to Tablo’s functionality and efficiency. If we fail to make improvements to Tablo’s functionality over time, our competitors may develop products that offer features and functionality similar or superior to those of Tablo. If we fail to make improvements to Tablo’s efficiency, our competitors may develop products that are more cost effective than Tablo. Our failure to make continuous improvements to Tablo to keep ahead of the products of our competitors could result in the loss of customers or market share that would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There are a number of dialysis machine manufacturers in the United States, Europe and Asia. Notable competitors in the United States include Fresenius, Baxter International Inc. (Baxter) and B. Braun Medical Inc. (B. Braun). Of these competitors, Fresenius is the largest and it supplies dialysis products, operates a significant number of dialysis clinics and provides outsourced dialysis services in many hospitals. Fresenius, Baxter and B. Braun all supply machines and supplies in both the acute and home care settings. All of these organizations are currently significantly larger with greater financial and personnel resources than us, enjoy significantly greater market share than ours and have greater resources than we do. As a consequence, they are able to spend more on product development, marketing, sales and other product initiatives than we can. Outside the United States, additional dialysis machine competitors include Nikkiso Co., Ltd. (Nikkiso), Nipro Corporation (Nipro) and Quanta Dialysis Technologies Ltd (Quanta). Additionally, companies with dialysis machine development programs include Medtronic and CVS. Some of our competitors have:</w:t>
      </w:r>
    </w:p>
    <w:p>
      <w:pPr>
        <w:spacing w:after="0" w:line="151" w:lineRule="exact"/>
        <w:rPr>
          <w:sz w:val="20"/>
          <w:szCs w:val="20"/>
          <w:color w:val="auto"/>
        </w:rPr>
      </w:pPr>
    </w:p>
    <w:p>
      <w:pPr>
        <w:ind w:left="1380" w:hanging="36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payors;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184" w:lineRule="exact"/>
        <w:rPr>
          <w:rFonts w:ascii="Times New Roman" w:cs="Times New Roman" w:eastAsia="Times New Roman" w:hAnsi="Times New Roman"/>
          <w:sz w:val="18"/>
          <w:szCs w:val="18"/>
          <w:color w:val="auto"/>
        </w:rPr>
      </w:pPr>
    </w:p>
    <w:p>
      <w:pPr>
        <w:ind w:left="1380" w:right="380" w:hanging="360"/>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or bundle products to offer greater discounts or other incentives to gain a competitive advantage;</w:t>
      </w:r>
    </w:p>
    <w:p>
      <w:pPr>
        <w:spacing w:after="0" w:line="121" w:lineRule="exact"/>
        <w:rPr>
          <w:rFonts w:ascii="Times New Roman" w:cs="Times New Roman" w:eastAsia="Times New Roman" w:hAnsi="Times New Roman"/>
          <w:sz w:val="18"/>
          <w:szCs w:val="18"/>
          <w:color w:val="auto"/>
        </w:rPr>
      </w:pPr>
    </w:p>
    <w:p>
      <w:pPr>
        <w:ind w:left="1380" w:right="40" w:hanging="360"/>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for products; and</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98" w:lineRule="exact"/>
        <w:rPr>
          <w:sz w:val="20"/>
          <w:szCs w:val="20"/>
          <w:color w:val="auto"/>
        </w:rPr>
      </w:pPr>
    </w:p>
    <w:p>
      <w:pPr>
        <w:ind w:left="1380" w:hanging="360"/>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acute care market and drive utilization and fleet expansion among our existing customers in the acute care setting;</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within the home dialysis market;</w:t>
      </w:r>
    </w:p>
    <w:p>
      <w:pPr>
        <w:spacing w:after="0" w:line="184" w:lineRule="exact"/>
        <w:rPr>
          <w:rFonts w:ascii="Times New Roman" w:cs="Times New Roman" w:eastAsia="Times New Roman" w:hAnsi="Times New Roman"/>
          <w:sz w:val="18"/>
          <w:szCs w:val="18"/>
          <w:color w:val="auto"/>
        </w:rPr>
      </w:pPr>
    </w:p>
    <w:p>
      <w:pPr>
        <w:ind w:left="1380" w:right="600" w:hanging="360"/>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Tablo and its component parts as well as drive down the cost of service; and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adoption of Tablo in the chronic outpatient facility setting via transitional care programs within existing dialysis clinics.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6" w:name="page37"/>
    <w:bookmarkEnd w:id="36"/>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products that could effectively compete with our existing products, which may cause our revenue to decline and would harm our business.</w:t>
      </w:r>
    </w:p>
    <w:p>
      <w:pPr>
        <w:spacing w:after="0" w:line="176"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Tablo. Because of the complex and technical nature of Tablo and the dynamic market in which we compete, any failure to attract and retain a sufficient number of qualified employees could materially harm our ability to develop and commercialize Tablo, which would have a material adverse effect on our business, financial condition and results of operations.</w:t>
      </w:r>
    </w:p>
    <w:p>
      <w:pPr>
        <w:spacing w:after="0" w:line="180"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products that offer features and functionality similar to Tablo. Improvements in existing competitive products or the introduction of new competitive products may make it more difficult for us to compete for sales, particularly if those competitive products demonstrate better reliability, convenience or effectiveness or are offered at lower prices.</w:t>
      </w:r>
    </w:p>
    <w:p>
      <w:pPr>
        <w:spacing w:after="0" w:line="176"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More generally, the development of viable medical, pharmacological and technological advances in treating or preventing kidney failure may also limit the opportunity for Tablo and our services. While kidney transplantation is the treatment of choice for most patients with End Stage Renal Disease (ESRD), it is not currently a viable treatment for most patients. This may change, however, with the development of new medications designed to reduce the incidence of kidney transplant rejection, progress in using kidneys harvested from genetically engineered animals as a source of transplants, and other advances in kidney transplantation.</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platform and business disruption if there are any security or data privacy breaches or other unauthorized or improper access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information as part of the Tablo data ecosystem, such as name, mailing address, email addresses, mobile telephone number, location information, and prescription information. Security breaches, computer malware and computer hacking attacks have become more prevalent across industries and may occur on our systems or those of our third-party service providers or partners. Despite the implementation of security measures, our internal computer systems and those of our third-party service providers and partners are vulnerable to damage from computer viruses, hacking and other means of unauthorized access, denial of service and other attacks,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Further, as a result of the COVID-19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Any failure to prevent or mitigate security breaches or improper access to, or use or disclosure of, our data or consumers’ personal information, including information hosted by third party service providers such as Amazon Web Services (AWS), could result in significant liability under applicable data protection laws, such as state breach notification laws and the federal Health Insurance Portability and Accountability Act and its implementing regulations (HIPAA), as amended by the Health Information Technology for Economic and Clinical Health Act (HITECH Act), and all regulations promulgated thereunder. Such an incident may also cause a material loss of revenue from the potential adverse impact to our reputation and brand, affect our ability to retain or attract new users of Tablo and potentially disrupt our business, as well as require significant expenditure of resources to contain, mitigate and remediate the incident.</w:t>
      </w:r>
    </w:p>
    <w:p>
      <w:pPr>
        <w:spacing w:after="0" w:line="19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Because the techniques used to obtain unauthorized access, disable or degrade service or sabotage systems change frequently or may be designed to remain dormant until a predetermined or other future event and often are not recognized until launched against a target, we and our partners may be unable to anticipate these techniques or to implement adequate preventative measures. Further, we do not have any direct control over the operations of the facilities or technology of AWS or our other cloud and service providers. Our systems, servers and platforms, those of our cloud service providers, and Tablo’s two-way wireless communication system, may be vulnerable to computer viruses or physical or electronic break-ins that our or their security measures may not detect or effectively block, and may be breached due to the actions of outside parties, employee error or misconduct, malfeasance, or a combination of these and, as a result, an unauthorized party may obtain access to our data or the personal information maintained by us or on our behalf. Additionally, outside parties may attempt to fraudulently induce employees to disclose sensitive information in order to gain access the data and personal information we maintain. Threat actors, including individuals, criminal groups, state sponsored actors or others may be able to circumvent such security measures and misappropriate our confidential or proprietary information, disrupt our operations, corrupt our data, damage our computers or otherwise impair our reputation and business. We may need to expend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ind w:right="40"/>
        <w:spacing w:after="0" w:line="256" w:lineRule="auto"/>
        <w:rPr>
          <w:sz w:val="20"/>
          <w:szCs w:val="20"/>
          <w:color w:val="auto"/>
        </w:rPr>
      </w:pPr>
      <w:r>
        <w:rPr>
          <w:rFonts w:ascii="Times New Roman" w:cs="Times New Roman" w:eastAsia="Times New Roman" w:hAnsi="Times New Roman"/>
          <w:sz w:val="18"/>
          <w:szCs w:val="18"/>
          <w:color w:val="auto"/>
        </w:rPr>
        <w:t>significant resources and make significant capital investment to protect against security breaches or to mitigate the impact of any such breaches.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of September 30, 2020, we had approximately 284 employees. Over the next several years, we expect to increase significantly the scope of our operations, particularly in the areas of manufacturing, sales and support, product development, regulatory affairs, marketing and other functional areas, including finance, accounting, quality and legal.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including the establishment of our manufacturing facility in Tijuana, Mexico, may lead to significant costs and may divert our management and business development resources. Any inability to manage growth could delay the execution of our business plans or disrupt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home hemodialysis market may not expand sufficiently to support our growth prospects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believe a significant growth opportunity exists within the home hemodialysis market. However, home hemodialysis therapies to date have not been extensively adopted. We believe that the home hemodialysis market is sufficient to fuel our growth in the near term if we are able to capture sufficient market share; however, there can be no assurance that we will be successful in increasing our market share.</w:t>
      </w:r>
    </w:p>
    <w:p>
      <w:pPr>
        <w:spacing w:after="0" w:line="176"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Our long term growth will require us to shift patients’ and the medical community’s understanding and view of home hemodialysis and will require further increases in the number of patients who adopt home hemodialysis from current levels, physicians who are willing to prescribe home hemodialysis, and dialysis centers that are willing to support home hemodialysis growth. Most dialysis centers presently do not have the infrastructure to support a significant home hemodialysis patient population, including the availability of home hemodialysis training nurses, and may not be motivated to invest in home hemodialysis programs. We will need to continue to devote significant resources to expanding the home hemodialysis market, but these efforts ultimately may not be successful.</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Northern California.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our facility in Mexico and the facilities of our suppliers and manufacturers may be harmed or rendered inoperable by such natural or man-made disasters, which may cause disruptions, difficulties or otherwise materially and adversely affect our business.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product support for Tablo may adversely affect our relationships with providers and negatively impact our reputation among patients and providers, which may adversely affect our business, financial condition, and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operate a multichannel model, including remote and on-site product support to respond to and resolve issues reported to us by providers and nurses on behalf of their patients. In implementing and using Tablo, providers depend on our support to resolve product quality- and performance-related issues in a timely manner. We may be unable to respond quickly enough to accommodate short-term increases in demand for customer support. Increased customer demand for product support could increase costs and adversely affect our business, financial condition and results of operations. Our sales are highly dependent on our reputation and on positive recommendations from our existing patients, care partners and providers. Any failure to maintain high-quality customer support for our products, or a market perception that we do not maintain high-quality customer support for our products, could adversely affect our reputation, our ability to sell Tablo, and in turn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Tablo in the acute and home settings have not been established with precision and may be smaller than we estimate and may decline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Our estimates of the annual total addressable market for Tablo is based on a number of internal and third-party estimates, including, without limitation, the assumed prices at which we can sell Tablo in the acute and home markets.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80"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Tablo in different settings may prove to be incorrect. If the actual number of patients who would benefit from Tablo, the price at which we can sell Tablo, or the total addressable market for Tablo is smaller than we have estimated, it may impair our sales growth and negatively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customer concentration, with a limited number of customers accounting for a substantial portion of our revenues.</w:t>
      </w:r>
    </w:p>
    <w:p>
      <w:pPr>
        <w:spacing w:after="0" w:line="22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a government distributor customer, a federal health department customer, with whom we have signed an additional purchase order in August 2020 for a 24 month lease of 50 Tablo consoles, and one other customer accounted for 23%, 17% and 16% of our revenue, respectively. There are risks whenever a large percentage of total revenues are concentrated with a limited number of customers. It is not possible for us to predict the level of demand for Tablo that will be generated by any of these customers in the future. In addition, revenues from these larger customers may fluctuate from time to time based on these customers’ business needs, the timing of which may be affected by market conditions or other facts outside of our control. These customers could also potentially pressure us to reduce the prices we charge for Tablo, which could have an adverse effect on our margins and financial position and could negatively affect our revenues and results of operations. If any of our largest customers terminates its relationship with us, such termination could negatively affect our revenues and results of operations.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Tablo and manage our inventory.</w:t>
      </w:r>
    </w:p>
    <w:p>
      <w:pPr>
        <w:spacing w:after="0" w:line="15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the Tablo console and the Tablo cartridge based on our estimates of future demand for Tablo. Our ability to accurately forecast demand for Tablo could be negatively affected by many factors, including our failure to accurately manage our expansion strategy, product introductions by competitors, an increase or decrease in customer demand for Tablo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Tablo,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Inadequate training of, and improper use of Tablo by, nurses, dialysis technicians, care partners and patients may lead to negative patient outcomes, affect adoption of Tablo and adversely affect our business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success of Tablo depends in part on the proper training and use of Tablo by nurses and dialysis technicians in the acute setting or patients and care partners in the home setting. We train nurses and dialysis technicians on the appropriate use of Tablo, as well as how to train other users, including patients and care partners who use Tablo in the home setting, on the appropriate use of Tablo. If nurses and dialysis technicians, including those we train directly and those trained by others, or patients and care partners, who are not trained by us directly, use Tablo inappropriately or incorrectly, or with supplies that are not compatible with Tablo or without adhering to or completing training sessions, patient outcomes may not be consistent with expected results. This may negatively impact the perception of patient benefit and safety and limit adoption of Tablo, which would have a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9" w:name="page40"/>
    <w:bookmarkEnd w:id="39"/>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139" w:lineRule="exact"/>
        <w:rPr>
          <w:sz w:val="20"/>
          <w:szCs w:val="20"/>
          <w:color w:val="auto"/>
        </w:rPr>
      </w:pPr>
    </w:p>
    <w:p>
      <w:pPr>
        <w:ind w:left="1380" w:hanging="360"/>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Tablo, which may vary significantly;</w:t>
      </w:r>
    </w:p>
    <w:p>
      <w:pPr>
        <w:spacing w:after="0" w:line="184" w:lineRule="exact"/>
        <w:rPr>
          <w:rFonts w:ascii="Times New Roman" w:cs="Times New Roman" w:eastAsia="Times New Roman" w:hAnsi="Times New Roman"/>
          <w:sz w:val="18"/>
          <w:szCs w:val="18"/>
          <w:color w:val="auto"/>
        </w:rPr>
      </w:pPr>
    </w:p>
    <w:p>
      <w:pPr>
        <w:ind w:left="1380" w:right="60" w:hanging="360"/>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Tablo, which may vary depending on the quantity of production, the terms of our agreements with third-party suppliers and manufacturers and any related foreign currency impact;</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184" w:lineRule="exact"/>
        <w:rPr>
          <w:rFonts w:ascii="Times New Roman" w:cs="Times New Roman" w:eastAsia="Times New Roman" w:hAnsi="Times New Roman"/>
          <w:sz w:val="18"/>
          <w:szCs w:val="18"/>
          <w:color w:val="auto"/>
        </w:rPr>
      </w:pPr>
    </w:p>
    <w:p>
      <w:pPr>
        <w:ind w:left="1380" w:right="280" w:hanging="360"/>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121" w:lineRule="exact"/>
        <w:rPr>
          <w:rFonts w:ascii="Times New Roman" w:cs="Times New Roman" w:eastAsia="Times New Roman" w:hAnsi="Times New Roman"/>
          <w:sz w:val="18"/>
          <w:szCs w:val="18"/>
          <w:color w:val="auto"/>
        </w:rPr>
      </w:pPr>
    </w:p>
    <w:p>
      <w:pPr>
        <w:ind w:left="1380" w:right="180" w:hanging="360"/>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dialysis equipment, and potential future products that compete with Tablo;</w:t>
      </w:r>
    </w:p>
    <w:p>
      <w:pPr>
        <w:spacing w:after="0" w:line="184" w:lineRule="exact"/>
        <w:rPr>
          <w:rFonts w:ascii="Times New Roman" w:cs="Times New Roman" w:eastAsia="Times New Roman" w:hAnsi="Times New Roman"/>
          <w:sz w:val="18"/>
          <w:szCs w:val="18"/>
          <w:color w:val="auto"/>
        </w:rPr>
      </w:pPr>
    </w:p>
    <w:p>
      <w:pPr>
        <w:ind w:left="1380" w:right="240" w:hanging="360"/>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Tablo or any enhancements to Tablo we develop, or changes made to competing products;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Tablo or products of our competitors or broader industry trends;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that COVID-19 may have on the number of patients treated;</w:t>
      </w:r>
    </w:p>
    <w:p>
      <w:pPr>
        <w:spacing w:after="0" w:line="184" w:lineRule="exact"/>
        <w:rPr>
          <w:rFonts w:ascii="Times New Roman" w:cs="Times New Roman" w:eastAsia="Times New Roman" w:hAnsi="Times New Roman"/>
          <w:sz w:val="18"/>
          <w:szCs w:val="18"/>
          <w:color w:val="auto"/>
        </w:rPr>
      </w:pPr>
    </w:p>
    <w:p>
      <w:pPr>
        <w:ind w:left="1380" w:right="240" w:hanging="360"/>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commercialization activities, acquisitions and other strategic transactions, or other significant events relating to Tablo, which may change from time to time;</w:t>
      </w:r>
    </w:p>
    <w:p>
      <w:pPr>
        <w:spacing w:after="0" w:line="121" w:lineRule="exact"/>
        <w:rPr>
          <w:rFonts w:ascii="Times New Roman" w:cs="Times New Roman" w:eastAsia="Times New Roman" w:hAnsi="Times New Roman"/>
          <w:sz w:val="18"/>
          <w:szCs w:val="18"/>
          <w:color w:val="auto"/>
        </w:rPr>
      </w:pPr>
    </w:p>
    <w:p>
      <w:pPr>
        <w:ind w:left="1380" w:right="100" w:hanging="360"/>
        <w:spacing w:after="0" w:line="28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and maintaining regulatory approvals or clearances for the current version of Tablo, as well as planned or future improvements or enhancements to Tablo;</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discounts for Tablo; and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85"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0"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0" w:name="page41"/>
    <w:bookmarkEnd w:id="40"/>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Amazon Web Services to support Tablo’s cloud connectivity and any disruption of service could interrupt or delay our ability to receive and deliver critical treatment and reporting information from and to providers and patients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currently use AWS to host our cloud-based ecosystem. We also use other cloud service providers in our operations. We do not have direct control over the operations of the facilities of AWS or of our other cloud service providers and these facilities are vulnerable to damage or interruption from earthquakes, hurricanes, floods, fires, cyber security attacks, terrorist attacks, power losses, telecommunications failures and similar events. The occurrence of a natural disaster or an act of terrorism, a decision by AWS or another cloud service provider to close the facilities without adequate notice, or other unanticipated problems could result in lengthy interruptions in, or curtailment of, Tablo’s functionality and our ability to provide software updates or analyze patient and machine data. The facilities also could be subject to break-ins, computer viruses, sabotage, intentional acts of vandalism and other misconduct. The continuing and uninterrupted performance of Tablo is critical to our success. Because our customer-facing software platform is used by providers to gain insight into treatment performance, it is critical that our customer facing software platform be accessible without interruption or degradation of performance or data. Providers and patients may become dissatisfied by any system failure that interrupts our ability to provide the full suite of Tablo capabilities to them. Outages could lead to the triggering of our service level agreements and the issuance of credits to our clients, in which case, we may not be fully indemnified for such losses pursuant to our agreement with AWS or our agreements with our other cloud service providers. We may not be able to easily switch our AWS operations to another cloud provider if there are sustained disruptions or interference with our use of AWS. Repeated or prolonged system failures may reduce the attractiveness of Tablo to providers and patients and result in a decreased demand for Tablo, thereby adversely affecting our business, financial condition and results of operations. Moreover, negative publicity arising from these types of disruptions could damage our reputation and may adversely impact use of Tablo.</w:t>
      </w:r>
    </w:p>
    <w:p>
      <w:pPr>
        <w:spacing w:after="0" w:line="19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AWS and our other cloud service providers are not obligated to renew its agreement with us on commercially reasonable terms, or at all. If we are unable to renew our agreements with AWS or our other cloud service providers on commercially reasonable terms, if our agreement with AWS or our other cloud service providers are prematurely terminated, or if in the future we add additional data providers, we may experience costs or downtime in connection with the transfer to, or the addition of, new providers. If these providers were to increase the cost of their services, we may have to increase the price of Tablo or take other measures to offset such cost increases, which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Tablo,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or malicious insiders,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or malfunction would disrupt our operations, including our ability to timely ship and track Tablo orders, project inventory requirements, ensure the integrity of our data analytics services, manage our supply chain and otherwise adequately service our customers or disrupt our customers’ ability use Tablo. In the event we experience significant disruptions, we may be unable to repair our data or systems in an efficient and timely manner. Accordingly, such events may disrupt or reduce the efficiency of our entire operation and have a material adverse effect on our business, financial condition and results of operations. Currently, we carry business interruption coverage to mitigate certain potential losses but this insurance is limited in amount, and we cannot be certain that such potential losses will not exceed our policy limits.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92" w:lineRule="exact"/>
        <w:rPr>
          <w:sz w:val="20"/>
          <w:szCs w:val="20"/>
          <w:color w:val="auto"/>
        </w:rPr>
      </w:pPr>
    </w:p>
    <w:p>
      <w:pPr>
        <w:jc w:val="both"/>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or halt the marketing and sale of Tablo. The expense and potential unavailability of insurance coverage for liabilities resulting from Tablo could harm us and our ability to sell Tablo</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Tablo. For example, we may be sued if Tablo or any of its component parts causes, or is perceived to cause, injury or is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For example, nurses, dialysis technicians, care partners and patients operate Tablo. If these nurses, dialysis technicians, care partners or patients are not properly trained, are negligent or use Tablo incorrectly, the capabilities of Tablo may be diminished or the patient may suffer critical injury. We may also be subject to claims that are caused by the activities of our suppliers, such as those who provide us with components and sub-assemblies, or manufacturers who produce Tablo consoles and cartridges.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Tablo. Even successful defense would require significant financial and management resources. Regardless of the merits or eventual outcome, liability claims may result in:</w:t>
      </w:r>
    </w:p>
    <w:p>
      <w:pPr>
        <w:spacing w:after="0" w:line="135" w:lineRule="exact"/>
        <w:rPr>
          <w:sz w:val="20"/>
          <w:szCs w:val="20"/>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Tablo;</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which could result in enforcement action against us or our contract manufacturers;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Tablo.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8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net losses for the next several years and we expect to require substantial additional capital beyond the proceeds from our recent IPO to finance our planned operations, which may include future equity and debt financings. This additional capital may not be available to us on acceptable terms or at all. Our failure to obtain additional financing when needed on acceptable terms, or at all, could force us to delay, limit, reduce or eliminate our commercialization, sales and marketing efforts, product development programs or other operations.</w:t>
      </w:r>
    </w:p>
    <w:p>
      <w:pPr>
        <w:spacing w:after="0" w:line="180"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Notwithstanding our recent IPO, we will require additional financing to fund working capital and pay our obligations. We may seek to raise any necessary additional capital through a combination of public or private equity offerings or debt financings. There can be no assurance, however,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warranty claims on our Tablo system.</w:t>
      </w:r>
    </w:p>
    <w:p>
      <w:pPr>
        <w:spacing w:after="0" w:line="22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We bear the risk of warranty claims on our Tablo system. We may not be successful in claiming recovery under any warranty or indemnity provided to us by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15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Expedited, reliable shipping and secure warehousing are essential to our operations. We rely heavily on providers of transport services for reliable and secure point-to-point transport of our Tablo system to our customers and for tracking of these shipments, and from time to time require warehousing for our products. Should a carrier encounter delivery performance issues such as loss, damage or destruction of any systems, it would be costly to replace such systems in a timely manner and such occurrences may damage our reputation and lead to decreased demand for our Tablo system and increased cost and expense to our business. In addition, any significant increase in shipping or warehousing rates could adversely affect our operating margins and results of operations. Similarly, strikes, severe weather, natural disasters or other service interruptions affecting delivery or warehousing services we use would adversely affect our ability to process orders for our Tablo system on a timely basis.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organizations could have a material adverse effect on our sales and profitability.</w:t>
      </w:r>
    </w:p>
    <w:p>
      <w:pPr>
        <w:spacing w:after="0" w:line="159"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Tablo, thereby reducing our revenue and margins.</w:t>
      </w:r>
    </w:p>
    <w:p>
      <w:pPr>
        <w:spacing w:after="0" w:line="187"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Tablo in a cost-effective manner, we may not be able to generate revenue growth</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We have limited experience marketing and selling Tablo. We currently rely on our direct sales force to sell Tablo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Tablo.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89"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to increase the number of clients and clinics that adopt Tablo. Identifying and recruiting qualified sales and marketing personnel and training them on Tablo,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Tablo.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Tablo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Tablo in a cost-effective manner is critical to achieving broad acceptance of Tablo.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Tablo. In addition, our services revenue is dependent in part on our field service engineers (FSEs).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15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licensing or partnership arrangements with third parties that we believe will compliment or augment our sales and marketing efforts with respect to Tablo. We may not be successful in our efforts to establish such collaborations for Tablo.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Tablo.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our sales and marketing efforts, which would harm our business prospects, financial condition and results of operations.</w:t>
      </w:r>
    </w:p>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While we currently do not market or sell Tablo outside of the United States, our future profitability may depend, in part, on our ability to sell Tablo in foreign markets. We are not permitted to market or promote Tablo before we receive regulatory approval from the applicable regulatory authority in that foreign market, and we may never receive such regulatory approval for Tablo. To obtain separate regulatory approvals in other countries we may be required to comply with numerous and varying regulatory requirements of such countries regarding the safety and efficacy of Tablo and governing, among other things, clinical trials and commercial sales, pricing and distribution of our product, and we cannot predict success in these jurisdictions. If we obtain approval of Tablo and sell Tablo in foreign markets, we would be subject to additional risks and uncertainties in those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2020, we had U.S. federal and state net operating loss (NOL) carryforwards of approximately $300.8 million and</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$326.4 million, respectively. If not utilized, our U.S. federal NOLs generated in taxable years beginning before 2018 will begin to expire in 2024 and our state NOLs in conforming states generated in taxable years beginning before 2018 will begin to expire in 2020. Deductibility of U.S. federal NOLs generated in taxable years beginning after 2017 and used in taxable years beginning after 2020 are limited to 80% of our taxable income before the deduction of such NOLs. As of September 30, 2020, we also had U.S. federal and state research and development credits of approximately $5.6 million and $4.1 million, respectively. Our U.S. federal research and development credits begin to expire in 2030. State research and development credits do not expire.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net operating losses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Similar rules may apply under state tax laws. In addition, our ability to deduct net interest expense may be limited if we have insufficient taxable income for the year during which the interest is incurred, and any future carryovers of such disallowed interest would be subject to the limitation rules similar to those applicable to NOLs and other attributes. Future changes in our stock ownership, some of which might be beyond our control, could result in an ownership change under Section 382 of the Code. For these reasons, in the event we experience a change of control, we may not be able to utilize a material portion of the existing NOLs, research and development credit carryforwards or future disallowed interest expense carryovers, even if we attain profitability. Any limitation on using NOLs could adversely impact operating results and result in our retaining less cash after payment of U.S. federal and state income taxes.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entered into a senior secured term loan facility with Silicon Valley Bank (SVB) in July 2020 (the SVB Loan and Security Agreement) which provides for a $30.0 million term loan (the SVB Term Loan). The loan is secured by substantially all of our assets, including all of the capital stock held by us, if any, (subject to a 65% limitation on pledges of capital stock of foreign subsidiaries), subject to certain exceptions (including an exception regarding intellectual property). The SVB Loan and Security Agreement contains a number of restrictive covenants, and the terms may restrict our current and future operations, particularly our ability to respond to certain changes in our business or industry, or take future actions. See Note 7 to our unaudited interim condensed financial statements included elsewhere in this Quarterly Report on Form 10-Q for more information.</w:t>
      </w:r>
    </w:p>
    <w:p>
      <w:pPr>
        <w:spacing w:after="0" w:line="18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SVB Loan and Security Agreement contains customary representations and warranties and affirmative covenants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SVB Loan and Security Agreement does not include any financial covenants but does require us to maintain cash collateral in a deposit account at SVB in an amount equal to or greater than the outstanding principal balance of the SVB Term Loan. The SVB Loan and Security Agreement also contains customary events of default. If we fail to comply with such covenants, payments or other terms of the SVB Loan and Security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SVB Loan and Security Agreement. If the debt under SVB Loan and Security Agreement was accelerated, we may not have sufficient cash or be able to sell sufficient assets to repay this debt, which would harm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post-market surveillance order issued by the FDA for our Tablo System. If the FDA determines that our Tablo System does not perform as anticipated in the home use setting, or if the FDA identifies new concerns related to the safety and effectiveness of the device, we may need to make changes to or recall or withdraw the Tablo System from the field, which could harm our business.</w:t>
      </w:r>
    </w:p>
    <w:p>
      <w:pPr>
        <w:spacing w:after="0" w:line="17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FDA recently notified us that the Tablo System is subject to a mandatory post-market surveillance order under Section 522 of the Federal Food Drug and Cosmetic Act (FDCA). Section 522 of the FDCA authorizes the FDA to require a manufacturer to conduct post-market surveillance for devices that meet certain criteria. Relevant here, the FDA determined that the Tablo is a device where its failure would be reasonably likely to have serious adverse health consequences, and that it is intended to be a life-sustaining or life-supporting device used outside a device user facility.</w:t>
      </w:r>
    </w:p>
    <w:p>
      <w:pPr>
        <w:spacing w:after="0" w:line="180"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7"/>
          <w:szCs w:val="17"/>
          <w:color w:val="auto"/>
        </w:rPr>
        <w:t>The FDA issued this 522 order to address (i) whether there are use-related safety concerns when the Tablo System is used by the new user population in the home environment unsupervised by a trained healthcare professional; (ii) whether the safety profile in this new user population and home environment requires Outset Medical to provide changes to the device design, labeling, and/or training and, if so, what labeling and training are necessary to support user understanding and adherence to minimize use-related safety concerns, adverse events, or complaints when the Tablo System is used at home; and (iii) what adverse events and complaints are observed when the Tablo System is used at home unsupervised by a trained healthcare professional.</w:t>
      </w:r>
    </w:p>
    <w:p>
      <w:pPr>
        <w:spacing w:after="0" w:line="168"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To address these issues, the FDA has required that we conduct a human factors study, as well as conduct a detailed analysis of adverse events and complaints from home users. With respect to the post-market surveillance issues, the FDA has ordered collection of prospective data on use in the home environment to assess adverse events and human factors.</w:t>
      </w:r>
    </w:p>
    <w:p>
      <w:pPr>
        <w:spacing w:after="0" w:line="176"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In response to the 522 order, we have submitted a simulated human factors test protocol to the agency. We had previously committed to FDA to conduct this study as a validation activity while the Tablo 510(k) was under review by FDA. The study was designed in accordance with FDA human factors guidance. By the time that the 522 order was issued, we had already begun and completed a substantial portion of this simulated use human factors validation testing. Because the study design also is consistent with the types of postmarket surveillance that can be used to respond to a 522 order per FDA’s 522 guidance, we believe that the existing study sufficiently addresses FDA’s 522 order, though we continue to discuss certain parameters of the study with the FDA, including potential post-market evaluation of the device in actual use in the home environment. Study enrollment was halted due to the COVID-19 pandemic and regional shelter-in-place orders. Once we are able to complete our study, a final report will be provided to the FDA. Should the FDA decide that use of the Tablo System in the home environment identifies new concerns related to the safety and effectiveness of the product, or if the FDA determines that the requirements of the 522 order are otherwise unmet, we may be required to make changes to our Tablo System for which we may need to submit new marketing authorization applications and obtain clearance, we may need to withdraw or recall the Tablo System from the market, and may be subject to other enforcement action, which could harm our business.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the reimbursement rates for dialysis treatments and measures to reduce healthcare costs may adversely impact our business.</w:t>
      </w:r>
    </w:p>
    <w:p>
      <w:pPr>
        <w:spacing w:after="0" w:line="22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Our customers depend upon reimbursement by government and commercial insurance payors for dialysis services using our products. With a vast majority of U.S. patients with ESRD, covered by Medicare, the Medicare reimbursement rate is an important factor in a customer’s decision to use the Tablo and limits the prices we may charge for our products. For patients with Medicare coverage, all payments for renal dialysis services are currently made under a single bundled payment rate which provides a fixed payment rate to encompass virtually all goods and services provided during the dialysis treatment. The bundled payment rate is also adjusted for certain patient characteristics, a geographic wage index, and other factors. The ESRD prospective payment system is subject to rebasing, which can have a positive financial effect, or a negative one if the government fails to rebase in a manner that adequately addresses the costs borne by dialysis facilities.</w:t>
      </w:r>
    </w:p>
    <w:p>
      <w:pPr>
        <w:spacing w:after="0" w:line="18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Current Centers for Medicare and Medicaid Services (CMS) rules limit the number of hemodialysis treatments paid for by Medicare Part B to three times a week, unless there is medical justification provided by the dialysis facility based on information from the patient’s physician for additional treatments. To the extent that over three treatments per week are prescribed for Tablo patients and Medicare contractors determine they will not pay for additional treatments, adoption of the Tablo System could be impaired.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and if greater than three, the level of confidence the center has in the predictability of receiving reimbursement from Medicare for additional treatments per week based on submitted claims for medical justification.</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Although most ESRD patients are currently covered by traditional Medicare, beginning January 1, 2021, when changes from the 21st Century Cures Act enter into effect, more dialysis patients will be eligible to enroll in Medicare Advantage managed care plans. While Medicare Advantage plans must provide at least the same level of coverage for Medicare beneficiaries as traditional Medicare, reimbursement to dialysis facilities will depend on each Medicare Advantage plan’s contracts and network agreements with each dialysis facility. There is uncertainty as to how many or which newly eligible ESRD patients will seek to enroll in Medicare Advantage plans and how quickly enrollment would occur, and whether coverage and reimbursement is more favorable than Medicare Part B will vary by plan.</w:t>
      </w:r>
    </w:p>
    <w:p>
      <w:pPr>
        <w:spacing w:after="0" w:line="187"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Many ESRD patients have Medicaid coverage that is supplemental to Medicare coverage, and some ESRD patients may have Medicaid as their primary coverage. Because Medicaid is a state-administered program, Medicaid reimbursement for dialysis services varies by state. Changes in state Medicaid or other non-Medicare government-based programs or payment rates could have an adverse effect on our customers’ business.</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Finally, some patients may have coverage through private insurance, for example through a marketplace plan set up under the Affordable Care Act or through an employer or union group health plan. Private insurance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 for dialysis services.</w:t>
      </w:r>
    </w:p>
    <w:p>
      <w:pPr>
        <w:spacing w:after="0" w:line="180"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Any reduction in reimbursement rates for dialysis treatments may adversely affect our customers’ businesses and cause them to enact cost reduction measures that may include reducing the scope of their home hemodialysis programs, which could result in a reduced demand for our product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Tablo</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Tablo.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Tablo. The cost containment measures that payors and providers are instituting and the effect of any healthcare reform initiative implemented in the future could impact our revenue from the sale of Tablo.</w:t>
      </w:r>
    </w:p>
    <w:p>
      <w:pPr>
        <w:spacing w:after="0" w:line="187"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By way of example, in the United States, the Affordable Care Act substantially changed the way healthcare is financed by both governmental and private insurers, and significantly impacts our industry. The Affordable Care Act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46" w:name="page47"/>
    <w:bookmarkEnd w:id="46"/>
    <w:p>
      <w:pPr>
        <w:ind w:right="20" w:firstLine="510"/>
        <w:spacing w:after="0" w:line="269" w:lineRule="auto"/>
        <w:rPr>
          <w:sz w:val="20"/>
          <w:szCs w:val="20"/>
          <w:color w:val="auto"/>
        </w:rPr>
      </w:pPr>
      <w:r>
        <w:rPr>
          <w:rFonts w:ascii="Times New Roman" w:cs="Times New Roman" w:eastAsia="Times New Roman" w:hAnsi="Times New Roman"/>
          <w:sz w:val="17"/>
          <w:szCs w:val="17"/>
          <w:color w:val="auto"/>
        </w:rPr>
        <w:t>There have been judicial challenges to certain aspects of the Affordable Care Act, as well as efforts by the Trump administration and Congress to repeal or replace or alter the implementation of certain aspects of the Affordable Care Act. For example, Congress eliminated the tax penalty, starting January 1, 2019, for not complying with the Affordable Care Act’s individual mandate to carry health insurance. The Further Consolidated Appropriations Act of 2020, Pub. L. No. 116-94, signed into law December 20, 2019, fully repealed the Affordable Care Act’s “Cadillac Tax” on certain high cost employer-sponsored insurance plans, the annual fee imposed on certain health insurance providers based on market share (repeal effective in 2021), and the medical device excise tax on non-exempt medical devices. On December 14, 2018, a Texas U.S. District Court Judge invalidated the Affordable Care Act in its entirety because he concluded that the individual mandate, for which Congress eliminated the accompanying tax penalty as part of the Tax Cuts and Jobs Act of 2017, is unconstitutional and cannot be severed from the remainder of the Affordable Care Act. The Fifth Circuit Court of Appeals affirmed the district court’s ruling that the individual mandate was unconstitutional, but it remanded the case back to the district court for further analysis of whether the mandate could be severed from the Affordable Care Act (i.e., whether the entire Affordable Care Act was therefore also invalid). The Supreme Court of the United States granted certiorari on March 2, 2020, and the case is expected to be decided by mid-2021. It is unclear how this decision, and other efforts to challenge, repeal, or replace, or alter the implementation of the Affordable Care Act will affect our business, financial condition and results of operations.</w:t>
      </w:r>
    </w:p>
    <w:p>
      <w:pPr>
        <w:spacing w:after="0" w:line="17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For example, the Budget Control Act of 2011, among other things, included reductions to Medicare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87"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Moreover, other legislative and executive actions have encouraged the development of new payment and care models for ESRD patients. For example, in 2017, legislation was introduced to establish a demonstration project for integrated care for Medicare beneficiaries with ESRD. Further, an executive order signed in July 2019 directed the Secretary of HHS to develop, among other things, Medicare payment models designed to identify and treat at-risk populations earlier in disease development, and in connection with the executive order, HHS announced a goal of having 80% of new ESRD patients in 2025 either receive dialysis at home or receive a transplant. CMS subsequently published a final rule on September 29, 2020 to implement the End-Stage Renal Disease Treatment Choices (ETC) Model. The ETC Model is a mandatory payment model that will adjust certain Medicare payments to selected ESRD facilities, nephrologists, and other clinicians managing beneficiaries with ESRD starting January 1, 2021 and continuing through June 30, 2027. Specifically, the ETC Model will adjust ESRD facilities’ treatment base rates under the ESRD Prospective Payment System and managing clinicians’ monthly Medicare capitation payments to incentivize greater use of home dialysis and kidney transplants. CMS is also preparing to implement the Kidney Care Choices Model, a voluntary Medicare payment model with four distinct payment options designed to help providers reduce costs and improve quality of care for patients with late-stage chronic kidney disease and ESRD, to delay the need for dialysis, and to encourage kidney transplantation.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issuance of the executive order and the ETC Model final rule, a failure to implement our expansion into home dialysis could have a material adverse impact on our business.</w:t>
      </w:r>
    </w:p>
    <w:p>
      <w:pPr>
        <w:spacing w:after="0" w:line="196"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may harm:</w:t>
      </w:r>
    </w:p>
    <w:p>
      <w:pPr>
        <w:spacing w:after="0" w:line="121" w:lineRule="exact"/>
        <w:rPr>
          <w:sz w:val="20"/>
          <w:szCs w:val="20"/>
          <w:color w:val="auto"/>
        </w:rPr>
      </w:pPr>
    </w:p>
    <w:p>
      <w:pPr>
        <w:ind w:left="1380" w:hanging="36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Tablo;</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current (or any future) presidential administration and Congress may continue to pursue significant changes to the current healthcare laws. We cannot predict what other healthcare programs and regulations will ultimately be implemented at the federal or state level or the effect of any future legislation or regulation in the United States on our business, financial condition and results of operations. Future changes in healthcare policy could increase our costs and subject us to additional regulatory requirements that may interrupt commercialization of our current and future solutions, decrease our revenue and impact sales of and pricing for our current and future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anti-kickback, fraud and abuse, false claims, transparency, and other healthcare laws and regulations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dialysis providers, hospitals, physicians or other potential purchasers or users, including patients, of medical devices and services. They also impose additional administrative and compliance burdens on us. In particular, these laws influence, among other things, how we structure our sales and rental offerings, including discount practices, customer support, education and training programs and physician consulting and other service arrangements. These laws include but are not limited to:</w:t>
      </w:r>
    </w:p>
    <w:p>
      <w:pPr>
        <w:spacing w:after="0" w:line="147" w:lineRule="exact"/>
        <w:rPr>
          <w:sz w:val="20"/>
          <w:szCs w:val="20"/>
          <w:color w:val="auto"/>
        </w:rPr>
      </w:pPr>
    </w:p>
    <w:p>
      <w:pPr>
        <w:ind w:left="1380" w:hanging="360"/>
        <w:spacing w:after="0" w:line="256"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146" w:lineRule="exact"/>
        <w:rPr>
          <w:rFonts w:ascii="Times New Roman" w:cs="Times New Roman" w:eastAsia="Times New Roman" w:hAnsi="Times New Roman"/>
          <w:sz w:val="18"/>
          <w:szCs w:val="18"/>
          <w:color w:val="auto"/>
        </w:rPr>
      </w:pPr>
    </w:p>
    <w:p>
      <w:pPr>
        <w:ind w:left="1380" w:right="40" w:hanging="360"/>
        <w:spacing w:after="0" w:line="255"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laws, including the civil False Claims Act (FCA), which can be enforced by the U.S. Department of Justice or through “qui tam,” whistleblower actions, which are filed by private citizens on behalf of the federal government. The FCA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federal FCA;</w:t>
      </w:r>
    </w:p>
    <w:p>
      <w:pPr>
        <w:spacing w:after="0" w:line="148" w:lineRule="exact"/>
        <w:rPr>
          <w:rFonts w:ascii="Times New Roman" w:cs="Times New Roman" w:eastAsia="Times New Roman" w:hAnsi="Times New Roman"/>
          <w:sz w:val="18"/>
          <w:szCs w:val="18"/>
          <w:color w:val="auto"/>
        </w:rPr>
      </w:pPr>
    </w:p>
    <w:p>
      <w:pPr>
        <w:ind w:left="1380" w:right="120" w:hanging="360"/>
        <w:spacing w:after="0" w:line="256"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healthcare statutes that were added by HIPAA, which impose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46" w:lineRule="exact"/>
        <w:rPr>
          <w:rFonts w:ascii="Times New Roman" w:cs="Times New Roman" w:eastAsia="Times New Roman" w:hAnsi="Times New Roman"/>
          <w:sz w:val="18"/>
          <w:szCs w:val="18"/>
          <w:color w:val="auto"/>
        </w:rPr>
      </w:pPr>
    </w:p>
    <w:p>
      <w:pPr>
        <w:ind w:left="1380" w:hanging="360"/>
        <w:spacing w:after="0" w:line="256"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and teaching hospitals, and for reporting beginning January 1, 2022, to physician assistants, nurse practitioners, clinical nurse specialists, certified nurse anesthetists, and certified nurse-midwives, as well as ownership and investment interests held by physicians and their immediate family members; and</w:t>
      </w:r>
    </w:p>
    <w:p>
      <w:pPr>
        <w:spacing w:after="0" w:line="146" w:lineRule="exact"/>
        <w:rPr>
          <w:rFonts w:ascii="Times New Roman" w:cs="Times New Roman" w:eastAsia="Times New Roman" w:hAnsi="Times New Roman"/>
          <w:sz w:val="18"/>
          <w:szCs w:val="18"/>
          <w:color w:val="auto"/>
        </w:rPr>
      </w:pPr>
    </w:p>
    <w:p>
      <w:pPr>
        <w:ind w:left="1380" w:right="200" w:hanging="360"/>
        <w:spacing w:after="0" w:line="255"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including state anti-kickback and false claims laws, that may apply to our business practices, including but not limited to, research, sales and marketing arrangements and claims involving healthcare items or services reimbursed by any third-party payor, including private insurers; state laws that require medical device companies to comply with the medical device industry’s voluntary compliance guidelines and the relevant compliance guidance promulgated by the U.S. federal government, or otherwise restrict payments that may be made to healthcare providers and other potential referral sources; and state laws and regulations that require drug and device manufacturers to file reports relating to pricing and marketing information, which requires tracking gifts and other remuneration and items of value provided to healthcare professionals and entities.</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additional oversight and reporting requirements and the curtailment or restructuring of our operations. Moreover, any investigation into our practices could cause adverse publicity and require a costly and time-consuming response.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8" w:name="page49"/>
    <w:bookmarkEnd w:id="48"/>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Tablo and our operations are subject to extensive government regulation and oversight in the United States. If we fail to obtain or maintain necessary regulatory approvals for Tablo and related products, or if approvals or clearances for future products are delayed or not issued, it will negatively affect our business, financial condition and results of operations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Tablo is a medical device subject to extensive regulation in the United States and elsewhere, including by the FDA and its foreign counterparts.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regulations specific to medical devices are wide ranging and govern, among other things:</w:t>
      </w:r>
    </w:p>
    <w:p>
      <w:pPr>
        <w:spacing w:after="0" w:line="166" w:lineRule="exact"/>
        <w:rPr>
          <w:sz w:val="20"/>
          <w:szCs w:val="20"/>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release;</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83"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premarket approval (PMA). Some pre-amendment devices are unclassified, but are subject to FDA’s premarket notification and clearance process in order to be commercially distributed. Our currently marketed product is a Class II device subject to 510(k) clearance.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Before a new medical device, or a new intended use of, claim for, or significant modification to an existing device, can be marketed in the United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a company must first submit an application for and receive either 510(k) clearance pursuant to a premarket notification submitted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510(k) of the FDCA, de-novo classification, or PMA from the FDA, unless an exemption applies. Most Class I devices and some Class II devices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exempt from these premarket review requirements. In the 510(k) clearance process, before a device may be marketed, the FDA must determine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device is substantially equivalent to a legally-marketed predicate device, which includes a device that has been previously cleared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process, a device that was legally marketed prior to May 28, 1976 (pre-amendments device), a device that was originally on the U.S.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 approved PMA and later down-classified, or a 510(k)-exempt device. To be substantially equivalent, the proposed device must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intended use as the predicate device, and either have the same technological characteristics as the predicate device or have different technological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characteristics and not raise different questions of safety or effectiveness than the predicate device. Clinical data are sometimes required to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equivalence.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9" w:name="page50"/>
    <w:bookmarkEnd w:id="49"/>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In the process of obtaining PMA, the FDA must determine that a proposed device is safe and effective for its intended use based, in part, on extensive data, including, but not limited to, technical, clinical trial, manufacturing and labeling data.</w:t>
      </w:r>
    </w:p>
    <w:p>
      <w:pPr>
        <w:spacing w:after="0" w:line="16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87" w:lineRule="exact"/>
        <w:rPr>
          <w:sz w:val="20"/>
          <w:szCs w:val="20"/>
          <w:color w:val="auto"/>
        </w:rPr>
      </w:pPr>
    </w:p>
    <w:p>
      <w:pPr>
        <w:ind w:right="100" w:firstLine="510"/>
        <w:spacing w:after="0" w:line="312" w:lineRule="auto"/>
        <w:rPr>
          <w:sz w:val="20"/>
          <w:szCs w:val="20"/>
          <w:color w:val="auto"/>
        </w:rPr>
      </w:pPr>
      <w:r>
        <w:rPr>
          <w:rFonts w:ascii="Times New Roman" w:cs="Times New Roman" w:eastAsia="Times New Roman" w:hAnsi="Times New Roman"/>
          <w:sz w:val="17"/>
          <w:szCs w:val="17"/>
          <w:color w:val="auto"/>
        </w:rPr>
        <w:t>We have obtained 510(k) clearances to market Tablo for use in patients with acute and/or chronic renal failure, with or without ultrafiltration, in the settings of an acute or chronic care facility and the home. However, Tablo is not cleared by FDA for Continuous Renal Replacement Therapy (CRRT).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FDA or other regulators can delay, limit, or deny clearance or approval of a device for many reasons, including:</w:t>
      </w:r>
    </w:p>
    <w:p>
      <w:pPr>
        <w:spacing w:after="0" w:line="185" w:lineRule="exact"/>
        <w:rPr>
          <w:sz w:val="20"/>
          <w:szCs w:val="20"/>
          <w:color w:val="auto"/>
        </w:rPr>
      </w:pPr>
    </w:p>
    <w:p>
      <w:pPr>
        <w:ind w:left="1380" w:right="120" w:hanging="360"/>
        <w:spacing w:after="0" w:line="266"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the Tablo System, or any other future device, and any accessories are substantially equivalent to a legally marketed predicate device or safe or effective for their proposed intended uses;</w:t>
      </w:r>
    </w:p>
    <w:p>
      <w:pPr>
        <w:spacing w:after="0" w:line="135" w:lineRule="exact"/>
        <w:rPr>
          <w:rFonts w:ascii="Times New Roman" w:cs="Times New Roman" w:eastAsia="Times New Roman" w:hAnsi="Times New Roman"/>
          <w:sz w:val="18"/>
          <w:szCs w:val="18"/>
          <w:color w:val="auto"/>
        </w:rPr>
      </w:pPr>
    </w:p>
    <w:p>
      <w:pPr>
        <w:ind w:left="1380" w:hanging="360"/>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any clinical trials or the interpretation of data from preclinical studies or clinical trials;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the data from preclinical studies or clinical trials to support clearance or approval, where required;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manufacturing process or facilities to meet applicable requirements; and</w:t>
      </w:r>
    </w:p>
    <w:p>
      <w:pPr>
        <w:spacing w:after="0" w:line="184" w:lineRule="exact"/>
        <w:rPr>
          <w:rFonts w:ascii="Times New Roman" w:cs="Times New Roman" w:eastAsia="Times New Roman" w:hAnsi="Times New Roman"/>
          <w:sz w:val="18"/>
          <w:szCs w:val="18"/>
          <w:color w:val="auto"/>
        </w:rPr>
      </w:pPr>
    </w:p>
    <w:p>
      <w:pPr>
        <w:ind w:left="1380" w:right="80" w:hanging="360"/>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21"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156" w:lineRule="exact"/>
        <w:rPr>
          <w:sz w:val="20"/>
          <w:szCs w:val="20"/>
          <w:color w:val="auto"/>
        </w:rPr>
      </w:pPr>
    </w:p>
    <w:p>
      <w:pPr>
        <w:ind w:left="1380" w:right="560" w:hanging="360"/>
        <w:spacing w:after="0" w:line="282"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it has come to our attention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Tablo;</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0" w:name="page51"/>
    <w:bookmarkEnd w:id="50"/>
    <w:p>
      <w:pPr>
        <w:ind w:left="1380" w:right="380" w:hanging="360"/>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PMA of new products or services, new intended uses or modifications to existing products or services;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PMAs that have already been granted; or</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any of these events were to occur, it will negatively affect our business, financial condition and results of operations.</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of our future products on a timely basis, if at all, and failure to obtain necessary clearances or approvals for our future products would adversely affect our ability to grow our business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product offerings that address limitations of current dialysis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any new product offering or enhancement to an existing product will depend on a number of factors, including our ability to, among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166" w:lineRule="exact"/>
        <w:rPr>
          <w:sz w:val="20"/>
          <w:szCs w:val="20"/>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 parties;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clinical studies;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products or product enhancements;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the FDA and foreign regulations on marketing of new products or modified products; and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Tablo.</w:t>
      </w:r>
    </w:p>
    <w:p>
      <w:pPr>
        <w:spacing w:after="0" w:line="185"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162"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of new products. Failure to receive clearance or approval for our new products would have an adverse effect on our ability to expand our business.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products may require new 510(k) clearances or PMAs, or may require us to cease marketing or recall the modified products until clearances or approvals are obtained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Modifications to Tablo and associated consumables may require new regulatory approvals or clearances, including 510(k) clearances or PMAs,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Tablo in the past and may make additional modifications in the future that we believe do not or will not require additional clearances or approvals. If the FDA disagrees and requires new clearances or approvals for the modifications, we may be required to recall and to stop marketing Tablo as modified, which could require us to redesign Tablo and/or seek new marketing authorizations and harm our operating results. In these circumstances, we may be subject to significant enforcement actions.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1" w:name="page52"/>
    <w:bookmarkEnd w:id="51"/>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effectiveness, or would constitute a major change in its intended use, then the manufacturer must file for a new 510(k) clearance or possibly a PMA application. Where we determine that modifications to Tablo require a new 510(k) clearance or PMA application,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51" w:lineRule="exact"/>
        <w:rPr>
          <w:sz w:val="20"/>
          <w:szCs w:val="20"/>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of new products or modified products;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PMAs that have already been granted;</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76"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For example, the FDA recently issued to us a post-market surveillance order under Section 522 of the FDCA which requires that we conduct a human factors study, as well as conduct a detailed analysis of adverse events and complaints from home users.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8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and state regulations, and we could be forced to recall our devices or terminate production if we fail to comply with these regulations.</w:t>
      </w:r>
    </w:p>
    <w:p>
      <w:pPr>
        <w:spacing w:after="0" w:line="15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such as the Tablo, may in the future be subject to product recalls that could harm our reputation, business and financial results.</w:t>
      </w:r>
    </w:p>
    <w:p>
      <w:pPr>
        <w:spacing w:after="0" w:line="22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Tablo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regulatory or enforcement actions if we engage in improper marketing or promotion of Tablo.</w:t>
      </w:r>
    </w:p>
    <w:p>
      <w:pPr>
        <w:spacing w:after="0" w:line="22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Tablo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w:t>
      </w:r>
    </w:p>
    <w:p>
      <w:pPr>
        <w:spacing w:after="0" w:line="18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Tablo, the FDA or another regulatory agency could disagree and conclude that we have engaged in off-label promotion. It is also possible that other federal, state or foreign enforcement authorities might take action, including, but not limited to, through a whistleblower action under the federal civil False Claims Act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In addition, the off-label use of Tablo may increase the risk of product liability claims. Product liability claims are expensive to defend and could divert our management’s attention, result in substantial damage awards against us, and harm our reputation.</w:t>
      </w:r>
    </w:p>
    <w:p>
      <w:pPr>
        <w:spacing w:after="0" w:line="1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87"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4" w:name="page55"/>
    <w:bookmarkEnd w:id="54"/>
    <w:p>
      <w:pPr>
        <w:ind w:right="220"/>
        <w:spacing w:after="0" w:line="277" w:lineRule="auto"/>
        <w:rPr>
          <w:sz w:val="20"/>
          <w:szCs w:val="20"/>
          <w:color w:val="auto"/>
        </w:rPr>
      </w:pPr>
      <w:r>
        <w:rPr>
          <w:rFonts w:ascii="Times New Roman" w:cs="Times New Roman" w:eastAsia="Times New Roman" w:hAnsi="Times New Roman"/>
          <w:sz w:val="17"/>
          <w:szCs w:val="17"/>
          <w:color w:val="auto"/>
        </w:rPr>
        <w:t>510(k) clearance pathway, and to potentially publish a list of devices that have been cleared on the basis of demonstrated substantial equivalence to predicate devices that are more than 10 years old. The FDA also announced that it intended to finalize guidance to establish a premarket review pathway for “manufacturers of certain well-understood device types” as an alternative to the 510(k) clearance pathway and that such premarket review pathway would allow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w:t>
      </w:r>
    </w:p>
    <w:p>
      <w:pPr>
        <w:spacing w:after="0" w:line="16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May 2019, the FDA solicited public feedback on its plans to develop proposals to drive manufacturers utilizing the 510(k) pathway toward the use of newer predicates, including whether the FDA should publish a list of devices that have been cleared on the basis of demonstrated substantial equivalence to predicate devices that are more than 10 years old.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2"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More recently, in September 2019, the FDA finalized the aforementioned guidance to describe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obviating the need for manufacturers to compare the safety and performance of their medical devices to specific predicate devices in the clearance process. The FDA intends to maintain a list of device types appropriate for the “safety and performance based pathway” and develop product-specific guidance documents that identify the performance criteria for each such device type, as well as the testing methods recommended in the guidances,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8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8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executive actions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w:t>
      </w:r>
    </w:p>
    <w:p>
      <w:pPr>
        <w:spacing w:after="0" w:line="188" w:lineRule="exact"/>
        <w:rPr>
          <w:sz w:val="20"/>
          <w:szCs w:val="20"/>
          <w:color w:val="auto"/>
        </w:rPr>
      </w:pPr>
    </w:p>
    <w:p>
      <w:pPr>
        <w:ind w:right="60" w:firstLine="510"/>
        <w:spacing w:after="0" w:line="277" w:lineRule="auto"/>
        <w:rPr>
          <w:sz w:val="20"/>
          <w:szCs w:val="20"/>
          <w:color w:val="auto"/>
        </w:rPr>
      </w:pPr>
      <w:r>
        <w:rPr>
          <w:rFonts w:ascii="Times New Roman" w:cs="Times New Roman" w:eastAsia="Times New Roman" w:hAnsi="Times New Roman"/>
          <w:sz w:val="17"/>
          <w:szCs w:val="17"/>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80"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9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35" w:lineRule="exact"/>
        <w:rPr>
          <w:sz w:val="20"/>
          <w:szCs w:val="20"/>
          <w:color w:val="auto"/>
        </w:rPr>
      </w:pPr>
    </w:p>
    <w:p>
      <w:pPr>
        <w:ind w:left="1380" w:right="60" w:hanging="360"/>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IDE application to the FDA, which must become effective prior to commencing certain human clinical trials of medical devices, and the FDA may reject our IDE application and notify us that we may not begin clinical trials;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184" w:lineRule="exact"/>
        <w:rPr>
          <w:rFonts w:ascii="Times New Roman" w:cs="Times New Roman" w:eastAsia="Times New Roman" w:hAnsi="Times New Roman"/>
          <w:sz w:val="18"/>
          <w:szCs w:val="18"/>
          <w:color w:val="auto"/>
        </w:rPr>
      </w:pPr>
    </w:p>
    <w:p>
      <w:pPr>
        <w:ind w:left="1380" w:right="20" w:hanging="360"/>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and/or an Institutional Review Board (IRB), or other reviewing bodies may not authorize us or our investigators to commence a clinical trial, or to conduct or continue a clinical trial at a prospective or specific trial site;</w:t>
      </w:r>
    </w:p>
    <w:p>
      <w:pPr>
        <w:spacing w:after="0" w:line="121" w:lineRule="exact"/>
        <w:rPr>
          <w:rFonts w:ascii="Times New Roman" w:cs="Times New Roman" w:eastAsia="Times New Roman" w:hAnsi="Times New Roman"/>
          <w:sz w:val="18"/>
          <w:szCs w:val="18"/>
          <w:color w:val="auto"/>
        </w:rPr>
      </w:pPr>
    </w:p>
    <w:p>
      <w:pPr>
        <w:ind w:left="1380" w:right="140" w:hanging="360"/>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21" w:lineRule="exact"/>
        <w:rPr>
          <w:rFonts w:ascii="Times New Roman" w:cs="Times New Roman" w:eastAsia="Times New Roman" w:hAnsi="Times New Roman"/>
          <w:sz w:val="18"/>
          <w:szCs w:val="18"/>
          <w:color w:val="auto"/>
        </w:rPr>
      </w:pPr>
    </w:p>
    <w:p>
      <w:pPr>
        <w:ind w:left="1380" w:right="420" w:hanging="360"/>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may require us, to conduct additional clinical trials or abandon product development programs;</w:t>
      </w:r>
    </w:p>
    <w:p>
      <w:pPr>
        <w:spacing w:after="0" w:line="121" w:lineRule="exact"/>
        <w:rPr>
          <w:rFonts w:ascii="Times New Roman" w:cs="Times New Roman" w:eastAsia="Times New Roman" w:hAnsi="Times New Roman"/>
          <w:sz w:val="18"/>
          <w:szCs w:val="18"/>
          <w:color w:val="auto"/>
        </w:rPr>
      </w:pPr>
    </w:p>
    <w:p>
      <w:pPr>
        <w:jc w:val="both"/>
        <w:ind w:left="1380" w:right="140" w:hanging="360"/>
        <w:spacing w:after="0" w:line="289" w:lineRule="auto"/>
        <w:tabs>
          <w:tab w:leader="none" w:pos="1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17" w:lineRule="exact"/>
        <w:rPr>
          <w:rFonts w:ascii="Times New Roman" w:cs="Times New Roman" w:eastAsia="Times New Roman" w:hAnsi="Times New Roman"/>
          <w:sz w:val="17"/>
          <w:szCs w:val="17"/>
          <w:color w:val="auto"/>
        </w:rPr>
      </w:pPr>
    </w:p>
    <w:p>
      <w:pPr>
        <w:ind w:left="1380" w:right="160" w:hanging="360"/>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21" w:lineRule="exact"/>
        <w:rPr>
          <w:rFonts w:ascii="Times New Roman" w:cs="Times New Roman" w:eastAsia="Times New Roman" w:hAnsi="Times New Roman"/>
          <w:sz w:val="18"/>
          <w:szCs w:val="18"/>
          <w:color w:val="auto"/>
        </w:rPr>
      </w:pPr>
    </w:p>
    <w:p>
      <w:pPr>
        <w:ind w:left="1380" w:right="480" w:hanging="360"/>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121" w:lineRule="exact"/>
        <w:rPr>
          <w:rFonts w:ascii="Times New Roman" w:cs="Times New Roman" w:eastAsia="Times New Roman" w:hAnsi="Times New Roman"/>
          <w:sz w:val="18"/>
          <w:szCs w:val="18"/>
          <w:color w:val="auto"/>
        </w:rPr>
      </w:pPr>
    </w:p>
    <w:p>
      <w:pPr>
        <w:ind w:left="1380" w:right="260" w:hanging="360"/>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121" w:lineRule="exact"/>
        <w:rPr>
          <w:rFonts w:ascii="Times New Roman" w:cs="Times New Roman" w:eastAsia="Times New Roman" w:hAnsi="Times New Roman"/>
          <w:sz w:val="18"/>
          <w:szCs w:val="18"/>
          <w:color w:val="auto"/>
        </w:rPr>
      </w:pPr>
    </w:p>
    <w:p>
      <w:pPr>
        <w:ind w:left="1380" w:right="460" w:hanging="360"/>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ind w:left="1380" w:hanging="360"/>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184" w:lineRule="exact"/>
        <w:rPr>
          <w:rFonts w:ascii="Times New Roman" w:cs="Times New Roman" w:eastAsia="Times New Roman" w:hAnsi="Times New Roman"/>
          <w:sz w:val="18"/>
          <w:szCs w:val="18"/>
          <w:color w:val="auto"/>
        </w:rPr>
      </w:pPr>
    </w:p>
    <w:p>
      <w:pPr>
        <w:ind w:left="1380" w:hanging="360"/>
        <w:spacing w:after="0" w:line="261"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39" w:lineRule="exact"/>
        <w:rPr>
          <w:rFonts w:ascii="Times New Roman" w:cs="Times New Roman" w:eastAsia="Times New Roman" w:hAnsi="Times New Roman"/>
          <w:sz w:val="18"/>
          <w:szCs w:val="18"/>
          <w:color w:val="auto"/>
        </w:rPr>
      </w:pPr>
    </w:p>
    <w:p>
      <w:pPr>
        <w:ind w:left="1380" w:right="320" w:hanging="360"/>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the FDA or applicable foreign regulatory agencies may change in a manner rendering our clinical data insufficient for approval; and</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6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18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87"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15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products and we may need to rely on third parties, such as CROs, medical institutions, clinical investigators and contract laboratories to conduct such trials. We would depend on our collaborators and on medical institutions and CROs to conduct our clinical trials in compliance with GCP requirements and other regulatory requirements.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22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applications to be reviewed and/or approved by necessary government agencies, which would adversely affect our business. For example, in recent years, including for 35 days beginning on December 22, 2018, the U.S. government shut down several times and certain regulatory agencies, including the FDA,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personally identifiable information, including health information, is subject to HIPAA and other federal, state, and data privacy and security regulations, and our failure to comply with those regulations or to adequately secure the information we hold could result in significant liability or reputational harm and, in turn, a material adverse effect on our client base, member base and revenue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Numerous state and federal laws and regulations govern the collection, dissemination, use, privacy, confidentiality, security, availability, integrity, and other processing of protected health information (PHI) and personally identifiable information (PII). These laws and regulations include HIPAA. HIPAA establishes a set of national privacy and security standards for the protection of PHI (as defined in HIPAA) by health plans, healthcare clearinghouses and certain healthcare providers, referred to as covered entities, and the business associates with whom such covered entities contract for services. We are a business associate under HIPAA and we execute business associate agreements with our clients.</w:t>
      </w:r>
    </w:p>
    <w:p>
      <w:pPr>
        <w:spacing w:after="0" w:line="183"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8" w:name="page59"/>
    <w:bookmarkEnd w:id="58"/>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Violations of HIPAA may result in significant civil and criminal penalties.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w:t>
      </w:r>
    </w:p>
    <w:p>
      <w:pPr>
        <w:spacing w:after="0" w:line="188"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Health and Human Services conduct periodic compliance audits of HIPAA covered entities and business associates. With regard to business associates, those audits assess the business associate’s compliance with the HIPAA Privacy and Security Rules.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changed or differing interpretations, and we expect new laws, rules and regulations regarding privacy, data protection, and information security to be proposed and enacted in the future. For example, the California Consumer Privacy Act (the CCPA), became effective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it may regulate or impact our processing of personal information depending on the context, and the CCPA may increase our compliance costs and potential liability. Additionally, our machine learning and data analytics offerings may be subject to laws and evolving regulations regarding the use of artificial intelligence, controlling for data bias, and antidiscrimination.</w:t>
      </w:r>
    </w:p>
    <w:p>
      <w:pPr>
        <w:spacing w:after="0" w:line="18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Other states, including Nevada, have passed data protection laws, or are considering passing legislation, similar to CCPA. These laws would impose organizational requirements and grant individual rights that are comparable to those established in the CCPA. Additionally, a new ballot initiative,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8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This complex, dynamic legal landscape regarding privacy, data protection, data analytics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ind w:firstLine="510"/>
        <w:spacing w:after="0" w:line="254"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8"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35" w:lineRule="exact"/>
        <w:rPr>
          <w:sz w:val="20"/>
          <w:szCs w:val="20"/>
          <w:color w:val="auto"/>
        </w:rPr>
      </w:pPr>
    </w:p>
    <w:p>
      <w:pPr>
        <w:ind w:left="1380" w:hanging="36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requirements, including those laws requiring the reporting of true, complete and accurate information to the FDA authorities;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Office of Inspector General (OIG) could result in penalties, a loss of business from third parties, and severe reputational harm.</w:t>
      </w:r>
    </w:p>
    <w:p>
      <w:pPr>
        <w:spacing w:after="0" w:line="18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environmental and occupational safety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 and may accordingly adversely affect our business, financial condition or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to protect our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in our ability to obtain and maintain patent and other intellectual property protection in the United States and other countries with respect to our technology. We rely on patent protection, as well as a combination of copyright, trade secret and trademark laws, to protect our proprietary technology and prevent others from duplicating Tablo. However, these means may afford only limited protection and may not:</w:t>
      </w:r>
    </w:p>
    <w:p>
      <w:pPr>
        <w:spacing w:after="0" w:line="139" w:lineRule="exact"/>
        <w:rPr>
          <w:sz w:val="20"/>
          <w:szCs w:val="20"/>
          <w:color w:val="auto"/>
        </w:rPr>
      </w:pPr>
    </w:p>
    <w:p>
      <w:pPr>
        <w:ind w:left="1380" w:hanging="360"/>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Tablo;</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gaining access to our proprietary information and technology; or</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us to gain or maintain a competitive advantage.</w:t>
      </w:r>
    </w:p>
    <w:p>
      <w:pPr>
        <w:spacing w:after="0" w:line="225"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We may not prevail if our patents are challenged by competitors or other third parties. The U.S. federal courts or equivalent national courts or patent offices elsewhere may invalidate our patents, find them unenforceable, or narrow their scope. Furthermore, competitors may be able to design around our patents, or obtain patent protection for more effective technologies, designs or methods for treating kidney failure. If these developments were to occur, Tablo may become less competitive and sales of Tablo may decline.</w:t>
      </w:r>
    </w:p>
    <w:p>
      <w:pPr>
        <w:spacing w:after="0" w:line="18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If we are unable to obtain and maintain patent protection for our technology, or if the scope of the patent protection obtained is not sufficient, our competitors could develop and commercialize products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9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Tablo</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Tablo.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Tablo.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Tablo.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addition to seeking patent protection for Tablo,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w:t>
      </w:r>
    </w:p>
    <w:p>
      <w:pPr>
        <w:spacing w:after="0" w:line="18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have a material adverse effect on our business, financial condition and results of operations.</w:t>
      </w:r>
    </w:p>
    <w:p>
      <w:pPr>
        <w:spacing w:after="0" w:line="18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87"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Tablo, if such technologies or features are found to incorporate or be derived from the trade secrets or other proprietary information of the former employers.</w:t>
      </w:r>
    </w:p>
    <w:p>
      <w:pPr>
        <w:spacing w:after="0" w:line="17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product could have a material adverse effect on our business, financial condition and results of operations, and may prevent us from selling Tablo.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United States Patent and Trademark Office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90"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tradenames are not adequately protected, then we may not be able to build name recognition in our markets and our business may be adversely affected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we may be required to enforce patents issued or licensed to us, to protect our trade secrets or know-how, to defend against claims of infringement of the rights of others or to determine the scope and validity of the proprietary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could require us to seek licenses from third parties and could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3" w:name="page64"/>
    <w:bookmarkEnd w:id="63"/>
    <w:p>
      <w:pPr>
        <w:ind w:firstLine="510"/>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our proprietary software to general release, adversely affect our ability to sell Tablo and subject us to possible litigation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software that uses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Tablo and our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Tablo.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1" w:lineRule="exact"/>
        <w:rPr>
          <w:sz w:val="20"/>
          <w:szCs w:val="20"/>
          <w:color w:val="auto"/>
        </w:rPr>
      </w:pPr>
    </w:p>
    <w:p>
      <w:pPr>
        <w:ind w:left="1380" w:right="120" w:hanging="360"/>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Tablo or utilize similar technology but that are not covered by the claims of our patents or that incorporate certain technology in Tablo that is in the public domain;</w:t>
      </w:r>
    </w:p>
    <w:p>
      <w:pPr>
        <w:spacing w:after="0" w:line="121" w:lineRule="exact"/>
        <w:rPr>
          <w:rFonts w:ascii="Times New Roman" w:cs="Times New Roman" w:eastAsia="Times New Roman" w:hAnsi="Times New Roman"/>
          <w:sz w:val="18"/>
          <w:szCs w:val="18"/>
          <w:color w:val="auto"/>
        </w:rPr>
      </w:pPr>
    </w:p>
    <w:p>
      <w:pPr>
        <w:ind w:left="1380" w:right="60" w:hanging="360"/>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121" w:lineRule="exact"/>
        <w:rPr>
          <w:rFonts w:ascii="Times New Roman" w:cs="Times New Roman" w:eastAsia="Times New Roman" w:hAnsi="Times New Roman"/>
          <w:sz w:val="18"/>
          <w:szCs w:val="18"/>
          <w:color w:val="auto"/>
        </w:rPr>
      </w:pPr>
    </w:p>
    <w:p>
      <w:pPr>
        <w:ind w:left="1380" w:right="480" w:hanging="360"/>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1380" w:right="580" w:hanging="360"/>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184" w:lineRule="exact"/>
        <w:rPr>
          <w:rFonts w:ascii="Times New Roman" w:cs="Times New Roman" w:eastAsia="Times New Roman" w:hAnsi="Times New Roman"/>
          <w:sz w:val="18"/>
          <w:szCs w:val="18"/>
          <w:color w:val="auto"/>
        </w:rPr>
      </w:pPr>
    </w:p>
    <w:p>
      <w:pPr>
        <w:ind w:left="1380" w:hanging="360"/>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4" w:name="page65"/>
    <w:bookmarkEnd w:id="64"/>
    <w:p>
      <w:pPr>
        <w:ind w:left="1380" w:right="20" w:hanging="360"/>
        <w:spacing w:after="0" w:line="312" w:lineRule="auto"/>
        <w:tabs>
          <w:tab w:leader="none" w:pos="1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99" w:lineRule="exact"/>
        <w:rPr>
          <w:rFonts w:ascii="Times New Roman" w:cs="Times New Roman" w:eastAsia="Times New Roman" w:hAnsi="Times New Roman"/>
          <w:sz w:val="17"/>
          <w:szCs w:val="17"/>
          <w:color w:val="auto"/>
        </w:rPr>
      </w:pPr>
    </w:p>
    <w:p>
      <w:pPr>
        <w:ind w:left="1380" w:hanging="360"/>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84" w:lineRule="exact"/>
        <w:rPr>
          <w:rFonts w:ascii="Times New Roman" w:cs="Times New Roman" w:eastAsia="Times New Roman" w:hAnsi="Times New Roman"/>
          <w:sz w:val="18"/>
          <w:szCs w:val="18"/>
          <w:color w:val="auto"/>
        </w:rPr>
      </w:pPr>
    </w:p>
    <w:p>
      <w:pPr>
        <w:ind w:left="1380" w:right="380" w:hanging="360"/>
        <w:spacing w:after="0" w:line="282"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Third parties may attempt to commercialize competitive products or services in foreign countries where we do not have any patents or patent applications and/or where legal recourse may be limited. This may have a significant commercial impact on our foreign business operations.</w:t>
      </w:r>
    </w:p>
    <w:p>
      <w:pPr>
        <w:spacing w:after="0" w:line="16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Tablo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Tablo, and our patents or other intellectual property rights may not be effective or sufficient to prevent them from competing.</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steeply or suddenly regardless of our operating performance, which could result in substantial losses for holders of our common stock, and we may not be able to meet investor or analyst expectations.</w:t>
      </w:r>
    </w:p>
    <w:p>
      <w:pPr>
        <w:spacing w:after="0" w:line="159"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fluctuate or decline significantly in response to numerous factors, many of which are beyond our control, including:</w:t>
      </w:r>
    </w:p>
    <w:p>
      <w:pPr>
        <w:spacing w:after="0" w:line="121" w:lineRule="exact"/>
        <w:rPr>
          <w:sz w:val="20"/>
          <w:szCs w:val="20"/>
          <w:color w:val="auto"/>
        </w:rPr>
      </w:pPr>
    </w:p>
    <w:p>
      <w:pPr>
        <w:ind w:left="1380" w:hanging="360"/>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184" w:lineRule="exact"/>
        <w:rPr>
          <w:rFonts w:ascii="Times New Roman" w:cs="Times New Roman" w:eastAsia="Times New Roman" w:hAnsi="Times New Roman"/>
          <w:sz w:val="18"/>
          <w:szCs w:val="18"/>
          <w:color w:val="auto"/>
        </w:rPr>
      </w:pPr>
    </w:p>
    <w:p>
      <w:pPr>
        <w:ind w:left="1380" w:right="680" w:hanging="360"/>
        <w:spacing w:after="0" w:line="282" w:lineRule="auto"/>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65" w:name="page66"/>
    <w:bookmarkEnd w:id="65"/>
    <w:p>
      <w:pPr>
        <w:ind w:left="1380" w:right="460" w:hanging="360"/>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21" w:lineRule="exact"/>
        <w:rPr>
          <w:rFonts w:ascii="Times New Roman" w:cs="Times New Roman" w:eastAsia="Times New Roman" w:hAnsi="Times New Roman"/>
          <w:sz w:val="18"/>
          <w:szCs w:val="18"/>
          <w:color w:val="auto"/>
        </w:rPr>
      </w:pPr>
    </w:p>
    <w:p>
      <w:pPr>
        <w:ind w:left="1380" w:right="260" w:hanging="360"/>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common stock being sold into the market by us or our existing stockholders, or the anticipation of such sales, including if existing stockholders sell shares into the market when the applicable IPO “lock-up” period ends;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activities by market participants;</w:t>
      </w:r>
    </w:p>
    <w:p>
      <w:pPr>
        <w:spacing w:after="0" w:line="184" w:lineRule="exact"/>
        <w:rPr>
          <w:rFonts w:ascii="Times New Roman" w:cs="Times New Roman" w:eastAsia="Times New Roman" w:hAnsi="Times New Roman"/>
          <w:sz w:val="18"/>
          <w:szCs w:val="18"/>
          <w:color w:val="auto"/>
        </w:rPr>
      </w:pPr>
    </w:p>
    <w:p>
      <w:pPr>
        <w:ind w:left="1380" w:right="220" w:hanging="360"/>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 including our competitors;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84" w:lineRule="exact"/>
        <w:rPr>
          <w:rFonts w:ascii="Times New Roman" w:cs="Times New Roman" w:eastAsia="Times New Roman" w:hAnsi="Times New Roman"/>
          <w:sz w:val="18"/>
          <w:szCs w:val="18"/>
          <w:color w:val="auto"/>
        </w:rPr>
      </w:pPr>
    </w:p>
    <w:p>
      <w:pPr>
        <w:ind w:left="1380" w:right="200" w:hanging="360"/>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21" w:lineRule="exact"/>
        <w:rPr>
          <w:rFonts w:ascii="Times New Roman" w:cs="Times New Roman" w:eastAsia="Times New Roman" w:hAnsi="Times New Roman"/>
          <w:sz w:val="18"/>
          <w:szCs w:val="18"/>
          <w:color w:val="auto"/>
        </w:rPr>
      </w:pPr>
    </w:p>
    <w:p>
      <w:pPr>
        <w:ind w:left="1380" w:right="80" w:hanging="360"/>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political conditions, election cycles, war or incidents of terrorism, or responses to these events.</w:t>
      </w:r>
    </w:p>
    <w:p>
      <w:pPr>
        <w:spacing w:after="0" w:line="162" w:lineRule="exact"/>
        <w:rPr>
          <w:sz w:val="20"/>
          <w:szCs w:val="20"/>
          <w:color w:val="auto"/>
        </w:rPr>
      </w:pPr>
    </w:p>
    <w:p>
      <w:pPr>
        <w:ind w:right="400" w:firstLine="510"/>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80"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If our existing stockholders, including employees who obtain equity, sell or indicate an intention to sell, substantial amounts of our common stock in the public market after the IPO lock-up and legal restrictions on resale lapse, the trading price of our common stock could decline. Each of our directors, executive officers and other holders of substantially all our outstanding equity securities are subject to lock-up agreements that restrict their ability to sell or transfer their shares for a period of 180 days after the date of the prospectus of our recent IPO, subject to certain exceptions. However, BofA Securities, Inc., Morgan Stanley &amp; Co. LLC and Goldman Sachs &amp; Co. LLC may, in their sole discretion, waive the contractual lock-up before the lock-up agreements expire. After the lock-up agreements expire, all 42,700,641 shares outstanding as of September 30, 2020 will be eligible for sale in the public market, of which 16,819,274 shares are held by directors, executive officers and other affiliates and will be subject to volume limitations under Rule 144 of the Securities Act of 1933, as amended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the SVB Loan and Security Agreement restrict our ability to pay dividends to limited circumstances. Accordingly, investors must rely on sales of their common stock after price appreciation, which may never occur, as the only way to realize any future gains on their investments.</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75"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7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will own a significant percentage of our stock and will be able to exercise significant influence over matters subject to stockholder approval.</w:t>
      </w:r>
    </w:p>
    <w:p>
      <w:pPr>
        <w:spacing w:after="0" w:line="15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of September 30, 2020, our executive officers, directors and 5% stockholders beneficially owned approximately 67% of the outstanding shares of capital stock. In addition, as of September 30, 2020, our executive officers and directors held options to purchase an aggregate of 3,096,767 shares of our common stock at a weighted-average exercise price of $5.43 per share, which would give our officers and directors ownership of approximately 7% of our outstanding common stock as of September 30, 2020 if such awards were fully vested and exercised in full. Therefore, these stockholders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35" w:lineRule="exact"/>
        <w:rPr>
          <w:sz w:val="20"/>
          <w:szCs w:val="20"/>
          <w:color w:val="auto"/>
        </w:rPr>
      </w:pPr>
    </w:p>
    <w:p>
      <w:pPr>
        <w:ind w:left="1380" w:right="200" w:hanging="360"/>
        <w:spacing w:after="0" w:line="266"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35" w:lineRule="exact"/>
        <w:rPr>
          <w:rFonts w:ascii="Times New Roman" w:cs="Times New Roman" w:eastAsia="Times New Roman" w:hAnsi="Times New Roman"/>
          <w:sz w:val="18"/>
          <w:szCs w:val="18"/>
          <w:color w:val="auto"/>
        </w:rPr>
      </w:pPr>
    </w:p>
    <w:p>
      <w:pPr>
        <w:ind w:left="1380" w:right="280" w:hanging="360"/>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this prospectus, our periodic reports and proxy statements; and</w:t>
      </w:r>
    </w:p>
    <w:p>
      <w:pPr>
        <w:spacing w:after="0" w:line="184" w:lineRule="exact"/>
        <w:rPr>
          <w:rFonts w:ascii="Times New Roman" w:cs="Times New Roman" w:eastAsia="Times New Roman" w:hAnsi="Times New Roman"/>
          <w:sz w:val="18"/>
          <w:szCs w:val="18"/>
          <w:color w:val="auto"/>
        </w:rPr>
      </w:pPr>
    </w:p>
    <w:p>
      <w:pPr>
        <w:ind w:left="1380" w:right="220" w:hanging="360"/>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ind w:firstLine="510"/>
        <w:spacing w:after="0" w:line="255" w:lineRule="auto"/>
        <w:rPr>
          <w:sz w:val="20"/>
          <w:szCs w:val="20"/>
          <w:color w:val="auto"/>
        </w:rPr>
      </w:pPr>
      <w:r>
        <w:rPr>
          <w:rFonts w:ascii="Times New Roman" w:cs="Times New Roman" w:eastAsia="Times New Roman" w:hAnsi="Times New Roman"/>
          <w:sz w:val="18"/>
          <w:szCs w:val="18"/>
          <w:color w:val="auto"/>
        </w:rPr>
        <w:t>As a result, our stockholders may not have access to certain information that they may deem important. We could be an emerging growth company for up to five years,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securities issuances could result in significant dilution to our stockholders and impair the market price of our common stock.</w:t>
      </w:r>
    </w:p>
    <w:p>
      <w:pPr>
        <w:spacing w:after="0" w:line="22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will require us to incur substantial costs and will require substantial management attention.</w:t>
      </w:r>
    </w:p>
    <w:p>
      <w:pPr>
        <w:spacing w:after="0" w:line="22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As a new public company, we will incur substantial legal, accounting and other expenses that we did not incur as a private company. For example, we are subject to the reporting requirements of the Securities Exchange Act of 1934, as amended (the Exchange Act), the applicable requirements of the Sarbanes-Oxley Act and the Dodd-Frank Wall Street Reform and Consumer Protection Act and the rules and regulations of the SEC. The rules and regulations of The Nasdaq Global Select Market also apply to us. As part of these requirements, we have made changes to our corporate governance practices and will need to maintain effective disclosure and financial controls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maintain effective controls could adversely affect the results of periodic management evaluations. We expect that compliance with these requirements will increase our legal and financial compliance costs and will make some activities more time-consuming.</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our management and other personnel will need to divert attention from other business matters to devote substantial time to the reporting and other requirements of being a public company. In particular, we expect to incur significant expense and devote substantial management effort to complying with the requirements of Section 404 of the Sarbanes-Oxley Act. We will need to hire additional accounting and financial staff with appropriate public company experience and technical accounting knowledge.</w:t>
      </w:r>
    </w:p>
    <w:p>
      <w:pPr>
        <w:spacing w:after="0" w:line="180"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We also expect that being a public company and complying with applicable rules and regulations will make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5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35" w:lineRule="exact"/>
        <w:rPr>
          <w:sz w:val="20"/>
          <w:szCs w:val="20"/>
          <w:color w:val="auto"/>
        </w:rPr>
      </w:pPr>
    </w:p>
    <w:p>
      <w:pPr>
        <w:ind w:left="5540" w:right="1800" w:hanging="4520"/>
        <w:spacing w:after="0" w:line="532" w:lineRule="auto"/>
        <w:tabs>
          <w:tab w:leader="none" w:pos="13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8" w:name="page69"/>
    <w:bookmarkEnd w:id="68"/>
    <w:p>
      <w:pPr>
        <w:ind w:left="1380" w:hanging="36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newly-created directorships;</w:t>
      </w:r>
    </w:p>
    <w:p>
      <w:pPr>
        <w:spacing w:after="0" w:line="184" w:lineRule="exact"/>
        <w:rPr>
          <w:rFonts w:ascii="Times New Roman" w:cs="Times New Roman" w:eastAsia="Times New Roman" w:hAnsi="Times New Roman"/>
          <w:sz w:val="18"/>
          <w:szCs w:val="18"/>
          <w:color w:val="auto"/>
        </w:rPr>
      </w:pPr>
    </w:p>
    <w:p>
      <w:pPr>
        <w:ind w:left="1380" w:right="60" w:hanging="360"/>
        <w:spacing w:after="0" w:line="282"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by the affirmative vote of the holders of at least a majority of the voting power of all then outstanding shares of our capital stock;</w:t>
      </w:r>
    </w:p>
    <w:p>
      <w:pPr>
        <w:spacing w:after="0" w:line="12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bylaws;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w:t>
      </w:r>
    </w:p>
    <w:p>
      <w:pPr>
        <w:spacing w:after="0" w:line="18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and</w:t>
      </w:r>
    </w:p>
    <w:p>
      <w:pPr>
        <w:spacing w:after="0" w:line="184" w:lineRule="exact"/>
        <w:rPr>
          <w:rFonts w:ascii="Times New Roman" w:cs="Times New Roman" w:eastAsia="Times New Roman" w:hAnsi="Times New Roman"/>
          <w:sz w:val="18"/>
          <w:szCs w:val="18"/>
          <w:color w:val="auto"/>
        </w:rPr>
      </w:pPr>
    </w:p>
    <w:p>
      <w:pPr>
        <w:ind w:left="1380" w:right="180" w:hanging="360"/>
        <w:spacing w:after="0" w:line="282"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ind w:right="340" w:firstLine="51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75" w:lineRule="exact"/>
        <w:rPr>
          <w:sz w:val="20"/>
          <w:szCs w:val="20"/>
          <w:color w:val="auto"/>
        </w:rPr>
      </w:pPr>
    </w:p>
    <w:p>
      <w:pPr>
        <w:ind w:right="20" w:firstLine="510"/>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w:t>
      </w:r>
    </w:p>
    <w:p>
      <w:pPr>
        <w:spacing w:after="0" w:line="3" w:lineRule="exact"/>
        <w:rPr>
          <w:sz w:val="20"/>
          <w:szCs w:val="20"/>
          <w:color w:val="auto"/>
        </w:rPr>
      </w:pPr>
    </w:p>
    <w:p>
      <w:pPr>
        <w:ind w:firstLine="8"/>
        <w:spacing w:after="0" w:line="253"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8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62" w:lineRule="exact"/>
        <w:rPr>
          <w:sz w:val="20"/>
          <w:szCs w:val="20"/>
          <w:color w:val="auto"/>
        </w:rPr>
      </w:pPr>
    </w:p>
    <w:p>
      <w:pPr>
        <w:ind w:right="340" w:firstLine="510"/>
        <w:spacing w:after="0" w:line="281"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64"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Our customers and distributors may respond to such economic pressures by reducing or deferring their capital spending or reducing staff. Furthermore, unfavorable changes in foreign exchange rates versus the U.S. dollar could increase our product and labor costs, thus reducing our gross profit.</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are highly dependent on our senior management, including our chief executive officer, Leslie Trigg, and other key personnel. Our success will depend on our ability to retain senior management and to attract and retain qualified personnel in the future,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8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and may limit our ability to hire and retain highly qualified personnel on acceptable terms, or at all.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159"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our recent IPO could lead to disparities of wealth among our employees, which could adversely impact relations among employees and our culture in general. Our anticipated headcount growth and our transition from a private company to a new public company may result in a change to our corporate culture, which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22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which generally prohibits U.S. companies from engaging in bribery or other prohibited payments to foreign officials for the purpose of obtaining or retaining business and requires companies to maintain accurate books and records and internal controls, including at foreign controlled subsidiaries. We are also subject to requirements under the U.S. Treasury Department’s Office of Foreign Assets Control, U.S.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United States generally accepted accounting principles (GAAP) and our key metrics require management to make estimates and assumptions that affect the amounts reported in the financial statements and accompanying notes and amounts reported in our key metrics.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financial statements include those related to allowance for doubtful accounts, assessment of the useful life and recoverability of long-lived assets, warranty obligations, fair values of stock-based awards, warrants, contingent consideration,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stockholder value and adversely affect our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in the future make acquisitions or investments in complementary companies, products or technologies that we believe fit within our business model and can address the needs of our customers and potential customers. In the future,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8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8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or such strategic alliance, joint venture or acquisition may be prohibited. In July 2020, we entered into the SVB Loan and Security Agreement which 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right="8540" w:hanging="512"/>
        <w:spacing w:after="0" w:line="412" w:lineRule="auto"/>
        <w:tabs>
          <w:tab w:leader="none" w:pos="26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53"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 from Public Offering of Common Stock</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filed our Registration Statement on Form S-1 (File No. 333-248225 and 333-248801) with the SEC on September 16, 2020. We sold 10,293,777 shares of common stock (which included 1,342,666 shares that were offered and sold pursuant to the full exercise of the IPO underwriters’ option to purchase additional shares) at a price to the public of $27.00 per share. Including the option exercise, the Company received aggregate net proceeds of $254.8 million after deducting offering costs, underwriting discounts and commissions of $23.1 million. The underwriters of the offering were BofA Securities, Inc., Morgan Stanley &amp; Co. LLC, Goldman Sachs &amp; Co. LLC, SVB Leerink LLC and Stifel, Nicolaus &amp; Company, Incorporated. Following the sale of the shares in connection with the closing of the IPO, the offering terminated. No offering expenses were paid or are payable, directly or indirectly, to our directors or officers, to persons owning 10% or more of any class of our equity securities or to any of our affiliates.</w:t>
      </w:r>
    </w:p>
    <w:p>
      <w:pPr>
        <w:spacing w:after="0" w:line="8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IPO, as described in our final prospectus filed with the SEC on September 16, 2020 pursuant to Rule 424(b) under the Securities Act.</w:t>
      </w:r>
    </w:p>
    <w:p>
      <w:pPr>
        <w:spacing w:after="0" w:line="266" w:lineRule="exact"/>
        <w:rPr>
          <w:sz w:val="20"/>
          <w:szCs w:val="20"/>
          <w:color w:val="auto"/>
        </w:rPr>
      </w:pPr>
    </w:p>
    <w:p>
      <w:pPr>
        <w:ind w:left="520" w:right="8120" w:hanging="512"/>
        <w:spacing w:after="0" w:line="412" w:lineRule="auto"/>
        <w:tabs>
          <w:tab w:leader="none" w:pos="25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60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0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Borders>
              <w:top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5"/>
                <w:szCs w:val="15"/>
                <w:color w:val="auto"/>
              </w:rPr>
            </w:pPr>
          </w:p>
        </w:tc>
        <w:tc>
          <w:tcPr>
            <w:tcW w:w="10280" w:type="dxa"/>
            <w:vAlign w:val="bottom"/>
            <w:tcBorders>
              <w:top w:val="single" w:sz="8" w:color="auto"/>
              <w:bottom w:val="single" w:sz="8" w:color="0000EE"/>
            </w:tcBorders>
            <w:gridSpan w:val="6"/>
          </w:tcPr>
          <w:p>
            <w:pPr>
              <w:spacing w:after="0" w:line="182"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 Adopted</w:t>
              </w:r>
            </w:hyperlink>
          </w:p>
        </w:tc>
        <w:tc>
          <w:tcPr>
            <w:tcW w:w="6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Pursuant to Section 302 of the Sarbanes-Oxley Act of 2002.</w:t>
              </w:r>
            </w:hyperlink>
          </w:p>
        </w:tc>
        <w:tc>
          <w:tcPr>
            <w:tcW w:w="6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10340" w:type="dxa"/>
            <w:vAlign w:val="bottom"/>
            <w:gridSpan w:val="8"/>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Pursuant to Section 302 of the Sarbanes-Oxley Act of 2002.</w:t>
              </w:r>
            </w:hyperlink>
          </w:p>
        </w:tc>
        <w:tc>
          <w:tcPr>
            <w:tcW w:w="590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10340" w:type="dxa"/>
            <w:vAlign w:val="bottom"/>
            <w:gridSpan w:val="8"/>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Act of 2002.</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10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80">
              <w:r>
                <w:rPr>
                  <w:rFonts w:ascii="Times New Roman" w:cs="Times New Roman" w:eastAsia="Times New Roman" w:hAnsi="Times New Roman"/>
                  <w:sz w:val="18"/>
                  <w:szCs w:val="18"/>
                  <w:color w:val="0000EE"/>
                  <w:w w:val="96"/>
                </w:rPr>
                <w:t>of 2002.</w:t>
              </w:r>
            </w:hyperlink>
          </w:p>
        </w:tc>
        <w:tc>
          <w:tcPr>
            <w:tcW w:w="97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Outset Medical, Inc.</w:t>
            </w:r>
          </w:p>
        </w:tc>
        <w:tc>
          <w:tcPr>
            <w:tcW w:w="3780" w:type="dxa"/>
            <w:vAlign w:val="bottom"/>
          </w:tcPr>
          <w:p>
            <w:pPr>
              <w:spacing w:after="0"/>
              <w:rPr>
                <w:sz w:val="20"/>
                <w:szCs w:val="20"/>
                <w:color w:val="auto"/>
              </w:rPr>
            </w:pP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3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218"/>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jc w:val="center"/>
              <w:ind w:right="1370"/>
              <w:spacing w:after="0"/>
              <w:rPr>
                <w:sz w:val="20"/>
                <w:szCs w:val="20"/>
                <w:color w:val="auto"/>
              </w:rPr>
            </w:pPr>
            <w:r>
              <w:rPr>
                <w:rFonts w:ascii="Times New Roman" w:cs="Times New Roman" w:eastAsia="Times New Roman" w:hAnsi="Times New Roman"/>
                <w:sz w:val="18"/>
                <w:szCs w:val="18"/>
                <w:color w:val="auto"/>
                <w:w w:val="99"/>
              </w:rPr>
              <w:t>Leslie Trigg</w:t>
            </w:r>
          </w:p>
        </w:tc>
      </w:tr>
      <w:tr>
        <w:trPr>
          <w:trHeight w:val="234"/>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78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3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/s/ Rebecca Chambers</w:t>
            </w:r>
          </w:p>
        </w:tc>
      </w:tr>
      <w:tr>
        <w:trPr>
          <w:trHeight w:val="218"/>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jc w:val="center"/>
              <w:ind w:right="1350"/>
              <w:spacing w:after="0"/>
              <w:rPr>
                <w:sz w:val="20"/>
                <w:szCs w:val="20"/>
                <w:color w:val="auto"/>
              </w:rPr>
            </w:pPr>
            <w:r>
              <w:rPr>
                <w:rFonts w:ascii="Times New Roman" w:cs="Times New Roman" w:eastAsia="Times New Roman" w:hAnsi="Times New Roman"/>
                <w:sz w:val="18"/>
                <w:szCs w:val="18"/>
                <w:color w:val="auto"/>
                <w:w w:val="99"/>
              </w:rPr>
              <w:t>Rebecca Chambers</w:t>
            </w:r>
          </w:p>
        </w:tc>
      </w:tr>
      <w:tr>
        <w:trPr>
          <w:trHeight w:val="234"/>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78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648"/>
        </w:trPr>
        <w:tc>
          <w:tcPr>
            <w:tcW w:w="3700" w:type="dxa"/>
            <w:vAlign w:val="bottom"/>
          </w:tcPr>
          <w:p>
            <w:pPr>
              <w:spacing w:after="0"/>
              <w:rPr>
                <w:sz w:val="24"/>
                <w:szCs w:val="24"/>
                <w:color w:val="auto"/>
              </w:rPr>
            </w:pPr>
          </w:p>
        </w:tc>
        <w:tc>
          <w:tcPr>
            <w:tcW w:w="2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144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Leslie Trigg, certify that:</w:t>
      </w:r>
    </w:p>
    <w:p>
      <w:pPr>
        <w:spacing w:after="0" w:line="216" w:lineRule="exact"/>
        <w:rPr>
          <w:sz w:val="20"/>
          <w:szCs w:val="20"/>
          <w:color w:val="auto"/>
        </w:rPr>
      </w:pPr>
    </w:p>
    <w:p>
      <w:pPr>
        <w:ind w:left="1420" w:hanging="854"/>
        <w:spacing w:after="0"/>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Outset Medical, Inc.;</w:t>
      </w:r>
    </w:p>
    <w:p>
      <w:pPr>
        <w:spacing w:after="0" w:line="215" w:lineRule="exact"/>
        <w:rPr>
          <w:rFonts w:ascii="Times New Roman" w:cs="Times New Roman" w:eastAsia="Times New Roman" w:hAnsi="Times New Roman"/>
          <w:sz w:val="20"/>
          <w:szCs w:val="20"/>
          <w:color w:val="auto"/>
        </w:rPr>
      </w:pPr>
    </w:p>
    <w:p>
      <w:pPr>
        <w:jc w:val="both"/>
        <w:ind w:left="1420" w:hanging="854"/>
        <w:spacing w:after="0" w:line="254" w:lineRule="auto"/>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1420" w:hanging="854"/>
        <w:spacing w:after="0" w:line="254" w:lineRule="auto"/>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1420" w:hanging="854"/>
        <w:spacing w:after="0" w:line="254" w:lineRule="auto"/>
        <w:tabs>
          <w:tab w:leader="none" w:pos="14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2260" w:hanging="844"/>
        <w:spacing w:after="0" w:line="249" w:lineRule="auto"/>
        <w:tabs>
          <w:tab w:leader="none" w:pos="22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jc w:val="both"/>
        <w:ind w:left="2260" w:hanging="844"/>
        <w:spacing w:after="0" w:line="249" w:lineRule="auto"/>
        <w:tabs>
          <w:tab w:leader="none" w:pos="22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2260" w:hanging="844"/>
        <w:spacing w:after="0" w:line="254" w:lineRule="auto"/>
        <w:tabs>
          <w:tab w:leader="none" w:pos="22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2260" w:hanging="844"/>
        <w:spacing w:after="0" w:line="249" w:lineRule="auto"/>
        <w:tabs>
          <w:tab w:leader="none" w:pos="22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jc w:val="both"/>
        <w:ind w:left="1260" w:hanging="854"/>
        <w:spacing w:after="0" w:line="254" w:lineRule="auto"/>
        <w:tabs>
          <w:tab w:leader="none" w:pos="12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2100" w:hanging="844"/>
        <w:spacing w:after="0" w:line="254" w:lineRule="auto"/>
        <w:tabs>
          <w:tab w:leader="none" w:pos="210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2100" w:right="20" w:hanging="844"/>
        <w:spacing w:after="0" w:line="269" w:lineRule="auto"/>
        <w:tabs>
          <w:tab w:leader="none" w:pos="210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5360" w:val="left"/>
          <w:tab w:leader="none" w:pos="7940" w:val="left"/>
        </w:tabs>
        <w:rPr>
          <w:sz w:val="20"/>
          <w:szCs w:val="20"/>
          <w:color w:val="auto"/>
        </w:rPr>
      </w:pPr>
      <w:r>
        <w:rPr>
          <w:rFonts w:ascii="Times New Roman" w:cs="Times New Roman" w:eastAsia="Times New Roman" w:hAnsi="Times New Roman"/>
          <w:sz w:val="20"/>
          <w:szCs w:val="20"/>
          <w:color w:val="auto"/>
        </w:rPr>
        <w:t>Date: November 12,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31115</wp:posOffset>
            </wp:positionV>
            <wp:extent cx="30257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47"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20"/>
          <w:szCs w:val="20"/>
          <w:color w:val="auto"/>
        </w:rPr>
        <w:t>Leslie Trigg</w:t>
      </w:r>
    </w:p>
    <w:p>
      <w:pPr>
        <w:spacing w:after="0" w:line="5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080"/>
          </w:cols>
          <w:pgMar w:left="480" w:top="562"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Rebecca Chambers, certify that:</w:t>
      </w:r>
    </w:p>
    <w:p>
      <w:pPr>
        <w:spacing w:after="0" w:line="216" w:lineRule="exact"/>
        <w:rPr>
          <w:sz w:val="20"/>
          <w:szCs w:val="20"/>
          <w:color w:val="auto"/>
        </w:rPr>
      </w:pPr>
    </w:p>
    <w:p>
      <w:pPr>
        <w:ind w:left="1420" w:hanging="854"/>
        <w:spacing w:after="0"/>
        <w:tabs>
          <w:tab w:leader="none" w:pos="14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Outset Medical, Inc.;</w:t>
      </w:r>
    </w:p>
    <w:p>
      <w:pPr>
        <w:spacing w:after="0" w:line="215" w:lineRule="exact"/>
        <w:rPr>
          <w:rFonts w:ascii="Times New Roman" w:cs="Times New Roman" w:eastAsia="Times New Roman" w:hAnsi="Times New Roman"/>
          <w:sz w:val="20"/>
          <w:szCs w:val="20"/>
          <w:color w:val="auto"/>
        </w:rPr>
      </w:pPr>
    </w:p>
    <w:p>
      <w:pPr>
        <w:jc w:val="both"/>
        <w:ind w:left="1420" w:hanging="854"/>
        <w:spacing w:after="0" w:line="254" w:lineRule="auto"/>
        <w:tabs>
          <w:tab w:leader="none" w:pos="14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1420" w:hanging="854"/>
        <w:spacing w:after="0" w:line="254" w:lineRule="auto"/>
        <w:tabs>
          <w:tab w:leader="none" w:pos="14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1420" w:hanging="854"/>
        <w:spacing w:after="0" w:line="254" w:lineRule="auto"/>
        <w:tabs>
          <w:tab w:leader="none" w:pos="14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2260" w:hanging="844"/>
        <w:spacing w:after="0" w:line="249" w:lineRule="auto"/>
        <w:tabs>
          <w:tab w:leader="none" w:pos="22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jc w:val="both"/>
        <w:ind w:left="2260" w:hanging="844"/>
        <w:spacing w:after="0" w:line="249" w:lineRule="auto"/>
        <w:tabs>
          <w:tab w:leader="none" w:pos="22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2260" w:hanging="844"/>
        <w:spacing w:after="0" w:line="254" w:lineRule="auto"/>
        <w:tabs>
          <w:tab w:leader="none" w:pos="22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2260" w:hanging="844"/>
        <w:spacing w:after="0" w:line="249" w:lineRule="auto"/>
        <w:tabs>
          <w:tab w:leader="none" w:pos="22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jc w:val="both"/>
        <w:ind w:left="1260" w:hanging="854"/>
        <w:spacing w:after="0" w:line="254" w:lineRule="auto"/>
        <w:tabs>
          <w:tab w:leader="none" w:pos="12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2100" w:hanging="844"/>
        <w:spacing w:after="0" w:line="254" w:lineRule="auto"/>
        <w:tabs>
          <w:tab w:leader="none" w:pos="21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2100" w:right="20" w:hanging="844"/>
        <w:spacing w:after="0" w:line="269" w:lineRule="auto"/>
        <w:tabs>
          <w:tab w:leader="none" w:pos="21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5420" w:val="left"/>
          <w:tab w:leader="none" w:pos="7700" w:val="left"/>
        </w:tabs>
        <w:rPr>
          <w:sz w:val="20"/>
          <w:szCs w:val="20"/>
          <w:color w:val="auto"/>
        </w:rPr>
      </w:pPr>
      <w:r>
        <w:rPr>
          <w:rFonts w:ascii="Times New Roman" w:cs="Times New Roman" w:eastAsia="Times New Roman" w:hAnsi="Times New Roman"/>
          <w:sz w:val="20"/>
          <w:szCs w:val="20"/>
          <w:color w:val="auto"/>
        </w:rPr>
        <w:t>Date: November 12,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31115</wp:posOffset>
            </wp:positionV>
            <wp:extent cx="29832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4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color w:val="auto"/>
        </w:rPr>
        <w:t>Rebecca Chambers</w:t>
      </w:r>
    </w:p>
    <w:p>
      <w:pPr>
        <w:spacing w:after="0" w:line="5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080"/>
          </w:cols>
          <w:pgMar w:left="480" w:top="562"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Outset Medical, Inc. (the “Company”) on Form 10-Q for the period ending September 30, 2020 as filed with the Securities and Exchange Commission on the date hereof (the “Report”), I certify, pursuant to 18 U.S.C. § 1350, as adopted pursuant to § 906 of the Sarbanes-Oxley Act of 2002, that, to my knowledge:</w:t>
      </w:r>
    </w:p>
    <w:p>
      <w:pPr>
        <w:spacing w:after="0" w:line="174" w:lineRule="exact"/>
        <w:rPr>
          <w:sz w:val="20"/>
          <w:szCs w:val="20"/>
          <w:color w:val="auto"/>
        </w:rPr>
      </w:pPr>
    </w:p>
    <w:p>
      <w:pPr>
        <w:ind w:left="2220" w:right="20" w:hanging="804"/>
        <w:spacing w:after="0" w:line="269" w:lineRule="auto"/>
        <w:tabs>
          <w:tab w:leader="none" w:pos="22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59" w:lineRule="exact"/>
        <w:rPr>
          <w:rFonts w:ascii="Times New Roman" w:cs="Times New Roman" w:eastAsia="Times New Roman" w:hAnsi="Times New Roman"/>
          <w:sz w:val="20"/>
          <w:szCs w:val="20"/>
          <w:color w:val="auto"/>
        </w:rPr>
      </w:pPr>
    </w:p>
    <w:p>
      <w:pPr>
        <w:ind w:left="2220" w:hanging="804"/>
        <w:spacing w:after="0" w:line="269" w:lineRule="auto"/>
        <w:tabs>
          <w:tab w:leader="none" w:pos="22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tabs>
          <w:tab w:leader="none" w:pos="5520" w:val="left"/>
          <w:tab w:leader="none" w:pos="8100" w:val="left"/>
        </w:tabs>
        <w:rPr>
          <w:sz w:val="20"/>
          <w:szCs w:val="20"/>
          <w:color w:val="auto"/>
        </w:rPr>
      </w:pPr>
      <w:r>
        <w:rPr>
          <w:rFonts w:ascii="Times New Roman" w:cs="Times New Roman" w:eastAsia="Times New Roman" w:hAnsi="Times New Roman"/>
          <w:sz w:val="20"/>
          <w:szCs w:val="20"/>
          <w:color w:val="auto"/>
        </w:rPr>
        <w:t>Date: November 12,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31115</wp:posOffset>
            </wp:positionV>
            <wp:extent cx="30257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47"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20"/>
          <w:szCs w:val="20"/>
          <w:color w:val="auto"/>
        </w:rPr>
        <w:t>Leslie Trigg</w:t>
      </w:r>
    </w:p>
    <w:p>
      <w:pPr>
        <w:spacing w:after="0" w:line="5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40"/>
          </w:cols>
          <w:pgMar w:left="320" w:top="11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Outset Medical, Inc. (the “Company”) on Form 10-Q for the period ending September 30, 2020 as filed with the Securities and Exchange Commission on the date hereof (the “Report”), I certify, pursuant to 18 U.S.C. § 1350, as adopted pursuant to § 906 of the Sarbanes-Oxley Act of 2002, that, to my knowledge:</w:t>
      </w:r>
    </w:p>
    <w:p>
      <w:pPr>
        <w:spacing w:after="0" w:line="174" w:lineRule="exact"/>
        <w:rPr>
          <w:sz w:val="20"/>
          <w:szCs w:val="20"/>
          <w:color w:val="auto"/>
        </w:rPr>
      </w:pPr>
    </w:p>
    <w:p>
      <w:pPr>
        <w:ind w:left="2220" w:right="20" w:hanging="804"/>
        <w:spacing w:after="0" w:line="269" w:lineRule="auto"/>
        <w:tabs>
          <w:tab w:leader="none" w:pos="22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59" w:lineRule="exact"/>
        <w:rPr>
          <w:rFonts w:ascii="Times New Roman" w:cs="Times New Roman" w:eastAsia="Times New Roman" w:hAnsi="Times New Roman"/>
          <w:sz w:val="20"/>
          <w:szCs w:val="20"/>
          <w:color w:val="auto"/>
        </w:rPr>
      </w:pPr>
    </w:p>
    <w:p>
      <w:pPr>
        <w:ind w:left="2220" w:hanging="804"/>
        <w:spacing w:after="0" w:line="269" w:lineRule="auto"/>
        <w:tabs>
          <w:tab w:leader="none" w:pos="22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tabs>
          <w:tab w:leader="none" w:pos="5580" w:val="left"/>
          <w:tab w:leader="none" w:pos="7860" w:val="left"/>
        </w:tabs>
        <w:rPr>
          <w:sz w:val="20"/>
          <w:szCs w:val="20"/>
          <w:color w:val="auto"/>
        </w:rPr>
      </w:pPr>
      <w:r>
        <w:rPr>
          <w:rFonts w:ascii="Times New Roman" w:cs="Times New Roman" w:eastAsia="Times New Roman" w:hAnsi="Times New Roman"/>
          <w:sz w:val="20"/>
          <w:szCs w:val="20"/>
          <w:color w:val="auto"/>
        </w:rPr>
        <w:t>Date: November 12,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31115</wp:posOffset>
            </wp:positionV>
            <wp:extent cx="29832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4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color w:val="auto"/>
        </w:rPr>
        <w:t>Rebecca Chambers</w:t>
      </w:r>
    </w:p>
    <w:p>
      <w:pPr>
        <w:spacing w:after="0" w:line="5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4"/>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3"/>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5"/>
    </w:lvl>
    <w:lvl w:ilvl="1">
      <w:lvlJc w:val="left"/>
      <w:lvlText w:val="(%2)"/>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5"/>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2020-11-12T07:04:57Z</dcterms:created>
  <dcterms:modified xsi:type="dcterms:W3CDTF">2020-11-12T07:04:57Z</dcterms:modified>
</cp:coreProperties>
</file>