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500" w:hanging="3639"/>
        <w:spacing w:after="0" w:line="360" w:lineRule="auto"/>
        <w:tabs>
          <w:tab w:leader="none" w:pos="59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0"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-4445</wp:posOffset>
            </wp:positionV>
            <wp:extent cx="308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503" w:right="339" w:bottom="1440" w:gutter="0" w:footer="0" w:header="0"/>
        </w:sectPr>
      </w:pPr>
    </w:p>
    <w:p>
      <w:pPr>
        <w:spacing w:after="0" w:line="2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154940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Delaware</w:t>
      </w:r>
    </w:p>
    <w:p>
      <w:pPr>
        <w:spacing w:after="0" w:line="5"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20-0514392</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4"/>
          <w:szCs w:val="24"/>
          <w:color w:val="auto"/>
        </w:rPr>
      </w:pPr>
    </w:p>
    <w:p>
      <w:pPr>
        <w:sectPr>
          <w:pgSz w:w="11900" w:h="16838" w:orient="portrait"/>
          <w:cols w:equalWidth="0" w:num="2">
            <w:col w:w="7480" w:space="460"/>
            <w:col w:w="3300"/>
          </w:cols>
          <w:pgMar w:left="320" w:top="503" w:right="339" w:bottom="1440" w:gutter="0" w:footer="0" w:header="0"/>
          <w:type w:val="continuous"/>
        </w:sectPr>
      </w:pPr>
    </w:p>
    <w:p>
      <w:pPr>
        <w:ind w:left="2280"/>
        <w:spacing w:after="0"/>
        <w:rPr>
          <w:sz w:val="20"/>
          <w:szCs w:val="20"/>
          <w:color w:val="auto"/>
        </w:rPr>
      </w:pPr>
      <w:r>
        <w:rPr>
          <w:rFonts w:ascii="Arial" w:cs="Arial" w:eastAsia="Arial" w:hAnsi="Arial"/>
          <w:sz w:val="14"/>
          <w:szCs w:val="14"/>
          <w:b w:val="1"/>
          <w:bCs w:val="1"/>
          <w:color w:val="auto"/>
        </w:rPr>
        <w:t>3052 Orchard Dr.</w:t>
      </w:r>
    </w:p>
    <w:p>
      <w:pPr>
        <w:spacing w:after="0" w:line="17" w:lineRule="exact"/>
        <w:rPr>
          <w:sz w:val="24"/>
          <w:szCs w:val="24"/>
          <w:color w:val="auto"/>
        </w:rPr>
      </w:pPr>
    </w:p>
    <w:p>
      <w:pPr>
        <w:ind w:left="2180"/>
        <w:spacing w:after="0"/>
        <w:tabs>
          <w:tab w:leader="none" w:pos="8240" w:val="left"/>
        </w:tabs>
        <w:rPr>
          <w:sz w:val="20"/>
          <w:szCs w:val="20"/>
          <w:color w:val="auto"/>
        </w:rPr>
      </w:pPr>
      <w:r>
        <w:rPr>
          <w:rFonts w:ascii="Arial" w:cs="Arial" w:eastAsia="Arial" w:hAnsi="Arial"/>
          <w:sz w:val="14"/>
          <w:szCs w:val="14"/>
          <w:b w:val="1"/>
          <w:bCs w:val="1"/>
          <w:color w:val="auto"/>
        </w:rPr>
        <w:t>San Jose, California</w:t>
      </w:r>
      <w:r>
        <w:rPr>
          <w:sz w:val="20"/>
          <w:szCs w:val="20"/>
          <w:color w:val="auto"/>
        </w:rPr>
        <w:tab/>
      </w:r>
      <w:r>
        <w:rPr>
          <w:rFonts w:ascii="Arial" w:cs="Arial" w:eastAsia="Arial" w:hAnsi="Arial"/>
          <w:sz w:val="12"/>
          <w:szCs w:val="12"/>
          <w:b w:val="1"/>
          <w:bCs w:val="1"/>
          <w:color w:val="auto"/>
        </w:rPr>
        <w:t>95134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80" w:lineRule="exact"/>
        <w:rPr>
          <w:sz w:val="24"/>
          <w:szCs w:val="24"/>
          <w:color w:val="auto"/>
        </w:rPr>
      </w:pPr>
    </w:p>
    <w:p>
      <w:pPr>
        <w:ind w:right="120" w:firstLine="509"/>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8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509"/>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0" w:lineRule="exact"/>
        <w:rPr>
          <w:sz w:val="24"/>
          <w:szCs w:val="24"/>
          <w:color w:val="auto"/>
        </w:rPr>
      </w:pPr>
    </w:p>
    <w:p>
      <w:pPr>
        <w:jc w:val="both"/>
        <w:ind w:right="6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520" w:right="3080"/>
        <w:spacing w:after="0" w:line="24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2, 2022, the registrant had 48,307,880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4"/>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1"/>
            <w:vMerge w:val="restart"/>
          </w:tcPr>
          <w:p>
            <w:pPr>
              <w:spacing w:after="0"/>
              <w:rPr>
                <w:sz w:val="20"/>
                <w:szCs w:val="20"/>
                <w:color w:val="auto"/>
              </w:rPr>
            </w:pPr>
            <w:r>
              <w:rPr>
                <w:rFonts w:ascii="Arial" w:cs="Arial" w:eastAsia="Arial" w:hAnsi="Arial"/>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0" w:type="dxa"/>
            <w:vAlign w:val="bottom"/>
            <w:gridSpan w:val="3"/>
            <w:vMerge w:val="continue"/>
          </w:tcPr>
          <w:p>
            <w:pPr>
              <w:spacing w:after="0"/>
              <w:rPr>
                <w:sz w:val="13"/>
                <w:szCs w:val="13"/>
                <w:color w:val="auto"/>
              </w:rPr>
            </w:pPr>
          </w:p>
        </w:tc>
        <w:tc>
          <w:tcPr>
            <w:tcW w:w="9440" w:type="dxa"/>
            <w:vAlign w:val="bottom"/>
            <w:gridSpan w:val="21"/>
            <w:vMerge w:val="continue"/>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563C1"/>
              <w:bottom w:val="single" w:sz="8" w:color="0563C1"/>
            </w:tcBorders>
            <w:gridSpan w:val="10"/>
          </w:tcPr>
          <w:p>
            <w:pPr>
              <w:spacing w:after="0" w:line="182" w:lineRule="exact"/>
              <w:rPr>
                <w:sz w:val="20"/>
                <w:szCs w:val="20"/>
                <w:color w:val="auto"/>
              </w:rPr>
            </w:pPr>
            <w:r>
              <w:rPr>
                <w:rFonts w:ascii="Arial" w:cs="Arial" w:eastAsia="Arial" w:hAnsi="Arial"/>
                <w:sz w:val="18"/>
                <w:szCs w:val="18"/>
                <w:color w:val="0563C1"/>
                <w:w w:val="83"/>
              </w:rPr>
              <w:t>Financial Statements (Unaudited)</w:t>
            </w:r>
          </w:p>
        </w:tc>
        <w:tc>
          <w:tcPr>
            <w:tcW w:w="80" w:type="dxa"/>
            <w:vAlign w:val="bottom"/>
            <w:tcBorders>
              <w:bottom w:val="single" w:sz="8" w:color="0563C1"/>
            </w:tcBorders>
          </w:tcPr>
          <w:p>
            <w:pPr>
              <w:spacing w:after="0"/>
              <w:rPr>
                <w:sz w:val="15"/>
                <w:szCs w:val="15"/>
                <w:color w:val="auto"/>
              </w:rPr>
            </w:pPr>
          </w:p>
        </w:tc>
        <w:tc>
          <w:tcPr>
            <w:tcW w:w="80" w:type="dxa"/>
            <w:vAlign w:val="bottom"/>
            <w:tcBorders>
              <w:bottom w:val="single" w:sz="8" w:color="0563C1"/>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12"/>
          </w:tcPr>
          <w:p>
            <w:pPr>
              <w:spacing w:after="0" w:line="182" w:lineRule="exact"/>
              <w:rPr>
                <w:sz w:val="20"/>
                <w:szCs w:val="20"/>
                <w:color w:val="auto"/>
              </w:rPr>
            </w:pPr>
            <w:r>
              <w:rPr>
                <w:rFonts w:ascii="Arial" w:cs="Arial" w:eastAsia="Arial" w:hAnsi="Arial"/>
                <w:sz w:val="18"/>
                <w:szCs w:val="18"/>
                <w:color w:val="0563C1"/>
              </w:rPr>
              <w:t>Condensed Balance Sheets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Borders>
              <w:top w:val="single" w:sz="8" w:color="0563C1"/>
              <w:bottom w:val="single" w:sz="8" w:color="0563C1"/>
            </w:tcBorders>
            <w:gridSpan w:val="9"/>
          </w:tcPr>
          <w:p>
            <w:pPr>
              <w:spacing w:after="0" w:line="182" w:lineRule="exact"/>
              <w:rPr>
                <w:sz w:val="20"/>
                <w:szCs w:val="20"/>
                <w:color w:val="auto"/>
              </w:rPr>
            </w:pPr>
            <w:r>
              <w:rPr>
                <w:rFonts w:ascii="Arial" w:cs="Arial" w:eastAsia="Arial" w:hAnsi="Arial"/>
                <w:sz w:val="18"/>
                <w:szCs w:val="18"/>
                <w:color w:val="0563C1"/>
                <w:w w:val="92"/>
              </w:rPr>
              <w:t>Condensed Statements of</w:t>
            </w:r>
          </w:p>
        </w:tc>
        <w:tc>
          <w:tcPr>
            <w:tcW w:w="740" w:type="dxa"/>
            <w:vAlign w:val="bottom"/>
            <w:tcBorders>
              <w:bottom w:val="single" w:sz="8" w:color="0563C1"/>
            </w:tcBorders>
            <w:gridSpan w:val="4"/>
          </w:tcPr>
          <w:p>
            <w:pPr>
              <w:jc w:val="center"/>
              <w:spacing w:after="0" w:line="182" w:lineRule="exact"/>
              <w:rPr>
                <w:sz w:val="20"/>
                <w:szCs w:val="20"/>
                <w:color w:val="auto"/>
              </w:rPr>
            </w:pPr>
            <w:r>
              <w:rPr>
                <w:rFonts w:ascii="Arial" w:cs="Arial" w:eastAsia="Arial" w:hAnsi="Arial"/>
                <w:sz w:val="18"/>
                <w:szCs w:val="18"/>
                <w:color w:val="0563C1"/>
                <w:w w:val="83"/>
              </w:rPr>
              <w:t>Operations</w:t>
            </w:r>
          </w:p>
        </w:tc>
        <w:tc>
          <w:tcPr>
            <w:tcW w:w="6760" w:type="dxa"/>
            <w:vAlign w:val="bottom"/>
            <w:gridSpan w:val="8"/>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40" w:type="dxa"/>
            <w:vAlign w:val="bottom"/>
            <w:gridSpan w:val="21"/>
          </w:tcPr>
          <w:p>
            <w:pPr>
              <w:spacing w:after="0" w:line="182" w:lineRule="exact"/>
              <w:rPr>
                <w:sz w:val="20"/>
                <w:szCs w:val="20"/>
                <w:color w:val="auto"/>
              </w:rPr>
            </w:pPr>
            <w:r>
              <w:rPr>
                <w:rFonts w:ascii="Arial" w:cs="Arial" w:eastAsia="Arial" w:hAnsi="Arial"/>
                <w:sz w:val="18"/>
                <w:szCs w:val="18"/>
                <w:color w:val="0563C1"/>
              </w:rPr>
              <w:t>Condensed Statements of Comprehensive Loss</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Borders>
              <w:top w:val="single" w:sz="8" w:color="0563C1"/>
            </w:tcBorders>
            <w:gridSpan w:val="16"/>
          </w:tcPr>
          <w:p>
            <w:pPr>
              <w:spacing w:after="0" w:line="182" w:lineRule="exact"/>
              <w:rPr>
                <w:sz w:val="20"/>
                <w:szCs w:val="20"/>
                <w:color w:val="auto"/>
              </w:rPr>
            </w:pPr>
            <w:r>
              <w:rPr>
                <w:rFonts w:ascii="Arial" w:cs="Arial" w:eastAsia="Arial" w:hAnsi="Arial"/>
                <w:sz w:val="18"/>
                <w:szCs w:val="18"/>
                <w:color w:val="0563C1"/>
                <w:w w:val="89"/>
              </w:rPr>
              <w:t>Condensed Statements of Stockholders’ Equity</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563C1"/>
                <w:w w:val="89"/>
              </w:rPr>
              <w:t>Condensed Statements of</w:t>
            </w:r>
          </w:p>
        </w:tc>
        <w:tc>
          <w:tcPr>
            <w:tcW w:w="1540" w:type="dxa"/>
            <w:vAlign w:val="bottom"/>
            <w:tcBorders>
              <w:top w:val="single" w:sz="8" w:color="0563C1"/>
            </w:tcBorders>
            <w:gridSpan w:val="10"/>
          </w:tcPr>
          <w:p>
            <w:pPr>
              <w:jc w:val="center"/>
              <w:ind w:right="700"/>
              <w:spacing w:after="0" w:line="182" w:lineRule="exact"/>
              <w:rPr>
                <w:sz w:val="20"/>
                <w:szCs w:val="20"/>
                <w:color w:val="auto"/>
              </w:rPr>
            </w:pPr>
            <w:r>
              <w:rPr>
                <w:rFonts w:ascii="Arial" w:cs="Arial" w:eastAsia="Arial" w:hAnsi="Arial"/>
                <w:sz w:val="18"/>
                <w:szCs w:val="18"/>
                <w:color w:val="0563C1"/>
                <w:w w:val="89"/>
              </w:rPr>
              <w:t>Cash Flows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40" w:type="dxa"/>
            <w:vAlign w:val="bottom"/>
            <w:gridSpan w:val="21"/>
          </w:tcPr>
          <w:p>
            <w:pPr>
              <w:spacing w:after="0" w:line="182" w:lineRule="exact"/>
              <w:rPr>
                <w:sz w:val="20"/>
                <w:szCs w:val="20"/>
                <w:color w:val="auto"/>
              </w:rPr>
            </w:pPr>
            <w:r>
              <w:rPr>
                <w:rFonts w:ascii="Arial" w:cs="Arial" w:eastAsia="Arial" w:hAnsi="Arial"/>
                <w:sz w:val="18"/>
                <w:szCs w:val="18"/>
                <w:color w:val="0563C1"/>
              </w:rPr>
              <w:t>Notes to Condensed Financial Statements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3"/>
        </w:trPr>
        <w:tc>
          <w:tcPr>
            <w:tcW w:w="1080" w:type="dxa"/>
            <w:vAlign w:val="bottom"/>
            <w:gridSpan w:val="3"/>
            <w:vMerge w:val="continue"/>
          </w:tcPr>
          <w:p>
            <w:pPr>
              <w:spacing w:after="0"/>
              <w:rPr>
                <w:sz w:val="15"/>
                <w:szCs w:val="15"/>
                <w:color w:val="auto"/>
              </w:rPr>
            </w:pPr>
          </w:p>
        </w:tc>
        <w:tc>
          <w:tcPr>
            <w:tcW w:w="9440" w:type="dxa"/>
            <w:vAlign w:val="bottom"/>
            <w:gridSpan w:val="21"/>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20"/>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9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line="182" w:lineRule="exact"/>
              <w:rPr>
                <w:sz w:val="20"/>
                <w:szCs w:val="20"/>
                <w:color w:val="auto"/>
              </w:rPr>
            </w:pPr>
            <w:r>
              <w:rPr>
                <w:rFonts w:ascii="Arial" w:cs="Arial" w:eastAsia="Arial" w:hAnsi="Arial"/>
                <w:sz w:val="18"/>
                <w:szCs w:val="18"/>
                <w:color w:val="0563C1"/>
                <w:w w:val="88"/>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13"/>
          </w:tcPr>
          <w:p>
            <w:pPr>
              <w:spacing w:after="0"/>
              <w:rPr>
                <w:sz w:val="15"/>
                <w:szCs w:val="15"/>
                <w:color w:val="auto"/>
              </w:rPr>
            </w:pPr>
          </w:p>
        </w:tc>
        <w:tc>
          <w:tcPr>
            <w:tcW w:w="5060" w:type="dxa"/>
            <w:vAlign w:val="bottom"/>
            <w:gridSpan w:val="2"/>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563C1"/>
            </w:tcBorders>
            <w:gridSpan w:val="6"/>
          </w:tcPr>
          <w:p>
            <w:pPr>
              <w:spacing w:after="0" w:line="182" w:lineRule="exact"/>
              <w:rPr>
                <w:sz w:val="20"/>
                <w:szCs w:val="20"/>
                <w:color w:val="auto"/>
              </w:rPr>
            </w:pPr>
            <w:r>
              <w:rPr>
                <w:rFonts w:ascii="Arial" w:cs="Arial" w:eastAsia="Arial" w:hAnsi="Arial"/>
                <w:sz w:val="18"/>
                <w:szCs w:val="18"/>
                <w:color w:val="0563C1"/>
                <w:w w:val="91"/>
              </w:rPr>
              <w:t>OTHER INFORMATION</w:t>
            </w:r>
          </w:p>
        </w:tc>
        <w:tc>
          <w:tcPr>
            <w:tcW w:w="100" w:type="dxa"/>
            <w:vAlign w:val="bottom"/>
            <w:tcBorders>
              <w:bottom w:val="single" w:sz="8" w:color="0563C1"/>
            </w:tcBorders>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2020" w:type="dxa"/>
            <w:vAlign w:val="bottom"/>
            <w:gridSpan w:val="7"/>
          </w:tcPr>
          <w:p>
            <w:pPr>
              <w:spacing w:after="0"/>
              <w:rPr>
                <w:sz w:val="15"/>
                <w:szCs w:val="15"/>
                <w:color w:val="auto"/>
              </w:rPr>
            </w:pPr>
          </w:p>
        </w:tc>
        <w:tc>
          <w:tcPr>
            <w:tcW w:w="5080" w:type="dxa"/>
            <w:vAlign w:val="bottom"/>
            <w:gridSpan w:val="3"/>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82" w:lineRule="exact"/>
              <w:rPr>
                <w:sz w:val="20"/>
                <w:szCs w:val="20"/>
                <w:color w:val="auto"/>
              </w:rPr>
            </w:pPr>
            <w:r>
              <w:rPr>
                <w:rFonts w:ascii="Arial" w:cs="Arial" w:eastAsia="Arial" w:hAnsi="Arial"/>
                <w:sz w:val="18"/>
                <w:szCs w:val="18"/>
                <w:color w:val="0563C1"/>
              </w:rPr>
              <w:t>Legal Proceedings</w:t>
            </w:r>
          </w:p>
        </w:tc>
        <w:tc>
          <w:tcPr>
            <w:tcW w:w="440" w:type="dxa"/>
            <w:vAlign w:val="bottom"/>
            <w:gridSpan w:val="3"/>
          </w:tcPr>
          <w:p>
            <w:pPr>
              <w:spacing w:after="0"/>
              <w:rPr>
                <w:sz w:val="15"/>
                <w:szCs w:val="15"/>
                <w:color w:val="auto"/>
              </w:rPr>
            </w:pPr>
          </w:p>
        </w:tc>
        <w:tc>
          <w:tcPr>
            <w:tcW w:w="2020" w:type="dxa"/>
            <w:vAlign w:val="bottom"/>
            <w:gridSpan w:val="7"/>
          </w:tcPr>
          <w:p>
            <w:pPr>
              <w:spacing w:after="0"/>
              <w:rPr>
                <w:sz w:val="15"/>
                <w:szCs w:val="15"/>
                <w:color w:val="auto"/>
              </w:rPr>
            </w:pPr>
          </w:p>
        </w:tc>
        <w:tc>
          <w:tcPr>
            <w:tcW w:w="5080" w:type="dxa"/>
            <w:vAlign w:val="bottom"/>
            <w:gridSpan w:val="3"/>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7"/>
          </w:tcPr>
          <w:p>
            <w:pPr>
              <w:spacing w:after="0"/>
              <w:rPr>
                <w:sz w:val="15"/>
                <w:szCs w:val="15"/>
                <w:color w:val="auto"/>
              </w:rPr>
            </w:pPr>
          </w:p>
        </w:tc>
        <w:tc>
          <w:tcPr>
            <w:tcW w:w="2020" w:type="dxa"/>
            <w:vAlign w:val="bottom"/>
            <w:gridSpan w:val="7"/>
          </w:tcPr>
          <w:p>
            <w:pPr>
              <w:spacing w:after="0"/>
              <w:rPr>
                <w:sz w:val="15"/>
                <w:szCs w:val="15"/>
                <w:color w:val="auto"/>
              </w:rPr>
            </w:pPr>
          </w:p>
        </w:tc>
        <w:tc>
          <w:tcPr>
            <w:tcW w:w="5080" w:type="dxa"/>
            <w:vAlign w:val="bottom"/>
            <w:gridSpan w:val="3"/>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2"/>
          </w:tcPr>
          <w:p>
            <w:pPr>
              <w:spacing w:after="0" w:line="182" w:lineRule="exact"/>
              <w:rPr>
                <w:sz w:val="20"/>
                <w:szCs w:val="20"/>
                <w:color w:val="auto"/>
              </w:rPr>
            </w:pPr>
            <w:r>
              <w:rPr>
                <w:rFonts w:ascii="Arial" w:cs="Arial" w:eastAsia="Arial" w:hAnsi="Arial"/>
                <w:sz w:val="18"/>
                <w:szCs w:val="18"/>
                <w:color w:val="0563C1"/>
                <w:w w:val="87"/>
              </w:rPr>
              <w:t>Unregistered</w:t>
            </w:r>
          </w:p>
        </w:tc>
        <w:tc>
          <w:tcPr>
            <w:tcW w:w="8520" w:type="dxa"/>
            <w:vAlign w:val="bottom"/>
            <w:gridSpan w:val="19"/>
          </w:tcPr>
          <w:p>
            <w:pPr>
              <w:ind w:left="60"/>
              <w:spacing w:after="0" w:line="182" w:lineRule="exact"/>
              <w:rPr>
                <w:sz w:val="20"/>
                <w:szCs w:val="20"/>
                <w:color w:val="auto"/>
              </w:rPr>
            </w:pPr>
            <w:r>
              <w:rPr>
                <w:rFonts w:ascii="Arial" w:cs="Arial" w:eastAsia="Arial" w:hAnsi="Arial"/>
                <w:sz w:val="18"/>
                <w:szCs w:val="18"/>
                <w:color w:val="0563C1"/>
              </w:rPr>
              <w:t>Sales of Equity Securities and Use of Proceeds</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8"/>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5080" w:type="dxa"/>
            <w:vAlign w:val="bottom"/>
            <w:gridSpan w:val="3"/>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11"/>
          </w:tcPr>
          <w:p>
            <w:pPr>
              <w:spacing w:after="0" w:line="182" w:lineRule="exact"/>
              <w:rPr>
                <w:sz w:val="20"/>
                <w:szCs w:val="20"/>
                <w:color w:val="auto"/>
              </w:rPr>
            </w:pPr>
            <w:r>
              <w:rPr>
                <w:rFonts w:ascii="Arial" w:cs="Arial" w:eastAsia="Arial" w:hAnsi="Arial"/>
                <w:sz w:val="18"/>
                <w:szCs w:val="18"/>
                <w:color w:val="0563C1"/>
              </w:rPr>
              <w:t>Mine Safety Disclosures</w:t>
            </w:r>
          </w:p>
        </w:tc>
        <w:tc>
          <w:tcPr>
            <w:tcW w:w="7100" w:type="dxa"/>
            <w:vAlign w:val="bottom"/>
            <w:gridSpan w:val="10"/>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660" w:type="dxa"/>
            <w:vAlign w:val="bottom"/>
            <w:gridSpan w:val="16"/>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rPr>
              <w:t>Exhibits</w:t>
            </w:r>
          </w:p>
        </w:tc>
        <w:tc>
          <w:tcPr>
            <w:tcW w:w="8120" w:type="dxa"/>
            <w:vAlign w:val="bottom"/>
            <w:gridSpan w:val="18"/>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080" w:type="dxa"/>
            <w:vAlign w:val="bottom"/>
            <w:gridSpan w:val="3"/>
          </w:tcPr>
          <w:p>
            <w:pPr>
              <w:ind w:left="20"/>
              <w:spacing w:after="0" w:line="182" w:lineRule="exact"/>
              <w:rPr>
                <w:sz w:val="20"/>
                <w:szCs w:val="20"/>
                <w:color w:val="auto"/>
              </w:rPr>
            </w:pPr>
            <w:r>
              <w:rPr>
                <w:rFonts w:ascii="Arial" w:cs="Arial" w:eastAsia="Arial" w:hAnsi="Arial"/>
                <w:sz w:val="18"/>
                <w:szCs w:val="18"/>
                <w:color w:val="0563C1"/>
              </w:rPr>
              <w:t>Signatures</w:t>
            </w:r>
          </w:p>
        </w:tc>
        <w:tc>
          <w:tcPr>
            <w:tcW w:w="600" w:type="dxa"/>
            <w:vAlign w:val="bottom"/>
            <w:tcBorders>
              <w:top w:val="single" w:sz="8" w:color="0563C1"/>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75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80" w:type="dxa"/>
            <w:vAlign w:val="bottom"/>
          </w:tcPr>
          <w:p>
            <w:pPr>
              <w:jc w:val="center"/>
              <w:ind w:left="327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2"/>
        </w:trPr>
        <w:tc>
          <w:tcPr>
            <w:tcW w:w="7880" w:type="dxa"/>
            <w:vAlign w:val="bottom"/>
          </w:tcPr>
          <w:p>
            <w:pPr>
              <w:jc w:val="center"/>
              <w:ind w:left="3270"/>
              <w:spacing w:after="0"/>
              <w:rPr>
                <w:sz w:val="20"/>
                <w:szCs w:val="20"/>
                <w:color w:val="auto"/>
              </w:rPr>
            </w:pPr>
            <w:r>
              <w:rPr>
                <w:rFonts w:ascii="Arial" w:cs="Arial" w:eastAsia="Arial" w:hAnsi="Arial"/>
                <w:sz w:val="18"/>
                <w:szCs w:val="18"/>
                <w:b w:val="1"/>
                <w:bCs w:val="1"/>
                <w:color w:val="auto"/>
                <w:w w:val="92"/>
              </w:rPr>
              <w:t>Outset Medical, Inc.</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7880" w:type="dxa"/>
            <w:vAlign w:val="bottom"/>
          </w:tcPr>
          <w:p>
            <w:pPr>
              <w:jc w:val="center"/>
              <w:ind w:left="3270"/>
              <w:spacing w:after="0"/>
              <w:rPr>
                <w:sz w:val="20"/>
                <w:szCs w:val="20"/>
                <w:color w:val="auto"/>
              </w:rPr>
            </w:pPr>
            <w:r>
              <w:rPr>
                <w:rFonts w:ascii="Arial" w:cs="Arial" w:eastAsia="Arial" w:hAnsi="Arial"/>
                <w:sz w:val="18"/>
                <w:szCs w:val="18"/>
                <w:b w:val="1"/>
                <w:bCs w:val="1"/>
                <w:color w:val="auto"/>
                <w:w w:val="86"/>
              </w:rPr>
              <w:t>Condensed Balance Sheets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jc w:val="center"/>
              <w:ind w:left="327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0"/>
        </w:trPr>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7"/>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70"/>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182,348</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163,640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157,140</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39,185</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310,003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409,802</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r>
      <w:tr>
        <w:trPr>
          <w:trHeight w:val="249"/>
        </w:trPr>
        <w:tc>
          <w:tcPr>
            <w:tcW w:w="78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365,722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463,464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8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1,444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24,948</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13,789</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 liability</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8"/>
                <w:szCs w:val="18"/>
                <w:color w:val="auto"/>
              </w:rPr>
            </w:pPr>
          </w:p>
        </w:tc>
      </w:tr>
      <w:tr>
        <w:trPr>
          <w:trHeight w:val="210"/>
        </w:trPr>
        <w:tc>
          <w:tcPr>
            <w:tcW w:w="78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51,695</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noncurrent</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Term loan, noncurrent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29,828</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tcPr>
          <w:p>
            <w:pPr>
              <w:spacing w:after="0"/>
              <w:rPr>
                <w:sz w:val="18"/>
                <w:szCs w:val="18"/>
                <w:color w:val="auto"/>
              </w:rPr>
            </w:pPr>
          </w:p>
        </w:tc>
      </w:tr>
      <w:tr>
        <w:trPr>
          <w:trHeight w:val="210"/>
        </w:trPr>
        <w:tc>
          <w:tcPr>
            <w:tcW w:w="78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880" w:type="dxa"/>
            <w:vAlign w:val="bottom"/>
          </w:tcPr>
          <w:p>
            <w:pPr>
              <w:ind w:left="200"/>
              <w:spacing w:after="0" w:line="175" w:lineRule="exact"/>
              <w:rPr>
                <w:sz w:val="20"/>
                <w:szCs w:val="20"/>
                <w:color w:val="auto"/>
              </w:rPr>
            </w:pPr>
            <w:r>
              <w:rPr>
                <w:rFonts w:ascii="Arial" w:cs="Arial" w:eastAsia="Arial" w:hAnsi="Arial"/>
                <w:sz w:val="18"/>
                <w:szCs w:val="18"/>
                <w:color w:val="auto"/>
                <w:w w:val="92"/>
              </w:rPr>
              <w:t>Preferred stock, $0.001 par value; 5,000 shares authorized, and no shares issued and outstanding as of</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880" w:type="dxa"/>
            <w:vAlign w:val="bottom"/>
          </w:tcPr>
          <w:p>
            <w:pPr>
              <w:ind w:left="200"/>
              <w:spacing w:after="0"/>
              <w:rPr>
                <w:sz w:val="20"/>
                <w:szCs w:val="20"/>
                <w:color w:val="auto"/>
              </w:rPr>
            </w:pPr>
            <w:r>
              <w:rPr>
                <w:rFonts w:ascii="Arial" w:cs="Arial" w:eastAsia="Arial" w:hAnsi="Arial"/>
                <w:sz w:val="18"/>
                <w:szCs w:val="18"/>
                <w:color w:val="auto"/>
              </w:rPr>
              <w:t>September 30, 2022 and December 31, 2021</w:t>
            </w:r>
          </w:p>
        </w:tc>
        <w:tc>
          <w:tcPr>
            <w:tcW w:w="1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8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3"/>
              </w:rPr>
              <w:t>Common stock, $0.001 par value; 300,000 shares authorized as of September 30, 2022 and December</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88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w w:val="90"/>
              </w:rPr>
              <w:t>31, 2021; 48,295 and 47,241 shares issued and outstanding as of September 30, 2022 and December 31,</w:t>
            </w: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2021, respectively</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1,027,495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1,000,212</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(934 )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(184 )</w:t>
            </w:r>
          </w:p>
        </w:tc>
      </w:tr>
      <w:tr>
        <w:trPr>
          <w:trHeight w:val="216"/>
        </w:trPr>
        <w:tc>
          <w:tcPr>
            <w:tcW w:w="78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(747,506 )</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(625,994 )</w:t>
            </w:r>
          </w:p>
        </w:tc>
      </w:tr>
      <w:tr>
        <w:trPr>
          <w:trHeight w:val="209"/>
        </w:trPr>
        <w:tc>
          <w:tcPr>
            <w:tcW w:w="78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279,103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365,722</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463,464</w:t>
            </w:r>
          </w:p>
        </w:tc>
        <w:tc>
          <w:tcPr>
            <w:tcW w:w="10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-4448175</wp:posOffset>
            </wp:positionV>
            <wp:extent cx="6858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-3608070</wp:posOffset>
            </wp:positionV>
            <wp:extent cx="116586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-1645285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230"/>
        </w:trPr>
        <w:tc>
          <w:tcPr>
            <w:tcW w:w="7360" w:type="dxa"/>
            <w:vAlign w:val="bottom"/>
            <w:gridSpan w:val="4"/>
          </w:tcPr>
          <w:p>
            <w:pPr>
              <w:ind w:left="4140"/>
              <w:spacing w:after="0"/>
              <w:rPr>
                <w:sz w:val="20"/>
                <w:szCs w:val="20"/>
                <w:color w:val="auto"/>
              </w:rPr>
            </w:pPr>
            <w:r>
              <w:rPr>
                <w:rFonts w:ascii="Arial" w:cs="Arial" w:eastAsia="Arial" w:hAnsi="Arial"/>
                <w:sz w:val="18"/>
                <w:szCs w:val="18"/>
                <w:i w:val="1"/>
                <w:iCs w:val="1"/>
                <w:color w:val="auto"/>
                <w:w w:val="96"/>
              </w:rPr>
              <w:t>(in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4"/>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26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6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60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21,739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21,824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67,024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74,450</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63,180</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70,163</w:t>
            </w:r>
          </w:p>
        </w:tc>
        <w:tc>
          <w:tcPr>
            <w:tcW w:w="100" w:type="dxa"/>
            <w:vAlign w:val="bottom"/>
          </w:tcPr>
          <w:p>
            <w:pPr>
              <w:spacing w:after="0"/>
              <w:rPr>
                <w:sz w:val="18"/>
                <w:szCs w:val="18"/>
                <w:color w:val="auto"/>
              </w:rPr>
            </w:pPr>
          </w:p>
        </w:tc>
      </w:tr>
      <w:tr>
        <w:trPr>
          <w:trHeight w:val="210"/>
        </w:trPr>
        <w:tc>
          <w:tcPr>
            <w:tcW w:w="6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25,331</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42,079</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94,007</w:t>
            </w:r>
          </w:p>
        </w:tc>
        <w:tc>
          <w:tcPr>
            <w:tcW w:w="100" w:type="dxa"/>
            <w:vAlign w:val="bottom"/>
          </w:tcPr>
          <w:p>
            <w:pPr>
              <w:spacing w:after="0"/>
              <w:rPr>
                <w:sz w:val="18"/>
                <w:szCs w:val="18"/>
                <w:color w:val="auto"/>
              </w:rPr>
            </w:pPr>
          </w:p>
        </w:tc>
      </w:tr>
      <w:tr>
        <w:trPr>
          <w:trHeight w:val="209"/>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(121,195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(89,720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tcPr>
          <w:p>
            <w:pPr>
              <w:ind w:left="200"/>
              <w:spacing w:after="0"/>
              <w:rPr>
                <w:sz w:val="20"/>
                <w:szCs w:val="20"/>
                <w:color w:val="auto"/>
              </w:rPr>
            </w:pPr>
            <w:r>
              <w:rPr>
                <w:rFonts w:ascii="Arial" w:cs="Arial" w:eastAsia="Arial" w:hAnsi="Arial"/>
                <w:sz w:val="18"/>
                <w:szCs w:val="18"/>
                <w:color w:val="auto"/>
              </w:rPr>
              <w:t>Interest income and other income,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(567 )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(431 )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(1,470 )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(1,284 )</w:t>
            </w: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(40,761</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(30,470</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(121,281</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(40,781 )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(30,470 )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(121,512 )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(90,703 )</w:t>
            </w:r>
          </w:p>
        </w:tc>
      </w:tr>
      <w:tr>
        <w:trPr>
          <w:trHeight w:val="20"/>
        </w:trPr>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r>
      <w:tr>
        <w:trPr>
          <w:trHeight w:val="25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(0.85 )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(0.65 )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(2.54 )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(1.96 )</w:t>
            </w:r>
          </w:p>
        </w:tc>
      </w:tr>
      <w:tr>
        <w:trPr>
          <w:trHeight w:val="197"/>
        </w:trPr>
        <w:tc>
          <w:tcPr>
            <w:tcW w:w="60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48,129</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46,588</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47,835</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46,252</w:t>
            </w:r>
          </w:p>
        </w:tc>
        <w:tc>
          <w:tcPr>
            <w:tcW w:w="100" w:type="dxa"/>
            <w:vAlign w:val="bottom"/>
            <w:tcBorders>
              <w:top w:val="single" w:sz="8" w:color="CFF0FC"/>
            </w:tcBorders>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-2879725</wp:posOffset>
            </wp:positionV>
            <wp:extent cx="7747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-2879725</wp:posOffset>
            </wp:positionV>
            <wp:extent cx="7683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-2879725</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7747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-2322195</wp:posOffset>
            </wp:positionV>
            <wp:extent cx="768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-2322195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-1482090</wp:posOffset>
            </wp:positionV>
            <wp:extent cx="774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-1482090</wp:posOffset>
            </wp:positionV>
            <wp:extent cx="768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-1482090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-633730</wp:posOffset>
            </wp:positionV>
            <wp:extent cx="7747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-633730</wp:posOffset>
            </wp:positionV>
            <wp:extent cx="7683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-633730</wp:posOffset>
            </wp:positionV>
            <wp:extent cx="6858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262318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23185" cy="18859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6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60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(750 )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6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(40,760 )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(30,462 )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(122,262 )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(90,724 )</w:t>
            </w:r>
          </w:p>
        </w:tc>
      </w:tr>
      <w:tr>
        <w:trPr>
          <w:trHeight w:val="20"/>
        </w:trPr>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-170815</wp:posOffset>
            </wp:positionV>
            <wp:extent cx="768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7747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92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Additional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59"/>
              <w:spacing w:after="0" w:line="175" w:lineRule="exact"/>
              <w:rPr>
                <w:sz w:val="20"/>
                <w:szCs w:val="20"/>
                <w:color w:val="auto"/>
              </w:rPr>
            </w:pPr>
            <w:r>
              <w:rPr>
                <w:rFonts w:ascii="Arial" w:cs="Arial" w:eastAsia="Arial" w:hAnsi="Arial"/>
                <w:sz w:val="16"/>
                <w:szCs w:val="16"/>
                <w:b w:val="1"/>
                <w:bCs w:val="1"/>
                <w:color w:val="auto"/>
                <w:w w:val="98"/>
              </w:rPr>
              <w:t>Other</w:t>
            </w: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880" w:type="dxa"/>
            <w:vAlign w:val="bottom"/>
            <w:gridSpan w:val="2"/>
          </w:tcPr>
          <w:p>
            <w:pPr>
              <w:jc w:val="right"/>
              <w:ind w:right="400"/>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9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Paid-in</w:t>
            </w:r>
          </w:p>
        </w:tc>
        <w:tc>
          <w:tcPr>
            <w:tcW w:w="24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160" w:type="dxa"/>
            <w:vAlign w:val="bottom"/>
            <w:gridSpan w:val="3"/>
            <w:vMerge w:val="continue"/>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Capital</w:t>
            </w:r>
          </w:p>
        </w:tc>
        <w:tc>
          <w:tcPr>
            <w:tcW w:w="240" w:type="dxa"/>
            <w:vAlign w:val="bottom"/>
          </w:tcPr>
          <w:p>
            <w:pPr>
              <w:spacing w:after="0"/>
              <w:rPr>
                <w:sz w:val="17"/>
                <w:szCs w:val="17"/>
                <w:color w:val="auto"/>
              </w:rPr>
            </w:pPr>
          </w:p>
        </w:tc>
        <w:tc>
          <w:tcPr>
            <w:tcW w:w="134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7"/>
                <w:szCs w:val="17"/>
                <w:color w:val="auto"/>
              </w:rPr>
            </w:pPr>
          </w:p>
        </w:tc>
        <w:tc>
          <w:tcPr>
            <w:tcW w:w="10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47,241</w:t>
            </w:r>
          </w:p>
        </w:tc>
        <w:tc>
          <w:tcPr>
            <w:tcW w:w="2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47</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1,000,212</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(625,994</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374,081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80" w:type="dxa"/>
            <w:vAlign w:val="bottom"/>
          </w:tcPr>
          <w:p>
            <w:pPr>
              <w:ind w:left="200"/>
              <w:spacing w:after="0" w:line="152" w:lineRule="exact"/>
              <w:rPr>
                <w:sz w:val="20"/>
                <w:szCs w:val="20"/>
                <w:color w:val="auto"/>
              </w:rPr>
            </w:pPr>
            <w:r>
              <w:rPr>
                <w:rFonts w:ascii="Arial" w:cs="Arial" w:eastAsia="Arial" w:hAnsi="Arial"/>
                <w:sz w:val="16"/>
                <w:szCs w:val="16"/>
                <w:color w:val="auto"/>
              </w:rPr>
              <w:t>Issuance of common stock through employee stock</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2,063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280"/>
              <w:spacing w:after="0"/>
              <w:rPr>
                <w:sz w:val="20"/>
                <w:szCs w:val="20"/>
                <w:color w:val="auto"/>
              </w:rPr>
            </w:pPr>
            <w:r>
              <w:rPr>
                <w:rFonts w:ascii="Arial" w:cs="Arial" w:eastAsia="Arial" w:hAnsi="Arial"/>
                <w:sz w:val="16"/>
                <w:szCs w:val="16"/>
                <w:color w:val="auto"/>
              </w:rPr>
              <w:t>purchase plan</w:t>
            </w: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jc w:val="right"/>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(36,892 )</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(36,892 )</w:t>
            </w: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820" w:type="dxa"/>
            <w:vAlign w:val="bottom"/>
          </w:tcPr>
          <w:p>
            <w:pPr>
              <w:jc w:val="right"/>
              <w:spacing w:after="0"/>
              <w:rPr>
                <w:sz w:val="20"/>
                <w:szCs w:val="20"/>
                <w:color w:val="auto"/>
              </w:rPr>
            </w:pPr>
            <w:r>
              <w:rPr>
                <w:rFonts w:ascii="Arial" w:cs="Arial" w:eastAsia="Arial" w:hAnsi="Arial"/>
                <w:sz w:val="16"/>
                <w:szCs w:val="16"/>
                <w:color w:val="auto"/>
              </w:rPr>
              <w:t>47,712</w:t>
            </w:r>
          </w:p>
        </w:tc>
        <w:tc>
          <w:tcPr>
            <w:tcW w:w="260" w:type="dxa"/>
            <w:vAlign w:val="bottom"/>
          </w:tcPr>
          <w:p>
            <w:pPr>
              <w:spacing w:after="0"/>
              <w:rPr>
                <w:sz w:val="17"/>
                <w:szCs w:val="17"/>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48</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1,008,940</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(649 )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(662,886 )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jc w:val="right"/>
              <w:spacing w:after="0"/>
              <w:rPr>
                <w:sz w:val="20"/>
                <w:szCs w:val="20"/>
                <w:color w:val="auto"/>
              </w:rPr>
            </w:pPr>
            <w:r>
              <w:rPr>
                <w:rFonts w:ascii="Arial" w:cs="Arial" w:eastAsia="Arial" w:hAnsi="Arial"/>
                <w:sz w:val="16"/>
                <w:szCs w:val="16"/>
                <w:color w:val="auto"/>
              </w:rPr>
              <w:t>233</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(306 )</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(43,839 )</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(43,839 )</w:t>
            </w: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820" w:type="dxa"/>
            <w:vAlign w:val="bottom"/>
          </w:tcPr>
          <w:p>
            <w:pPr>
              <w:jc w:val="right"/>
              <w:spacing w:after="0"/>
              <w:rPr>
                <w:sz w:val="20"/>
                <w:szCs w:val="20"/>
                <w:color w:val="auto"/>
              </w:rPr>
            </w:pPr>
            <w:r>
              <w:rPr>
                <w:rFonts w:ascii="Arial" w:cs="Arial" w:eastAsia="Arial" w:hAnsi="Arial"/>
                <w:sz w:val="16"/>
                <w:szCs w:val="16"/>
                <w:color w:val="auto"/>
              </w:rPr>
              <w:t>47,997</w:t>
            </w:r>
          </w:p>
        </w:tc>
        <w:tc>
          <w:tcPr>
            <w:tcW w:w="260" w:type="dxa"/>
            <w:vAlign w:val="bottom"/>
          </w:tcPr>
          <w:p>
            <w:pPr>
              <w:spacing w:after="0"/>
              <w:rPr>
                <w:sz w:val="17"/>
                <w:szCs w:val="17"/>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48</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1,017,396</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(955 )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(706,725 )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309,764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Issuance of common stock through employee</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2,139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stock purchase plan</w:t>
            </w:r>
          </w:p>
        </w:tc>
        <w:tc>
          <w:tcPr>
            <w:tcW w:w="8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on available-for-sale securities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(40,781 )</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(40,781 )</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48,295</w:t>
            </w:r>
          </w:p>
        </w:tc>
        <w:tc>
          <w:tcPr>
            <w:tcW w:w="2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48</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1,027,495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(747,506</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279,103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-1953895</wp:posOffset>
            </wp:positionV>
            <wp:extent cx="774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-1953895</wp:posOffset>
            </wp:positionV>
            <wp:extent cx="774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-1953895</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-1953895</wp:posOffset>
            </wp:positionV>
            <wp:extent cx="685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-1953895</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-1174115</wp:posOffset>
            </wp:positionV>
            <wp:extent cx="7747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-1174115</wp:posOffset>
            </wp:positionV>
            <wp:extent cx="7747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-1174115</wp:posOffset>
            </wp:positionV>
            <wp:extent cx="6858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-1174115</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-1174115</wp:posOffset>
            </wp:positionV>
            <wp:extent cx="6858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900" w:type="dxa"/>
            <w:vAlign w:val="bottom"/>
            <w:gridSpan w:val="3"/>
            <w:vMerge w:val="restart"/>
          </w:tcPr>
          <w:p>
            <w:pPr>
              <w:jc w:val="right"/>
              <w:ind w:right="243"/>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9"/>
              <w:spacing w:after="0" w:line="175" w:lineRule="exact"/>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59"/>
              <w:spacing w:after="0" w:line="175" w:lineRule="exact"/>
              <w:rPr>
                <w:sz w:val="20"/>
                <w:szCs w:val="20"/>
                <w:color w:val="auto"/>
              </w:rPr>
            </w:pPr>
            <w:r>
              <w:rPr>
                <w:rFonts w:ascii="Arial" w:cs="Arial" w:eastAsia="Arial" w:hAnsi="Arial"/>
                <w:sz w:val="16"/>
                <w:szCs w:val="16"/>
                <w:b w:val="1"/>
                <w:bCs w:val="1"/>
                <w:color w:val="auto"/>
                <w:w w:val="93"/>
              </w:rPr>
              <w:t>Other</w:t>
            </w: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880" w:type="dxa"/>
            <w:vAlign w:val="bottom"/>
            <w:gridSpan w:val="2"/>
          </w:tcPr>
          <w:p>
            <w:pPr>
              <w:jc w:val="right"/>
              <w:ind w:right="400"/>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90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Paid-in</w:t>
            </w:r>
          </w:p>
        </w:tc>
        <w:tc>
          <w:tcPr>
            <w:tcW w:w="220" w:type="dxa"/>
            <w:vAlign w:val="bottom"/>
          </w:tcPr>
          <w:p>
            <w:pPr>
              <w:spacing w:after="0"/>
              <w:rPr>
                <w:sz w:val="17"/>
                <w:szCs w:val="17"/>
                <w:color w:val="auto"/>
              </w:rPr>
            </w:pPr>
          </w:p>
        </w:tc>
        <w:tc>
          <w:tcPr>
            <w:tcW w:w="140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Comprehensive</w:t>
            </w:r>
          </w:p>
        </w:tc>
        <w:tc>
          <w:tcPr>
            <w:tcW w:w="1160" w:type="dxa"/>
            <w:vAlign w:val="bottom"/>
            <w:gridSpan w:val="3"/>
            <w:vMerge w:val="continue"/>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7"/>
                <w:szCs w:val="17"/>
                <w:color w:val="auto"/>
              </w:rPr>
            </w:pPr>
          </w:p>
        </w:tc>
        <w:tc>
          <w:tcPr>
            <w:tcW w:w="14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7"/>
                <w:szCs w:val="17"/>
                <w:color w:val="auto"/>
              </w:rPr>
            </w:pPr>
          </w:p>
        </w:tc>
        <w:tc>
          <w:tcPr>
            <w:tcW w:w="10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42,722</w:t>
            </w:r>
          </w:p>
        </w:tc>
        <w:tc>
          <w:tcPr>
            <w:tcW w:w="26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43</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822,624</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(494,059</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328,609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20" w:type="dxa"/>
            <w:vAlign w:val="bottom"/>
          </w:tcPr>
          <w:p>
            <w:pPr>
              <w:ind w:left="200"/>
              <w:spacing w:after="0" w:line="152" w:lineRule="exact"/>
              <w:rPr>
                <w:sz w:val="20"/>
                <w:szCs w:val="20"/>
                <w:color w:val="auto"/>
              </w:rPr>
            </w:pPr>
            <w:r>
              <w:rPr>
                <w:rFonts w:ascii="Arial" w:cs="Arial" w:eastAsia="Arial" w:hAnsi="Arial"/>
                <w:sz w:val="16"/>
                <w:szCs w:val="16"/>
                <w:color w:val="auto"/>
              </w:rPr>
              <w:t>Issuance of common stock through employee stock</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80"/>
              <w:spacing w:after="0"/>
              <w:rPr>
                <w:sz w:val="20"/>
                <w:szCs w:val="20"/>
                <w:color w:val="auto"/>
              </w:rPr>
            </w:pPr>
            <w:r>
              <w:rPr>
                <w:rFonts w:ascii="Arial" w:cs="Arial" w:eastAsia="Arial" w:hAnsi="Arial"/>
                <w:sz w:val="16"/>
                <w:szCs w:val="16"/>
                <w:color w:val="auto"/>
              </w:rPr>
              <w:t>purchase plan</w:t>
            </w: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(9 )</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(30,025 )</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(30,025 )</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42,888</w:t>
            </w:r>
          </w:p>
        </w:tc>
        <w:tc>
          <w:tcPr>
            <w:tcW w:w="26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43</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830,694</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(524,084</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306,645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20" w:type="dxa"/>
            <w:vAlign w:val="bottom"/>
          </w:tcPr>
          <w:p>
            <w:pPr>
              <w:ind w:left="200"/>
              <w:spacing w:after="0" w:line="152" w:lineRule="exact"/>
              <w:rPr>
                <w:sz w:val="20"/>
                <w:szCs w:val="20"/>
                <w:color w:val="auto"/>
              </w:rPr>
            </w:pPr>
            <w:r>
              <w:rPr>
                <w:rFonts w:ascii="Arial" w:cs="Arial" w:eastAsia="Arial" w:hAnsi="Arial"/>
                <w:sz w:val="16"/>
                <w:szCs w:val="16"/>
                <w:color w:val="auto"/>
              </w:rPr>
              <w:t>Issuance of common stock upon follow-on public</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00"/>
              <w:spacing w:after="0" w:line="175" w:lineRule="exact"/>
              <w:rPr>
                <w:sz w:val="20"/>
                <w:szCs w:val="20"/>
                <w:color w:val="auto"/>
              </w:rPr>
            </w:pPr>
            <w:r>
              <w:rPr>
                <w:rFonts w:ascii="Arial" w:cs="Arial" w:eastAsia="Arial" w:hAnsi="Arial"/>
                <w:sz w:val="16"/>
                <w:szCs w:val="16"/>
                <w:color w:val="auto"/>
              </w:rPr>
              <w:t>offering,</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80"/>
              <w:spacing w:after="0"/>
              <w:rPr>
                <w:sz w:val="20"/>
                <w:szCs w:val="20"/>
                <w:color w:val="auto"/>
              </w:rPr>
            </w:pPr>
            <w:r>
              <w:rPr>
                <w:rFonts w:ascii="Arial" w:cs="Arial" w:eastAsia="Arial" w:hAnsi="Arial"/>
                <w:sz w:val="16"/>
                <w:szCs w:val="16"/>
                <w:color w:val="auto"/>
              </w:rPr>
              <w:t>net of issuance costs</w:t>
            </w:r>
          </w:p>
        </w:tc>
        <w:tc>
          <w:tcPr>
            <w:tcW w:w="820" w:type="dxa"/>
            <w:vAlign w:val="bottom"/>
          </w:tcPr>
          <w:p>
            <w:pPr>
              <w:jc w:val="right"/>
              <w:spacing w:after="0"/>
              <w:rPr>
                <w:sz w:val="20"/>
                <w:szCs w:val="20"/>
                <w:color w:val="auto"/>
              </w:rPr>
            </w:pPr>
            <w:r>
              <w:rPr>
                <w:rFonts w:ascii="Arial" w:cs="Arial" w:eastAsia="Arial" w:hAnsi="Arial"/>
                <w:sz w:val="16"/>
                <w:szCs w:val="16"/>
                <w:color w:val="auto"/>
              </w:rPr>
              <w:t>2,946</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149,082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tcPr>
          <w:p>
            <w:pPr>
              <w:jc w:val="right"/>
              <w:spacing w:after="0"/>
              <w:rPr>
                <w:sz w:val="20"/>
                <w:szCs w:val="20"/>
                <w:color w:val="auto"/>
              </w:rPr>
            </w:pPr>
            <w:r>
              <w:rPr>
                <w:rFonts w:ascii="Arial" w:cs="Arial" w:eastAsia="Arial" w:hAnsi="Arial"/>
                <w:sz w:val="16"/>
                <w:szCs w:val="16"/>
                <w:color w:val="auto"/>
              </w:rPr>
              <w:t>390</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(20 )</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(30,208 )</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(30,208 )</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820" w:type="dxa"/>
            <w:vAlign w:val="bottom"/>
          </w:tcPr>
          <w:p>
            <w:pPr>
              <w:jc w:val="right"/>
              <w:spacing w:after="0"/>
              <w:rPr>
                <w:sz w:val="20"/>
                <w:szCs w:val="20"/>
                <w:color w:val="auto"/>
              </w:rPr>
            </w:pPr>
            <w:r>
              <w:rPr>
                <w:rFonts w:ascii="Arial" w:cs="Arial" w:eastAsia="Arial" w:hAnsi="Arial"/>
                <w:sz w:val="16"/>
                <w:szCs w:val="16"/>
                <w:color w:val="auto"/>
              </w:rPr>
              <w:t>46,225</w:t>
            </w:r>
          </w:p>
        </w:tc>
        <w:tc>
          <w:tcPr>
            <w:tcW w:w="260" w:type="dxa"/>
            <w:vAlign w:val="bottom"/>
          </w:tcPr>
          <w:p>
            <w:pPr>
              <w:spacing w:after="0"/>
              <w:rPr>
                <w:sz w:val="17"/>
                <w:szCs w:val="17"/>
                <w:color w:val="auto"/>
              </w:rPr>
            </w:pP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46</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985,436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(28 )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(554,292 )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431,162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FF0FC"/>
          </w:tcPr>
          <w:p>
            <w:pPr>
              <w:ind w:left="200"/>
              <w:spacing w:after="0" w:line="133" w:lineRule="exact"/>
              <w:rPr>
                <w:sz w:val="20"/>
                <w:szCs w:val="20"/>
                <w:color w:val="auto"/>
              </w:rPr>
            </w:pPr>
            <w:r>
              <w:rPr>
                <w:rFonts w:ascii="Arial" w:cs="Arial" w:eastAsia="Arial" w:hAnsi="Arial"/>
                <w:sz w:val="15"/>
                <w:szCs w:val="15"/>
                <w:color w:val="auto"/>
              </w:rPr>
              <w:t>Issuance of common stock through employee</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1"/>
                <w:szCs w:val="11"/>
                <w:color w:val="auto"/>
              </w:rPr>
            </w:pPr>
          </w:p>
        </w:tc>
        <w:tc>
          <w:tcPr>
            <w:tcW w:w="100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stock purchase plan</w:t>
            </w:r>
          </w:p>
        </w:tc>
        <w:tc>
          <w:tcPr>
            <w:tcW w:w="8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option exercises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on available-for-sale securities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(30,470 )</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(30,470 )</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47,018</w:t>
            </w: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994,486</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(584,762</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409,751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-1199515</wp:posOffset>
            </wp:positionV>
            <wp:extent cx="7747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-1199515</wp:posOffset>
            </wp:positionV>
            <wp:extent cx="7747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-1199515</wp:posOffset>
            </wp:positionV>
            <wp:extent cx="685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-1199515</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-1199515</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40"/>
        <w:spacing w:after="0"/>
        <w:rPr>
          <w:sz w:val="20"/>
          <w:szCs w:val="20"/>
          <w:color w:val="auto"/>
        </w:rPr>
      </w:pPr>
      <w:r>
        <w:rPr>
          <w:rFonts w:ascii="Arial" w:cs="Arial" w:eastAsia="Arial" w:hAnsi="Arial"/>
          <w:sz w:val="18"/>
          <w:szCs w:val="18"/>
          <w:b w:val="1"/>
          <w:bCs w:val="1"/>
          <w:color w:val="auto"/>
        </w:rPr>
        <w:t>Outset Medical, Inc.</w:t>
      </w:r>
    </w:p>
    <w:p>
      <w:pPr>
        <w:spacing w:after="0" w:line="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09"/>
        </w:trPr>
        <w:tc>
          <w:tcPr>
            <w:tcW w:w="7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(121,512 )</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(90,703 )</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Accretion of discount on investments,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inventories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Other non-cash items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(12,838 )</w:t>
            </w: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(17,692 )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(17,925 )</w:t>
            </w: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(2,151 )</w:t>
            </w: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(5,675 )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Accrued warranty liability</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(248 )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(844 )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(617 )</w:t>
            </w:r>
          </w:p>
        </w:tc>
      </w:tr>
      <w:tr>
        <w:trPr>
          <w:trHeight w:val="210"/>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(97,588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(6,216 )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(2,257 )</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Purchases of investment securities</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(168,615 )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(148,132 )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maturities of investment securities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stock option exercises and employee stock purchase plan purchases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10,128</w:t>
            </w:r>
          </w:p>
        </w:tc>
        <w:tc>
          <w:tcPr>
            <w:tcW w:w="100" w:type="dxa"/>
            <w:vAlign w:val="bottom"/>
          </w:tcPr>
          <w:p>
            <w:pPr>
              <w:spacing w:after="0"/>
              <w:rPr>
                <w:sz w:val="18"/>
                <w:szCs w:val="18"/>
                <w:color w:val="auto"/>
              </w:rPr>
            </w:pP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Proceeds from issuance of common stock upon follow-on public offerings,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issuance costs</w:t>
            </w:r>
          </w:p>
        </w:tc>
        <w:tc>
          <w:tcPr>
            <w:tcW w:w="24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149,085</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(118,471 )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(64,464 )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as of beginning of period</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215,659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of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263,819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non-cash investing and financing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Transfer of inventories to property and equipment</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Transfer of property and equipment to inventories</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-3526790</wp:posOffset>
            </wp:positionV>
            <wp:extent cx="7145020" cy="304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-2823845</wp:posOffset>
            </wp:positionV>
            <wp:extent cx="125984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598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-813435</wp:posOffset>
            </wp:positionV>
            <wp:extent cx="123444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123444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4440" cy="18859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8" w:lineRule="exact"/>
        <w:rPr>
          <w:sz w:val="20"/>
          <w:szCs w:val="20"/>
          <w:color w:val="auto"/>
        </w:rPr>
      </w:pPr>
    </w:p>
    <w:p>
      <w:pPr>
        <w:ind w:firstLine="569"/>
        <w:spacing w:after="0" w:line="261" w:lineRule="auto"/>
        <w:rPr>
          <w:sz w:val="20"/>
          <w:szCs w:val="20"/>
          <w:color w:val="auto"/>
        </w:rPr>
      </w:pPr>
      <w:r>
        <w:rPr>
          <w:rFonts w:ascii="Arial" w:cs="Arial" w:eastAsia="Arial" w:hAnsi="Arial"/>
          <w:sz w:val="17"/>
          <w:szCs w:val="17"/>
          <w:color w:val="auto"/>
        </w:rPr>
        <w:t>Outset Medical, Inc. (the Company) is a medical technology company pioneering a first-of-its-kind technology to reduce the cost and complexity of dialysis. The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60" w:firstLine="569"/>
        <w:spacing w:after="0" w:line="248"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nine months ended September 30, 2022 and 2021, the Company incurred a net loss of $121.5 million and $90.7 million, respectively. As of September 30, 2022, the Company had an accumulated deficit of $747.5 million.</w:t>
      </w:r>
    </w:p>
    <w:p>
      <w:pPr>
        <w:spacing w:after="0" w:line="87" w:lineRule="exact"/>
        <w:rPr>
          <w:sz w:val="20"/>
          <w:szCs w:val="20"/>
          <w:color w:val="auto"/>
        </w:rPr>
      </w:pPr>
    </w:p>
    <w:p>
      <w:pPr>
        <w:ind w:right="280" w:firstLine="569"/>
        <w:spacing w:after="0" w:line="279" w:lineRule="auto"/>
        <w:rPr>
          <w:sz w:val="20"/>
          <w:szCs w:val="20"/>
          <w:color w:val="auto"/>
        </w:rPr>
      </w:pPr>
      <w:r>
        <w:rPr>
          <w:rFonts w:ascii="Arial" w:cs="Arial" w:eastAsia="Arial" w:hAnsi="Arial"/>
          <w:sz w:val="16"/>
          <w:szCs w:val="16"/>
          <w:color w:val="auto"/>
        </w:rPr>
        <w:t>As of September 30, 2022, the Company had cash, cash equivalents and short-term investments of $227.5 million, which are available to fund future operations, and restricted cash of $33.3 million, for a total cash, cash equivalents, restricted cash and short-term investments balance of $260.8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and currently available from the recent debt financing described in Note 11, will be sufficient to meet its anticipated needs for at least the next 12 months from the issuance date of the accompanying condensed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60" w:firstLine="569"/>
        <w:spacing w:after="0" w:line="280" w:lineRule="auto"/>
        <w:rPr>
          <w:sz w:val="20"/>
          <w:szCs w:val="20"/>
          <w:color w:val="auto"/>
        </w:rPr>
      </w:pPr>
      <w:r>
        <w:rPr>
          <w:rFonts w:ascii="Arial" w:cs="Arial" w:eastAsia="Arial" w:hAnsi="Arial"/>
          <w:sz w:val="16"/>
          <w:szCs w:val="16"/>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nine-month periods are also unaudited. The results of operations for the three and nine months ended September 30, 2022 are not necessarily indicative of the results of operations to be anticipated for any other future annual or interim period. The condensed balance sheet as of December 31, 2021 included herein was derived from the audited financial statements as of that date.</w:t>
      </w:r>
    </w:p>
    <w:p>
      <w:pPr>
        <w:spacing w:after="0" w:line="50" w:lineRule="exact"/>
        <w:rPr>
          <w:sz w:val="20"/>
          <w:szCs w:val="20"/>
          <w:color w:val="auto"/>
        </w:rPr>
      </w:pPr>
    </w:p>
    <w:p>
      <w:pPr>
        <w:jc w:val="both"/>
        <w:ind w:right="100" w:firstLine="569"/>
        <w:spacing w:after="0" w:line="256" w:lineRule="auto"/>
        <w:rPr>
          <w:sz w:val="20"/>
          <w:szCs w:val="20"/>
          <w:color w:val="auto"/>
        </w:rPr>
      </w:pPr>
      <w:r>
        <w:rPr>
          <w:rFonts w:ascii="Arial" w:cs="Arial" w:eastAsia="Arial" w:hAnsi="Arial"/>
          <w:sz w:val="18"/>
          <w:szCs w:val="18"/>
          <w:color w:val="auto"/>
        </w:rPr>
        <w:t>These unaudited condensed financial statements should be read in conjunction with the Company’s audited financial statements and related notes for the year ended December 31, 2021, which are included in the Annual Report on Form 10-K for the fiscal year ended December 31, 2021 filed with the Securities and Exchange Commission (SEC) on February 23, 2022 (2021 Annual Report).</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share amounts disclosed in the notes to the condensed financial statements are rounded to the nearest thousand except for per share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520" w:firstLine="569"/>
        <w:spacing w:after="0" w:line="324" w:lineRule="auto"/>
        <w:rPr>
          <w:sz w:val="20"/>
          <w:szCs w:val="20"/>
          <w:color w:val="auto"/>
        </w:rPr>
      </w:pPr>
      <w:r>
        <w:rPr>
          <w:rFonts w:ascii="Arial" w:cs="Arial" w:eastAsia="Arial" w:hAnsi="Arial"/>
          <w:sz w:val="16"/>
          <w:szCs w:val="16"/>
          <w:color w:val="auto"/>
        </w:rPr>
        <w:t>During the nine months ended September 30, 2022, there have been no material changes to the Company’s significant accounting policies as described in its 2021 Annual Report that have had a material impact on the Company’s condensed financial statements and related notes.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firstLine="562"/>
        <w:spacing w:after="0" w:line="257"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 which requires an entity to utilize a new impairment model known as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Dates</w:t>
      </w:r>
      <w:r>
        <w:rPr>
          <w:rFonts w:ascii="Arial" w:cs="Arial" w:eastAsia="Arial" w:hAnsi="Arial"/>
          <w:sz w:val="17"/>
          <w:szCs w:val="17"/>
          <w:color w:val="auto"/>
        </w:rPr>
        <w:t>, which defers the effective date of ASU 2016-13 to fiscal years beginning after December 15, 2022 for all entities except SEC reporting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smaller reporting companies. ASU 2016-13 will be effective for the Company beginning January 1, 2023. The Company is currently evaluating the impact of the adoption of ASU 2016-13 on its financial statements.</w:t>
      </w:r>
    </w:p>
    <w:p>
      <w:pPr>
        <w:spacing w:after="0" w:line="184" w:lineRule="exact"/>
        <w:rPr>
          <w:sz w:val="20"/>
          <w:szCs w:val="20"/>
          <w:color w:val="auto"/>
        </w:rPr>
      </w:pPr>
    </w:p>
    <w:p>
      <w:pPr>
        <w:ind w:right="8580" w:firstLine="8"/>
        <w:spacing w:after="0" w:line="407"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and Deferred Revenue </w:t>
      </w:r>
      <w:r>
        <w:rPr>
          <w:rFonts w:ascii="Arial" w:cs="Arial" w:eastAsia="Arial" w:hAnsi="Arial"/>
          <w:sz w:val="16"/>
          <w:szCs w:val="16"/>
          <w:b w:val="1"/>
          <w:bCs w:val="1"/>
          <w:i w:val="1"/>
          <w:iCs w:val="1"/>
          <w:color w:val="auto"/>
        </w:rPr>
        <w:t>Disaggregation of Revenue</w:t>
      </w:r>
    </w:p>
    <w:p>
      <w:pPr>
        <w:ind w:left="580"/>
        <w:spacing w:after="0"/>
        <w:rPr>
          <w:rFonts w:ascii="Arial" w:cs="Arial" w:eastAsia="Arial" w:hAnsi="Arial"/>
          <w:sz w:val="16"/>
          <w:szCs w:val="16"/>
          <w:b w:val="1"/>
          <w:bCs w:val="1"/>
          <w:color w:val="auto"/>
        </w:rPr>
      </w:pPr>
      <w:r>
        <w:rPr>
          <w:rFonts w:ascii="Arial" w:cs="Arial" w:eastAsia="Arial" w:hAnsi="Arial"/>
          <w:sz w:val="18"/>
          <w:szCs w:val="18"/>
          <w:color w:val="auto"/>
        </w:rPr>
        <w:t>Revenue by source consists of the following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Nine Months Ended</w:t>
            </w:r>
          </w:p>
        </w:tc>
        <w:tc>
          <w:tcPr>
            <w:tcW w:w="100" w:type="dxa"/>
            <w:vAlign w:val="bottom"/>
          </w:tcPr>
          <w:p>
            <w:pPr>
              <w:spacing w:after="0"/>
              <w:rPr>
                <w:sz w:val="17"/>
                <w:szCs w:val="17"/>
                <w:color w:val="auto"/>
              </w:rPr>
            </w:pP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Consoles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Consumables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w:t>
            </w:r>
          </w:p>
        </w:tc>
        <w:tc>
          <w:tcPr>
            <w:tcW w:w="100" w:type="dxa"/>
            <w:vAlign w:val="bottom"/>
          </w:tcPr>
          <w:p>
            <w:pPr>
              <w:spacing w:after="0"/>
              <w:rPr>
                <w:sz w:val="18"/>
                <w:szCs w:val="18"/>
                <w:color w:val="auto"/>
              </w:rPr>
            </w:pPr>
          </w:p>
        </w:tc>
      </w:tr>
      <w:tr>
        <w:trPr>
          <w:trHeight w:val="210"/>
        </w:trPr>
        <w:tc>
          <w:tcPr>
            <w:tcW w:w="5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product revenue</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83,368</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320" w:firstLine="569"/>
        <w:spacing w:after="0" w:line="277" w:lineRule="auto"/>
        <w:rPr>
          <w:sz w:val="20"/>
          <w:szCs w:val="20"/>
          <w:color w:val="auto"/>
        </w:rPr>
      </w:pPr>
      <w:r>
        <w:rPr>
          <w:rFonts w:ascii="Arial" w:cs="Arial" w:eastAsia="Arial" w:hAnsi="Arial"/>
          <w:sz w:val="18"/>
          <w:szCs w:val="18"/>
          <w:color w:val="auto"/>
        </w:rPr>
        <w:t>For the three and nine months ended September 30, 2022, $0.6 million and $1.9 million of consoles revenue were from console operating lease arrangements, compared to $1.3 million and $3.9 million for the three and nine months ended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Contract Liabilities</w:t>
      </w:r>
    </w:p>
    <w:p>
      <w:pPr>
        <w:spacing w:after="0" w:line="104" w:lineRule="exact"/>
        <w:rPr>
          <w:sz w:val="20"/>
          <w:szCs w:val="20"/>
          <w:color w:val="auto"/>
        </w:rPr>
      </w:pPr>
    </w:p>
    <w:p>
      <w:pPr>
        <w:ind w:right="100" w:firstLine="569"/>
        <w:spacing w:after="0" w:line="278" w:lineRule="auto"/>
        <w:rPr>
          <w:sz w:val="20"/>
          <w:szCs w:val="20"/>
          <w:color w:val="auto"/>
        </w:rPr>
      </w:pPr>
      <w:r>
        <w:rPr>
          <w:rFonts w:ascii="Arial" w:cs="Arial" w:eastAsia="Arial" w:hAnsi="Arial"/>
          <w:sz w:val="17"/>
          <w:szCs w:val="17"/>
          <w:color w:val="auto"/>
        </w:rPr>
        <w:t>As of September 30, 2022, the aggregate amount of the transaction price allocated to the remaining performance obligations related to customer service contracts that are unsatisfied or partially unsatisfied was $7.9 million, which is recorded as deferred revenue on the Company’s condensed balance sheets. Of that amount, $7.8 million will be recognized as revenue during the next 12 months and $0.1 million thereafter.</w:t>
      </w:r>
    </w:p>
    <w:p>
      <w:pPr>
        <w:spacing w:after="0" w:line="50" w:lineRule="exact"/>
        <w:rPr>
          <w:sz w:val="20"/>
          <w:szCs w:val="20"/>
          <w:color w:val="auto"/>
        </w:rPr>
      </w:pPr>
    </w:p>
    <w:p>
      <w:pPr>
        <w:ind w:right="280" w:firstLine="569"/>
        <w:spacing w:after="0" w:line="256"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Revenue under these agreements is recognized over the related service period. During the three and nine months ended September 30, 2022, the Company recognized $1.5 million and $5.8 million of previously deferred revenue.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40" w:firstLine="569"/>
        <w:spacing w:after="0" w:line="26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left="110"/>
              <w:spacing w:after="0" w:line="164"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80"/>
              <w:spacing w:after="0" w:line="164"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left="110"/>
              <w:spacing w:after="0" w:line="189"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w w:val="95"/>
              </w:rPr>
              <w:t>Amortized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left="130"/>
              <w:spacing w:after="0" w:line="189" w:lineRule="exact"/>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6"/>
                <w:szCs w:val="16"/>
                <w:color w:val="auto"/>
              </w:rPr>
            </w:pPr>
          </w:p>
        </w:tc>
        <w:tc>
          <w:tcPr>
            <w:tcW w:w="104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Hierarchy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Cash equivalents: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6"/>
              </w:rPr>
              <w:t>Level 1</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30,120</w:t>
            </w:r>
          </w:p>
        </w:tc>
        <w:tc>
          <w:tcPr>
            <w:tcW w:w="1300" w:type="dxa"/>
            <w:vAlign w:val="bottom"/>
            <w:gridSpan w:val="3"/>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0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6"/>
              </w:rPr>
              <w:t>Level 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92,588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(607 )</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Corporate debt</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Level 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39,892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(329 )</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04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32,094</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00" w:type="dxa"/>
            <w:vAlign w:val="bottom"/>
            <w:gridSpan w:val="2"/>
          </w:tcPr>
          <w:p>
            <w:pPr>
              <w:jc w:val="center"/>
              <w:ind w:right="1900"/>
              <w:spacing w:after="0" w:line="168" w:lineRule="exact"/>
              <w:rPr>
                <w:sz w:val="20"/>
                <w:szCs w:val="20"/>
                <w:color w:val="auto"/>
              </w:rPr>
            </w:pPr>
            <w:r>
              <w:rPr>
                <w:rFonts w:ascii="Arial" w:cs="Arial" w:eastAsia="Arial" w:hAnsi="Arial"/>
                <w:sz w:val="18"/>
                <w:szCs w:val="18"/>
                <w:color w:val="auto"/>
                <w:w w:val="88"/>
              </w:rPr>
              <w:t>Total cash equivalents and</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194,694</w:t>
            </w:r>
          </w:p>
        </w:tc>
        <w:tc>
          <w:tcPr>
            <w:tcW w:w="260" w:type="dxa"/>
            <w:vAlign w:val="bottom"/>
            <w:gridSpan w:val="2"/>
            <w:vMerge w:val="restart"/>
          </w:tcPr>
          <w:p>
            <w:pPr>
              <w:spacing w:after="0"/>
              <w:rPr>
                <w:sz w:val="14"/>
                <w:szCs w:val="14"/>
                <w:color w:val="auto"/>
              </w:rPr>
            </w:pPr>
          </w:p>
        </w:tc>
        <w:tc>
          <w:tcPr>
            <w:tcW w:w="1040" w:type="dxa"/>
            <w:vAlign w:val="bottom"/>
            <w:vMerge w:val="restart"/>
          </w:tcPr>
          <w:p>
            <w:pPr>
              <w:jc w:val="right"/>
              <w:ind w:right="850"/>
              <w:spacing w:after="0"/>
              <w:rPr>
                <w:sz w:val="20"/>
                <w:szCs w:val="20"/>
                <w:color w:val="auto"/>
              </w:rPr>
            </w:pPr>
            <w:r>
              <w:rPr>
                <w:rFonts w:ascii="Arial" w:cs="Arial" w:eastAsia="Arial" w:hAnsi="Arial"/>
                <w:sz w:val="18"/>
                <w:szCs w:val="18"/>
                <w:color w:val="auto"/>
                <w:w w:val="79"/>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(936 )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193,760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right="1900"/>
              <w:spacing w:after="0" w:line="190" w:lineRule="exact"/>
              <w:rPr>
                <w:sz w:val="20"/>
                <w:szCs w:val="20"/>
                <w:color w:val="auto"/>
              </w:rPr>
            </w:pPr>
            <w:r>
              <w:rPr>
                <w:rFonts w:ascii="Arial" w:cs="Arial" w:eastAsia="Arial" w:hAnsi="Arial"/>
                <w:sz w:val="18"/>
                <w:szCs w:val="18"/>
                <w:color w:val="auto"/>
                <w:w w:val="90"/>
              </w:rPr>
              <w:t>short-term investments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left="50"/>
              <w:spacing w:after="0" w:line="164"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80"/>
              <w:spacing w:after="0" w:line="164"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left="50"/>
              <w:spacing w:after="0" w:line="189"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3"/>
              </w:rPr>
              <w:t>Valuation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w w:val="90"/>
              </w:rPr>
              <w:t>Amortized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left="50"/>
              <w:spacing w:after="0" w:line="189" w:lineRule="exact"/>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6"/>
                <w:szCs w:val="16"/>
                <w:color w:val="auto"/>
              </w:rPr>
            </w:pPr>
          </w:p>
        </w:tc>
        <w:tc>
          <w:tcPr>
            <w:tcW w:w="104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Hierarchy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Cash equivalents: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6"/>
              </w:rPr>
              <w:t>Level 1</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0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6"/>
              </w:rPr>
              <w:t>Level 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(60 )</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Corporate debt</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Level 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(125 )</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04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6"/>
              </w:rPr>
              <w:t>Level 2</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15,081</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00" w:type="dxa"/>
            <w:vAlign w:val="bottom"/>
            <w:gridSpan w:val="2"/>
          </w:tcPr>
          <w:p>
            <w:pPr>
              <w:jc w:val="center"/>
              <w:ind w:right="1900"/>
              <w:spacing w:after="0" w:line="168" w:lineRule="exact"/>
              <w:rPr>
                <w:sz w:val="20"/>
                <w:szCs w:val="20"/>
                <w:color w:val="auto"/>
              </w:rPr>
            </w:pPr>
            <w:r>
              <w:rPr>
                <w:rFonts w:ascii="Arial" w:cs="Arial" w:eastAsia="Arial" w:hAnsi="Arial"/>
                <w:sz w:val="18"/>
                <w:szCs w:val="18"/>
                <w:color w:val="auto"/>
                <w:w w:val="88"/>
              </w:rPr>
              <w:t>Total cash equivalents and</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218,167</w:t>
            </w:r>
          </w:p>
        </w:tc>
        <w:tc>
          <w:tcPr>
            <w:tcW w:w="40" w:type="dxa"/>
            <w:vAlign w:val="bottom"/>
          </w:tcPr>
          <w:p>
            <w:pPr>
              <w:spacing w:after="0"/>
              <w:rPr>
                <w:sz w:val="14"/>
                <w:szCs w:val="14"/>
                <w:color w:val="auto"/>
              </w:rPr>
            </w:pPr>
          </w:p>
        </w:tc>
        <w:tc>
          <w:tcPr>
            <w:tcW w:w="1300" w:type="dxa"/>
            <w:vAlign w:val="bottom"/>
            <w:gridSpan w:val="3"/>
            <w:vMerge w:val="restart"/>
          </w:tcPr>
          <w:p>
            <w:pPr>
              <w:jc w:val="right"/>
              <w:ind w:right="91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(185 )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217,984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right="1900"/>
              <w:spacing w:after="0" w:line="190" w:lineRule="exact"/>
              <w:rPr>
                <w:sz w:val="20"/>
                <w:szCs w:val="20"/>
                <w:color w:val="auto"/>
              </w:rPr>
            </w:pPr>
            <w:r>
              <w:rPr>
                <w:rFonts w:ascii="Arial" w:cs="Arial" w:eastAsia="Arial" w:hAnsi="Arial"/>
                <w:sz w:val="18"/>
                <w:szCs w:val="18"/>
                <w:color w:val="auto"/>
                <w:w w:val="90"/>
              </w:rPr>
              <w:t>short-term investments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-2270760</wp:posOffset>
            </wp:positionV>
            <wp:extent cx="7683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-2270760</wp:posOffset>
            </wp:positionV>
            <wp:extent cx="68580"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-2270760</wp:posOffset>
            </wp:positionV>
            <wp:extent cx="6858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-264795</wp:posOffset>
            </wp:positionV>
            <wp:extent cx="6858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-264795</wp:posOffset>
            </wp:positionV>
            <wp:extent cx="68580"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wp:posOffset>
            </wp:positionV>
            <wp:extent cx="68580"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2022, the remaining contractual maturities for available-for-sale securities were one month to fourteen months.</w:t>
      </w:r>
    </w:p>
    <w:p>
      <w:pPr>
        <w:spacing w:after="0" w:line="117" w:lineRule="exact"/>
        <w:rPr>
          <w:sz w:val="20"/>
          <w:szCs w:val="20"/>
          <w:color w:val="auto"/>
        </w:rPr>
      </w:pPr>
    </w:p>
    <w:p>
      <w:pPr>
        <w:ind w:right="40" w:firstLine="569"/>
        <w:spacing w:after="0" w:line="276" w:lineRule="auto"/>
        <w:rPr>
          <w:sz w:val="20"/>
          <w:szCs w:val="20"/>
          <w:color w:val="auto"/>
        </w:rPr>
      </w:pPr>
      <w:r>
        <w:rPr>
          <w:rFonts w:ascii="Arial" w:cs="Arial" w:eastAsia="Arial" w:hAnsi="Arial"/>
          <w:sz w:val="16"/>
          <w:szCs w:val="16"/>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As of September 30, 2022, there were three securities with a total fair value of $16.0 million in an unrealized loss position for more than 12 months. The unrealized losses totaling $0.2 million as of September 30, 2022 were caused by changes in market interest rates or the widening of market spreads subsequent to the initial purchase of these securities, and not related to the underlying credit of the issuers or the underlying collateral. These securities were issued by public reporting companies with an investment-grade rating by at least one bond credit rating agency. As a result, the Company did not consider these investments to be other-than-temporarily impaired as of September 30, 2022. During the three and nine months ended September 30, 2022 and 2021, the Company did not recognize other-than-temporary impairment losses related to its investment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As of September 30, 2022 and December 31, 2021, the restricted cash balance of $33.3 million primarily relates to contractual obligations under the SVB Loan and Security Agreement (see Note 7) and collateral for building leases in San Jose, CA and Tijuana Mexico.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6"/>
          <w:szCs w:val="16"/>
          <w:color w:val="auto"/>
        </w:rPr>
        <w:t>The following table provides a reconciliation of cash, cash equivalents and restricted cash that sum to the total of the amounts shown in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accompanying condensed statements of cash flows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6"/>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63,877</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230,508</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33,311</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97,188</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263,819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413"/>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7180" w:type="dxa"/>
            <w:vAlign w:val="bottom"/>
            <w:gridSpan w:val="2"/>
          </w:tcPr>
          <w:p>
            <w:pPr>
              <w:ind w:left="580"/>
              <w:spacing w:after="0"/>
              <w:rPr>
                <w:sz w:val="20"/>
                <w:szCs w:val="20"/>
                <w:color w:val="auto"/>
              </w:rPr>
            </w:pPr>
            <w:r>
              <w:rPr>
                <w:rFonts w:ascii="Arial" w:cs="Arial" w:eastAsia="Arial" w:hAnsi="Arial"/>
                <w:sz w:val="18"/>
                <w:szCs w:val="18"/>
                <w:color w:val="auto"/>
              </w:rPr>
              <w:t>Inventories consist of the following (in thousands):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6"/>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5"/>
              </w:rPr>
              <w:t>September 30,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19,603</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12,068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6,054</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23,589</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04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55,260</w:t>
            </w:r>
          </w:p>
        </w:tc>
        <w:tc>
          <w:tcPr>
            <w:tcW w:w="40" w:type="dxa"/>
            <w:vAlign w:val="bottom"/>
          </w:tcPr>
          <w:p>
            <w:pPr>
              <w:spacing w:after="0"/>
              <w:rPr>
                <w:sz w:val="18"/>
                <w:szCs w:val="18"/>
                <w:color w:val="auto"/>
              </w:rPr>
            </w:pP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39,185</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-1430655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-1413510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-1430655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-1413510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Accrued expenses and other current liabilities consist of the following (in thousands):</w:t>
      </w:r>
    </w:p>
    <w:p>
      <w:pPr>
        <w:spacing w:after="0" w:line="200" w:lineRule="exact"/>
        <w:rPr>
          <w:sz w:val="20"/>
          <w:szCs w:val="20"/>
          <w:color w:val="auto"/>
        </w:rPr>
      </w:pPr>
    </w:p>
    <w:p>
      <w:pPr>
        <w:spacing w:after="0" w:line="3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Accrued professional services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rebate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30861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Other</w:t>
      </w:r>
    </w:p>
    <w:p>
      <w:pPr>
        <w:spacing w:after="0" w:line="4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195"/>
        </w:trPr>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5,728</w:t>
            </w:r>
          </w:p>
        </w:tc>
        <w:tc>
          <w:tcPr>
            <w:tcW w:w="2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4,808</w:t>
            </w:r>
          </w:p>
        </w:tc>
      </w:tr>
      <w:tr>
        <w:trPr>
          <w:trHeight w:val="216"/>
        </w:trPr>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1,269</w:t>
            </w:r>
          </w:p>
        </w:tc>
      </w:tr>
      <w:tr>
        <w:trPr>
          <w:trHeight w:val="216"/>
        </w:trPr>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30"/>
        </w:trPr>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w:t>
            </w: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480"/>
            <w:col w:w="4000"/>
          </w:cols>
          <w:pgMar w:left="320" w:top="436" w:right="359" w:bottom="1440" w:gutter="0" w:footer="0" w:header="0"/>
          <w:type w:val="continuous"/>
        </w:sectPr>
      </w:pPr>
    </w:p>
    <w:p>
      <w:pPr>
        <w:spacing w:after="0" w:line="106" w:lineRule="exact"/>
        <w:rPr>
          <w:sz w:val="20"/>
          <w:szCs w:val="20"/>
          <w:color w:val="auto"/>
        </w:rPr>
      </w:pPr>
    </w:p>
    <w:p>
      <w:pPr>
        <w:ind w:right="8480" w:firstLine="8"/>
        <w:spacing w:after="0" w:line="36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40" w:firstLine="569"/>
        <w:spacing w:after="0" w:line="247" w:lineRule="auto"/>
        <w:rPr>
          <w:sz w:val="20"/>
          <w:szCs w:val="20"/>
          <w:color w:val="auto"/>
        </w:rPr>
      </w:pPr>
      <w:r>
        <w:rPr>
          <w:rFonts w:ascii="Arial" w:cs="Arial" w:eastAsia="Arial" w:hAnsi="Arial"/>
          <w:sz w:val="18"/>
          <w:szCs w:val="18"/>
          <w:color w:val="auto"/>
        </w:rPr>
        <w:t>On July 8, 2022, a purported stockholder class action lawsuit was filed in the U.S. District Court for the Northern District of California, naming the Company, its Chief Executive Officer, Chief Financial Officer, and former Chief Financial Officer as defendants. The complaint alleged that between September 15, 2020 and June 13, 2022, the defendants violated Sections 10(b) and 20(a) of the Securities Exchange Act of 1934, as amended (Exchange Act), by making false or misleading statements regarding the Company’s regulatory studies of the Tablo Hemodialysis System for at home use and the Company’s prospects related to the sale of the system for at home use. The complaint sought relief including damages, attorney fees, and costs in unspecified amounts. On September 7, 2022, the plaintiff filed a notice of voluntary dismissal of this action without prejudice. This action is now concluded.</w:t>
      </w:r>
    </w:p>
    <w:p>
      <w:pPr>
        <w:spacing w:after="0" w:line="88" w:lineRule="exact"/>
        <w:rPr>
          <w:sz w:val="20"/>
          <w:szCs w:val="20"/>
          <w:color w:val="auto"/>
        </w:rPr>
      </w:pPr>
    </w:p>
    <w:p>
      <w:pPr>
        <w:ind w:right="400" w:firstLine="569"/>
        <w:spacing w:after="0" w:line="248" w:lineRule="auto"/>
        <w:rPr>
          <w:sz w:val="20"/>
          <w:szCs w:val="20"/>
          <w:color w:val="auto"/>
        </w:rPr>
      </w:pPr>
      <w:r>
        <w:rPr>
          <w:rFonts w:ascii="Arial" w:cs="Arial" w:eastAsia="Arial" w:hAnsi="Arial"/>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ind w:firstLine="569"/>
        <w:spacing w:after="0" w:line="244"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240" w:type="dxa"/>
            <w:vAlign w:val="bottom"/>
            <w:gridSpan w:val="2"/>
          </w:tcPr>
          <w:p>
            <w:pPr>
              <w:ind w:left="580"/>
              <w:spacing w:after="0"/>
              <w:rPr>
                <w:sz w:val="20"/>
                <w:szCs w:val="20"/>
                <w:color w:val="auto"/>
              </w:rPr>
            </w:pPr>
            <w:r>
              <w:rPr>
                <w:rFonts w:ascii="Arial" w:cs="Arial" w:eastAsia="Arial" w:hAnsi="Arial"/>
                <w:sz w:val="18"/>
                <w:szCs w:val="18"/>
                <w:color w:val="auto"/>
              </w:rPr>
              <w:t>Term loan consists of the following (in thousands):</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1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Principal of term loan</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(238 )</w:t>
            </w:r>
          </w:p>
        </w:tc>
      </w:tr>
      <w:tr>
        <w:trPr>
          <w:trHeight w:val="249"/>
        </w:trPr>
        <w:tc>
          <w:tcPr>
            <w:tcW w:w="1140" w:type="dxa"/>
            <w:vAlign w:val="bottom"/>
          </w:tcPr>
          <w:p>
            <w:pPr>
              <w:spacing w:after="0"/>
              <w:rPr>
                <w:sz w:val="21"/>
                <w:szCs w:val="21"/>
                <w:color w:val="auto"/>
              </w:rPr>
            </w:pPr>
          </w:p>
        </w:tc>
        <w:tc>
          <w:tcPr>
            <w:tcW w:w="6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Term loan, noncurrent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29,828</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04" w:lineRule="exact"/>
        <w:rPr>
          <w:sz w:val="20"/>
          <w:szCs w:val="20"/>
          <w:color w:val="auto"/>
        </w:rPr>
      </w:pPr>
    </w:p>
    <w:p>
      <w:pPr>
        <w:ind w:right="600" w:firstLine="569"/>
        <w:spacing w:after="0" w:line="277"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provided for a $30.0 million term loan (the SVB Term Loan).</w:t>
      </w:r>
    </w:p>
    <w:p>
      <w:pPr>
        <w:spacing w:after="0" w:line="49" w:lineRule="exact"/>
        <w:rPr>
          <w:sz w:val="20"/>
          <w:szCs w:val="20"/>
          <w:color w:val="auto"/>
        </w:rPr>
      </w:pPr>
    </w:p>
    <w:p>
      <w:pPr>
        <w:ind w:right="220" w:firstLine="569"/>
        <w:spacing w:after="0" w:line="268" w:lineRule="auto"/>
        <w:rPr>
          <w:sz w:val="20"/>
          <w:szCs w:val="20"/>
          <w:color w:val="auto"/>
        </w:rPr>
      </w:pPr>
      <w:r>
        <w:rPr>
          <w:rFonts w:ascii="Arial" w:cs="Arial" w:eastAsia="Arial" w:hAnsi="Arial"/>
          <w:sz w:val="17"/>
          <w:szCs w:val="17"/>
          <w:color w:val="auto"/>
        </w:rPr>
        <w:t>The SVB Term Loan was scheduled to mature on November 1, 2025. Payments under the SVB Term Loan were for interest only through May 2023, and then 30 monthly principal and interest payments from June 2023 until maturity. The SVB Term Loan bore interest at the greater of (A) 0.5% above the Prime Rate as reported in the Wall Street Journal and (B) 3.75% (6.75% as of September 30, 2022). The Company was obligated to maintain a restricted cash balance greater or equal to the outstanding principal balance of $30.0 million of the SVB Term Loan.</w:t>
      </w:r>
    </w:p>
    <w:p>
      <w:pPr>
        <w:spacing w:after="0" w:line="58" w:lineRule="exact"/>
        <w:rPr>
          <w:sz w:val="20"/>
          <w:szCs w:val="20"/>
          <w:color w:val="auto"/>
        </w:rPr>
      </w:pPr>
    </w:p>
    <w:p>
      <w:pPr>
        <w:ind w:right="220" w:firstLine="569"/>
        <w:spacing w:after="0" w:line="278" w:lineRule="auto"/>
        <w:rPr>
          <w:sz w:val="20"/>
          <w:szCs w:val="20"/>
          <w:color w:val="auto"/>
        </w:rPr>
      </w:pPr>
      <w:r>
        <w:rPr>
          <w:rFonts w:ascii="Arial" w:cs="Arial" w:eastAsia="Arial" w:hAnsi="Arial"/>
          <w:sz w:val="17"/>
          <w:szCs w:val="17"/>
          <w:color w:val="auto"/>
        </w:rPr>
        <w:t>In November 2022, the Company entered into new senior secured credit facilities (the SLR Credit Facilities) and repaid in full all amounts due under the SVB Loan and Security Agreement, including the early repayment fee of $0.3 million and the final payment of $2.0 million, using a portion of the proceeds of the SLR Credit Facilities. See Note 11 to our unaudited condensed financial statements for additional details.</w:t>
      </w:r>
    </w:p>
    <w:p>
      <w:pPr>
        <w:spacing w:after="0" w:line="154" w:lineRule="exact"/>
        <w:rPr>
          <w:sz w:val="20"/>
          <w:szCs w:val="20"/>
          <w:color w:val="auto"/>
        </w:rPr>
      </w:pPr>
    </w:p>
    <w:p>
      <w:pPr>
        <w:ind w:right="9360" w:firstLine="8"/>
        <w:spacing w:after="0" w:line="416"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Incentive Plan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ind w:right="180" w:firstLine="569"/>
        <w:spacing w:after="0" w:line="248" w:lineRule="auto"/>
        <w:rPr>
          <w:sz w:val="20"/>
          <w:szCs w:val="20"/>
          <w:color w:val="auto"/>
        </w:rPr>
      </w:pPr>
      <w:r>
        <w:rPr>
          <w:rFonts w:ascii="Arial" w:cs="Arial" w:eastAsia="Arial" w:hAnsi="Arial"/>
          <w:sz w:val="18"/>
          <w:szCs w:val="18"/>
          <w:color w:val="auto"/>
        </w:rPr>
        <w:t>On January 1, 2022, the number of shares of common stock reserved for the issuance of awards under the Company’s 2020 Equity Incentive Plan (the 2020 Plan) was increased by 1,890,000 shares as a result of the automatic increase pursuant to the 2020 Plan. As of September 30, 2022, 5,032,000 shares were reserved for future issuance under the 2020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 Purchase Plan (ESPP)</w:t>
      </w:r>
    </w:p>
    <w:p>
      <w:pPr>
        <w:spacing w:after="0" w:line="104" w:lineRule="exact"/>
        <w:rPr>
          <w:sz w:val="20"/>
          <w:szCs w:val="20"/>
          <w:color w:val="auto"/>
        </w:rPr>
      </w:pPr>
    </w:p>
    <w:p>
      <w:pPr>
        <w:ind w:firstLine="569"/>
        <w:spacing w:after="0" w:line="256" w:lineRule="auto"/>
        <w:rPr>
          <w:sz w:val="20"/>
          <w:szCs w:val="20"/>
          <w:color w:val="auto"/>
        </w:rPr>
      </w:pPr>
      <w:r>
        <w:rPr>
          <w:rFonts w:ascii="Arial" w:cs="Arial" w:eastAsia="Arial" w:hAnsi="Arial"/>
          <w:sz w:val="18"/>
          <w:szCs w:val="18"/>
          <w:color w:val="auto"/>
        </w:rPr>
        <w:t>On January 1, 2022, the number of shares of common stock reserved for purchase under the Company’s ESPP was increased by 472,000 shares as a result of the automatic increase pursuant to the ESPP. As of September 30, 2022, 1,278,000 shares of common stock were reserved for issuance in connection with the current and future offering periods under the ESPP.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Company issues restricted stock units (RSUs) and performance stock units (PSUs), both of which are considered restricted stock. The</w:t>
      </w:r>
    </w:p>
    <w:p>
      <w:pPr>
        <w:spacing w:after="0" w:line="3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Company grants restricted stock pursuant to the 2020 Plan and satisfies such grants through the issuance of new shares. RSUs are share awards that, upon vesting, will deliver to the holder shares of our common stock.</w:t>
      </w:r>
    </w:p>
    <w:p>
      <w:pPr>
        <w:spacing w:after="0" w:line="76" w:lineRule="exact"/>
        <w:rPr>
          <w:sz w:val="20"/>
          <w:szCs w:val="20"/>
          <w:color w:val="auto"/>
        </w:rPr>
      </w:pPr>
    </w:p>
    <w:p>
      <w:pPr>
        <w:ind w:right="120" w:firstLine="569"/>
        <w:spacing w:after="0" w:line="245" w:lineRule="auto"/>
        <w:rPr>
          <w:sz w:val="20"/>
          <w:szCs w:val="20"/>
          <w:color w:val="auto"/>
        </w:rPr>
      </w:pPr>
      <w:r>
        <w:rPr>
          <w:rFonts w:ascii="Arial" w:cs="Arial" w:eastAsia="Arial" w:hAnsi="Arial"/>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Prior to February 2022, RSUs with a service-based vesting condition granted to a grantee generally vest at a rate of 25% on the first anniversary of the original vesting date, with the balance vesting quarterly over the remaining three years.</w:t>
      </w:r>
    </w:p>
    <w:p>
      <w:pPr>
        <w:spacing w:after="0" w:line="91" w:lineRule="exact"/>
        <w:rPr>
          <w:sz w:val="20"/>
          <w:szCs w:val="20"/>
          <w:color w:val="auto"/>
        </w:rPr>
      </w:pPr>
    </w:p>
    <w:p>
      <w:pPr>
        <w:ind w:right="20" w:firstLine="569"/>
        <w:spacing w:after="0" w:line="261" w:lineRule="auto"/>
        <w:rPr>
          <w:sz w:val="20"/>
          <w:szCs w:val="20"/>
          <w:color w:val="auto"/>
        </w:rPr>
      </w:pPr>
      <w:r>
        <w:rPr>
          <w:rFonts w:ascii="Arial" w:cs="Arial" w:eastAsia="Arial" w:hAnsi="Arial"/>
          <w:sz w:val="17"/>
          <w:szCs w:val="17"/>
          <w:color w:val="auto"/>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Relative TSR PSUs).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 w:name="page14"/>
    <w:bookmarkEnd w:id="13"/>
    <w:p>
      <w:pPr>
        <w:jc w:val="both"/>
        <w:ind w:right="60" w:firstLine="569"/>
        <w:spacing w:after="0" w:line="290" w:lineRule="auto"/>
        <w:rPr>
          <w:sz w:val="20"/>
          <w:szCs w:val="20"/>
          <w:color w:val="auto"/>
        </w:rPr>
      </w:pPr>
      <w:r>
        <w:rPr>
          <w:rFonts w:ascii="Arial" w:cs="Arial" w:eastAsia="Arial" w:hAnsi="Arial"/>
          <w:sz w:val="16"/>
          <w:szCs w:val="16"/>
          <w:color w:val="auto"/>
        </w:rPr>
        <w:t>The 2023 target for the Home PSUs is expected to be determined and approved by the Compensation Committee in early 2023. Given such target has not yet been established, the grant date for these Home PSUs will only be established when the Compensation Committee approves and the Company communicates the target to the award recipients, which will then trigger the service inception date, the fair value of the awards, and the associated expense recognition period. Therefore, no expense is expected to be recognized for these Home PSUs until the grant date is established.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4"/>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08" w:lineRule="exact"/>
        <w:rPr>
          <w:sz w:val="20"/>
          <w:szCs w:val="20"/>
          <w:color w:val="auto"/>
        </w:rPr>
      </w:pPr>
    </w:p>
    <w:p>
      <w:pPr>
        <w:ind w:right="300" w:firstLine="569"/>
        <w:spacing w:after="0" w:line="303" w:lineRule="auto"/>
        <w:rPr>
          <w:sz w:val="20"/>
          <w:szCs w:val="20"/>
          <w:color w:val="auto"/>
        </w:rPr>
      </w:pPr>
      <w:r>
        <w:rPr>
          <w:rFonts w:ascii="Arial" w:cs="Arial" w:eastAsia="Arial" w:hAnsi="Arial"/>
          <w:sz w:val="16"/>
          <w:szCs w:val="16"/>
          <w:color w:val="auto"/>
        </w:rPr>
        <w:t>For each of the three and nine months ended September 30, 2022 and 2021,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right="400" w:firstLine="569"/>
        <w:spacing w:after="0" w:line="261"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loss per share due to their anti-dilutive effect (in thousands):</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1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p>
        </w:tc>
        <w:tc>
          <w:tcPr>
            <w:tcW w:w="22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10"/>
        </w:trPr>
        <w:tc>
          <w:tcPr>
            <w:tcW w:w="54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1,511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8" w:lineRule="exact"/>
        <w:rPr>
          <w:sz w:val="20"/>
          <w:szCs w:val="20"/>
          <w:color w:val="auto"/>
        </w:rPr>
      </w:pPr>
    </w:p>
    <w:p>
      <w:pPr>
        <w:ind w:right="40" w:firstLine="569"/>
        <w:spacing w:after="0" w:line="263" w:lineRule="auto"/>
        <w:rPr>
          <w:sz w:val="20"/>
          <w:szCs w:val="20"/>
          <w:color w:val="auto"/>
        </w:rPr>
      </w:pPr>
      <w:r>
        <w:rPr>
          <w:rFonts w:ascii="Arial" w:cs="Arial" w:eastAsia="Arial" w:hAnsi="Arial"/>
          <w:sz w:val="17"/>
          <w:szCs w:val="17"/>
          <w:color w:val="auto"/>
        </w:rPr>
        <w:t>On November 3, 2022 (the Closing Date), the Company entered into two senior secured credit facilities, which collectively provide for borrowings of up to $300.0 million: (i) a term loan facility pursuant to a loan and security agreement (the SLR Loan Agreement) among SLR Investment Corp., as collateral agent (Agent), the lenders from time to time party thereto (the Term Loan Lenders) and the Company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65" w:lineRule="exact"/>
        <w:rPr>
          <w:sz w:val="20"/>
          <w:szCs w:val="20"/>
          <w:color w:val="auto"/>
        </w:rPr>
      </w:pPr>
    </w:p>
    <w:p>
      <w:pPr>
        <w:ind w:right="60" w:firstLine="569"/>
        <w:spacing w:after="0" w:line="279" w:lineRule="auto"/>
        <w:rPr>
          <w:sz w:val="20"/>
          <w:szCs w:val="20"/>
          <w:color w:val="auto"/>
        </w:rPr>
      </w:pPr>
      <w:r>
        <w:rPr>
          <w:rFonts w:ascii="Arial" w:cs="Arial" w:eastAsia="Arial" w:hAnsi="Arial"/>
          <w:sz w:val="16"/>
          <w:szCs w:val="16"/>
          <w:color w:val="auto"/>
        </w:rPr>
        <w:t>The maximum amount the Company is permitted to borrow under the SLR Credit Facilities is subject to certain overall borrowing limitations. The Company is permitted to borrow up to $200.0 million under the SLR Credit Facilities on the Closing Date. If the Company achieves a certain net revenue milestone, calculated on a trailing six month basis (First Revenue Milestone), on or before June 30, 2024 and the Additional Tranche (as defined below) under the SLR Revolver has been approved, the Company will be permitted to borrow up to $250.0 million under the SLR Credit Facilities. If the Company achieves a subsequent additional net revenue milestone, calculated on a trailing six month basis (Second Revenue Milestone), on or before June 30, 2025 and obtains lenders' credit approval, the Company will be permitted to borrow up to $300.0 million under the SLR Credit Facilities.</w:t>
      </w:r>
    </w:p>
    <w:p>
      <w:pPr>
        <w:spacing w:after="0" w:line="67" w:lineRule="exact"/>
        <w:rPr>
          <w:sz w:val="20"/>
          <w:szCs w:val="20"/>
          <w:color w:val="auto"/>
        </w:rPr>
      </w:pPr>
    </w:p>
    <w:p>
      <w:pPr>
        <w:ind w:right="180" w:firstLine="569"/>
        <w:spacing w:after="0" w:line="261" w:lineRule="auto"/>
        <w:rPr>
          <w:sz w:val="20"/>
          <w:szCs w:val="20"/>
          <w:color w:val="auto"/>
        </w:rPr>
      </w:pPr>
      <w:r>
        <w:rPr>
          <w:rFonts w:ascii="Arial" w:cs="Arial" w:eastAsia="Arial" w:hAnsi="Arial"/>
          <w:sz w:val="18"/>
          <w:szCs w:val="18"/>
          <w:color w:val="auto"/>
        </w:rPr>
        <w:t>The Company repaid in full all amounts due under the SVB Loan and Security Agreement, including the early repayment fee of $0.3 million and the final payment of $2.0 million, using a portion of the proceeds of the SLR Credit Facilities.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SLR Term Loan Facility</w:t>
      </w:r>
    </w:p>
    <w:p>
      <w:pPr>
        <w:spacing w:after="0" w:line="117" w:lineRule="exact"/>
        <w:rPr>
          <w:sz w:val="20"/>
          <w:szCs w:val="20"/>
          <w:color w:val="auto"/>
        </w:rPr>
      </w:pPr>
    </w:p>
    <w:p>
      <w:pPr>
        <w:ind w:right="20" w:firstLine="569"/>
        <w:spacing w:after="0" w:line="273" w:lineRule="auto"/>
        <w:rPr>
          <w:sz w:val="20"/>
          <w:szCs w:val="20"/>
          <w:color w:val="auto"/>
        </w:rPr>
      </w:pPr>
      <w:r>
        <w:rPr>
          <w:rFonts w:ascii="Arial" w:cs="Arial" w:eastAsia="Arial" w:hAnsi="Arial"/>
          <w:sz w:val="16"/>
          <w:szCs w:val="16"/>
          <w:color w:val="auto"/>
        </w:rPr>
        <w:t>Pursuant to the terms and conditions of the SLR Loan Agreement, the Term Loan Lenders agreed to extend term loans to the Company in an aggregate principal amount of up to $250.0 million, comprised of (i) a term loan of $100.0 million (the Term A Loan), (ii) one or more term loans (in minimum increments of $20.0 million each) in the aggregate of up to $100.0 million (each, a Term B Loan) and (iii) one or more term loans in the aggregate of up to $50.0 million (each, a Term C Loan). Each Term A Loan, Term B Loan and Term C Loan is referred to single as a Term Loan and are referred to collectively as the Term Loans. The Term A Loan was funded on the Closing Date. The Term B Loan(s) are available for funding until August 22, 2024. The Term C Loan(s) are available subject to the lenders’ credit approval and the achievement of the Second Revenue Milestone on or before June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30, 2025. The Term C Loan will remain available for funding until one business day prior to November 1, 2027.</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Any principal amount outstanding under the Term Loans will accrue interest at a rate per annum equal to one-month term Secured Overnight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Financing Rate (term SOFR) (subject to a 2.75% floor), plus 5.15%, payable monthly in arrears. The Company is permitted to make interest-only payments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 the Term Loans through November 30, 2026, which may be extended at the Company's option to May 31, 2027; provided that the Company meets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First Revenue Milestone. Any principal amounts outstanding under the Term Loans, if not repaid sooner, are due and payable on November 1, 2027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Maturity Date). The Company is obligated to pay Agent (i) a non-refundable facility fee in the amount of $750,000 in respect of the Term A Loan, (ii) 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non-refundable facility fee in the amount of $750,000 in respect of the Term B Loan(s), to be due and payable upon the earliest to occur of (a) the funding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of the first Term B Loan, (b) December 20, 2023 and (c) the prepayment of the Term Loans and (iii) a non-refundable facility fee in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$375,000 in respect of the Term C Loan, to be due and payable upon the earliest to occur of (a) the funding of the first Term C Loan, (b) one day prior to</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Maturity Date and (c) the prepayment of the Term Loans. In addition, the Company is obligated to pay a final fee equal to 4.75% of the aggregate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amount of the Term Loans funded, such final fee to be due and payable upon the earliest to occur of (i) the Maturity Date, (ii) the acceleration of the Term</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Loans and (iii) the prepayment of the Term Loans. The Company may voluntarily prepay the outstanding Term Loans, subject to a prepayment premium of</w:t>
      </w:r>
    </w:p>
    <w:p>
      <w:pPr>
        <w:spacing w:after="0" w:line="19" w:lineRule="exact"/>
        <w:rPr>
          <w:sz w:val="20"/>
          <w:szCs w:val="20"/>
          <w:color w:val="auto"/>
        </w:rPr>
      </w:pPr>
    </w:p>
    <w:p>
      <w:pPr>
        <w:ind w:right="140" w:firstLine="8"/>
        <w:spacing w:after="0" w:line="268"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Revolver</w:t>
      </w:r>
    </w:p>
    <w:p>
      <w:pPr>
        <w:spacing w:after="0" w:line="306" w:lineRule="exact"/>
        <w:rPr>
          <w:sz w:val="20"/>
          <w:szCs w:val="20"/>
          <w:color w:val="auto"/>
        </w:rPr>
      </w:pPr>
    </w:p>
    <w:p>
      <w:pPr>
        <w:jc w:val="both"/>
        <w:ind w:right="40" w:firstLine="569"/>
        <w:spacing w:after="0" w:line="273" w:lineRule="auto"/>
        <w:rPr>
          <w:sz w:val="20"/>
          <w:szCs w:val="20"/>
          <w:color w:val="auto"/>
        </w:rPr>
      </w:pPr>
      <w:r>
        <w:rPr>
          <w:rFonts w:ascii="Arial" w:cs="Arial" w:eastAsia="Arial" w:hAnsi="Arial"/>
          <w:sz w:val="16"/>
          <w:szCs w:val="16"/>
          <w:color w:val="auto"/>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w:t>
      </w:r>
    </w:p>
    <w:p>
      <w:pPr>
        <w:spacing w:after="0" w:line="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85% of eligible accounts receivable, plus (b) 25% of eligible inventory (not to exceed the lesser of 50% of the Borrowing Base and $5.0 million), minus</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customary reserves, minus (d) unposted cash.</w:t>
      </w:r>
    </w:p>
    <w:p>
      <w:pPr>
        <w:spacing w:after="0" w:line="89" w:lineRule="exact"/>
        <w:rPr>
          <w:sz w:val="20"/>
          <w:szCs w:val="20"/>
          <w:color w:val="auto"/>
        </w:rPr>
      </w:pPr>
    </w:p>
    <w:p>
      <w:pPr>
        <w:ind w:firstLine="569"/>
        <w:spacing w:after="0" w:line="257" w:lineRule="auto"/>
        <w:rPr>
          <w:sz w:val="20"/>
          <w:szCs w:val="20"/>
          <w:color w:val="auto"/>
        </w:rPr>
      </w:pPr>
      <w:r>
        <w:rPr>
          <w:rFonts w:ascii="Arial" w:cs="Arial" w:eastAsia="Arial" w:hAnsi="Arial"/>
          <w:sz w:val="17"/>
          <w:szCs w:val="17"/>
          <w:color w:val="auto"/>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spacing w:after="0" w:line="73" w:lineRule="exact"/>
        <w:rPr>
          <w:sz w:val="20"/>
          <w:szCs w:val="20"/>
          <w:color w:val="auto"/>
        </w:rPr>
      </w:pPr>
    </w:p>
    <w:p>
      <w:pPr>
        <w:jc w:val="both"/>
        <w:ind w:right="200" w:firstLine="569"/>
        <w:spacing w:after="0" w:line="278" w:lineRule="auto"/>
        <w:rPr>
          <w:sz w:val="20"/>
          <w:szCs w:val="20"/>
          <w:color w:val="auto"/>
        </w:rPr>
      </w:pPr>
      <w:r>
        <w:rPr>
          <w:rFonts w:ascii="Arial" w:cs="Arial" w:eastAsia="Arial" w:hAnsi="Arial"/>
          <w:sz w:val="17"/>
          <w:szCs w:val="17"/>
          <w:color w:val="auto"/>
        </w:rPr>
        <w:t>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SLR Revolver shall expire on November 1, 2027.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Other Terms of the SLR Credit Facilities</w:t>
      </w:r>
    </w:p>
    <w:p>
      <w:pPr>
        <w:spacing w:after="0" w:line="117" w:lineRule="exact"/>
        <w:rPr>
          <w:sz w:val="20"/>
          <w:szCs w:val="20"/>
          <w:color w:val="auto"/>
        </w:rPr>
      </w:pPr>
    </w:p>
    <w:p>
      <w:pPr>
        <w:jc w:val="both"/>
        <w:ind w:right="320" w:firstLine="569"/>
        <w:spacing w:after="0" w:line="248" w:lineRule="auto"/>
        <w:rPr>
          <w:sz w:val="20"/>
          <w:szCs w:val="20"/>
          <w:color w:val="auto"/>
        </w:rPr>
      </w:pPr>
      <w:r>
        <w:rPr>
          <w:rFonts w:ascii="Arial" w:cs="Arial" w:eastAsia="Arial" w:hAnsi="Arial"/>
          <w:sz w:val="18"/>
          <w:szCs w:val="18"/>
          <w:color w:val="auto"/>
        </w:rPr>
        <w:t>As security for its obligations under the SLR Credit Facilities, the Company granted Agent, for the benefit of the Term Loan Lenders, and ABL Lender a continuing security interest in substantially all of the assets of the Company, including the Company’s intellectual property, subject to certain exceptions.</w:t>
      </w:r>
    </w:p>
    <w:p>
      <w:pPr>
        <w:spacing w:after="0" w:line="87"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a financial covenant whereby,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w:t>
      </w:r>
    </w:p>
    <w:p>
      <w:pPr>
        <w:spacing w:after="0" w:line="95" w:lineRule="exact"/>
        <w:rPr>
          <w:sz w:val="20"/>
          <w:szCs w:val="20"/>
          <w:color w:val="auto"/>
        </w:rPr>
      </w:pPr>
    </w:p>
    <w:p>
      <w:pPr>
        <w:ind w:right="20" w:firstLine="569"/>
        <w:spacing w:after="0" w:line="276" w:lineRule="auto"/>
        <w:rPr>
          <w:sz w:val="20"/>
          <w:szCs w:val="20"/>
          <w:color w:val="auto"/>
        </w:rPr>
      </w:pPr>
      <w:r>
        <w:rPr>
          <w:rFonts w:ascii="Arial" w:cs="Arial" w:eastAsia="Arial" w:hAnsi="Arial"/>
          <w:sz w:val="16"/>
          <w:szCs w:val="16"/>
          <w:color w:val="auto"/>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certain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569"/>
        <w:spacing w:after="0" w:line="290"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2021 Annual Report. As used in this Quarterly Report, references to the “Company,” “we,” “us,” “our,” or similar terms refer to Outset Medical, Inc.</w:t>
      </w:r>
    </w:p>
    <w:p>
      <w:pPr>
        <w:spacing w:after="0" w:line="42" w:lineRule="exact"/>
        <w:rPr>
          <w:sz w:val="20"/>
          <w:szCs w:val="20"/>
          <w:color w:val="auto"/>
        </w:rPr>
      </w:pPr>
    </w:p>
    <w:p>
      <w:pPr>
        <w:ind w:right="20" w:firstLine="569"/>
        <w:spacing w:after="0" w:line="257"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69"/>
        <w:spacing w:after="0" w:line="283" w:lineRule="auto"/>
        <w:rPr>
          <w:sz w:val="20"/>
          <w:szCs w:val="20"/>
          <w:color w:val="auto"/>
        </w:rPr>
      </w:pPr>
      <w:r>
        <w:rPr>
          <w:rFonts w:ascii="Arial" w:cs="Arial" w:eastAsia="Arial" w:hAnsi="Arial"/>
          <w:sz w:val="16"/>
          <w:szCs w:val="16"/>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Unlike existing hemodialysis machines, which have limited clinical versatility across care settings, Tablo can be used seamlessly across multiple care settings and a wide range of clinical applications.</w:t>
      </w:r>
    </w:p>
    <w:p>
      <w:pPr>
        <w:spacing w:after="0" w:line="48" w:lineRule="exact"/>
        <w:rPr>
          <w:sz w:val="20"/>
          <w:szCs w:val="20"/>
          <w:color w:val="auto"/>
        </w:rPr>
      </w:pPr>
    </w:p>
    <w:p>
      <w:pPr>
        <w:ind w:firstLine="569"/>
        <w:spacing w:after="0" w:line="245"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over-the-air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91" w:lineRule="exact"/>
        <w:rPr>
          <w:sz w:val="20"/>
          <w:szCs w:val="20"/>
          <w:color w:val="auto"/>
        </w:rPr>
      </w:pPr>
    </w:p>
    <w:p>
      <w:pPr>
        <w:ind w:right="20" w:firstLine="569"/>
        <w:spacing w:after="0" w:line="268" w:lineRule="auto"/>
        <w:rPr>
          <w:sz w:val="20"/>
          <w:szCs w:val="20"/>
          <w:color w:val="auto"/>
        </w:rPr>
      </w:pPr>
      <w:r>
        <w:rPr>
          <w:rFonts w:ascii="Arial" w:cs="Arial" w:eastAsia="Arial" w:hAnsi="Arial"/>
          <w:sz w:val="17"/>
          <w:szCs w:val="17"/>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w:t>
      </w:r>
    </w:p>
    <w:p>
      <w:pPr>
        <w:spacing w:after="0" w:line="58" w:lineRule="exact"/>
        <w:rPr>
          <w:sz w:val="20"/>
          <w:szCs w:val="20"/>
          <w:color w:val="auto"/>
        </w:rPr>
      </w:pPr>
    </w:p>
    <w:p>
      <w:pPr>
        <w:ind w:right="80" w:firstLine="569"/>
        <w:spacing w:after="0" w:line="245" w:lineRule="auto"/>
        <w:rPr>
          <w:sz w:val="20"/>
          <w:szCs w:val="20"/>
          <w:color w:val="auto"/>
        </w:rPr>
      </w:pPr>
      <w:r>
        <w:rPr>
          <w:rFonts w:ascii="Arial" w:cs="Arial" w:eastAsia="Arial" w:hAnsi="Arial"/>
          <w:sz w:val="18"/>
          <w:szCs w:val="18"/>
          <w:color w:val="auto"/>
        </w:rPr>
        <w:t>Tablo is cleared by the FDA for use in the hospital, clinic, or home setting. In May 2022, we implemented a shipment hold on the distribution and marketing of Tablo for use in the home environment pending the FDA’s review and clearance of a 510(k) application we submitted for changes made since the device’s original March 2020 clearance. During the hold, we continued to market and ship Tablo for use by healthcare professionals in chronic and acute care settings. In addition, devices that were already distributed to home users at the time the hold was implemented were not removed and current users were able to continue working with their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ind w:right="540"/>
        <w:spacing w:after="0" w:line="277" w:lineRule="auto"/>
        <w:rPr>
          <w:sz w:val="20"/>
          <w:szCs w:val="20"/>
          <w:color w:val="auto"/>
        </w:rPr>
      </w:pPr>
      <w:r>
        <w:rPr>
          <w:rFonts w:ascii="Arial" w:cs="Arial" w:eastAsia="Arial" w:hAnsi="Arial"/>
          <w:sz w:val="18"/>
          <w:szCs w:val="18"/>
          <w:color w:val="auto"/>
        </w:rPr>
        <w:t>healthcare providers on appropriate treatment. In late July 2022, the FDA cleared our 510(k) application of Tablo for patient use in the home and we resumed marketing and shipping Tablo for home use.</w:t>
      </w:r>
    </w:p>
    <w:p>
      <w:pPr>
        <w:spacing w:after="0" w:line="49" w:lineRule="exact"/>
        <w:rPr>
          <w:sz w:val="20"/>
          <w:szCs w:val="20"/>
          <w:color w:val="auto"/>
        </w:rPr>
      </w:pPr>
    </w:p>
    <w:p>
      <w:pPr>
        <w:ind w:right="20" w:firstLine="569"/>
        <w:spacing w:after="0" w:line="245"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91"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Tablo is also well suited for home-based dialysis.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rapid scale. We are also working with providers, patients, and payors to increase awareness and adoption of transitional care units (TCUs) as a bridge to home-based therapy. To demonstrate the cost advantages of Tablo in the home setting, we are continuing to collect additional patient clinical experience and outcomes data.</w:t>
      </w:r>
    </w:p>
    <w:p>
      <w:pPr>
        <w:spacing w:after="0" w:line="98" w:lineRule="exact"/>
        <w:rPr>
          <w:sz w:val="20"/>
          <w:szCs w:val="20"/>
          <w:color w:val="auto"/>
        </w:rPr>
      </w:pPr>
    </w:p>
    <w:p>
      <w:pPr>
        <w:ind w:right="60" w:firstLine="569"/>
        <w:spacing w:after="0" w:line="260" w:lineRule="auto"/>
        <w:rPr>
          <w:sz w:val="20"/>
          <w:szCs w:val="20"/>
          <w:color w:val="auto"/>
        </w:rPr>
      </w:pPr>
      <w:r>
        <w:rPr>
          <w:rFonts w:ascii="Arial" w:cs="Arial" w:eastAsia="Arial" w:hAnsi="Arial"/>
          <w:sz w:val="17"/>
          <w:szCs w:val="17"/>
          <w:color w:val="auto"/>
        </w:rPr>
        <w:t>We sell our solutions through our direct sales organization, which covers most major metropolitan markets in the United States. As of September 30, 2022, our sales organization was comprised of 37 capital sales team members, responsible for generating new customer demand for Tablo, and 93 clinical sales team members, responsible for driving utilization and fleet expansion of Tablo consoles at existing customer sites. In addition, our field service team, comprised of 117 members, provides maintenance services and product support to Tablo customers. The same sales organization and field service team have driven Tablo penetration in both the acute and home care markets. We believe the ability to leverage one team to serve both markets will result in significant productivity and cost optimization as we continue to scale our business.</w:t>
      </w:r>
    </w:p>
    <w:p>
      <w:pPr>
        <w:spacing w:after="0" w:line="79" w:lineRule="exact"/>
        <w:rPr>
          <w:sz w:val="20"/>
          <w:szCs w:val="20"/>
          <w:color w:val="auto"/>
        </w:rPr>
      </w:pPr>
    </w:p>
    <w:p>
      <w:pPr>
        <w:ind w:right="160" w:firstLine="569"/>
        <w:spacing w:after="0" w:line="290" w:lineRule="auto"/>
        <w:rPr>
          <w:sz w:val="20"/>
          <w:szCs w:val="20"/>
          <w:color w:val="auto"/>
        </w:rPr>
      </w:pPr>
      <w:r>
        <w:rPr>
          <w:rFonts w:ascii="Arial" w:cs="Arial" w:eastAsia="Arial" w:hAnsi="Arial"/>
          <w:sz w:val="16"/>
          <w:szCs w:val="16"/>
          <w:color w:val="auto"/>
        </w:rPr>
        <w:t>We generate revenue primarily from the initial sale of Tablo consoles, and recurring sales of per-treatment consumables, including the Tablo cartridge, which generates significant total revenue over the life of the console. We generate additional recurring revenue via annual service contracts and revenue from shipping and handling charged to customers. Our total revenue was $27.8 million and $26.3 million for the three months ended September 30, 2022 and 2021, respectively, and $83.4 million and $74.5 million for the nine months ended September 30, 2022 and 2021, respectively.</w:t>
      </w:r>
    </w:p>
    <w:p>
      <w:pPr>
        <w:spacing w:after="0" w:line="42" w:lineRule="exact"/>
        <w:rPr>
          <w:sz w:val="20"/>
          <w:szCs w:val="20"/>
          <w:color w:val="auto"/>
        </w:rPr>
      </w:pPr>
    </w:p>
    <w:p>
      <w:pPr>
        <w:ind w:right="140" w:firstLine="569"/>
        <w:spacing w:after="0" w:line="283" w:lineRule="auto"/>
        <w:rPr>
          <w:sz w:val="20"/>
          <w:szCs w:val="20"/>
          <w:color w:val="auto"/>
        </w:rPr>
      </w:pPr>
      <w:r>
        <w:rPr>
          <w:rFonts w:ascii="Arial" w:cs="Arial" w:eastAsia="Arial" w:hAnsi="Arial"/>
          <w:sz w:val="16"/>
          <w:szCs w:val="16"/>
          <w:color w:val="auto"/>
        </w:rPr>
        <w:t>Historically, we have financed our operations and capital expenditures primarily through sales of redeemable convertible preferred stock and common stock, revenue from sales, and debt financing. Since our inception, we have incurred net losses in each year. For the three months ended September 30, 2022 and 2021, we incurred net losses of $40.8 million and $30.5 million, respectively, and for the nine months ended September 30, 2022 and 2021, we incurred net losses of $121.5 million and $90.7 million, respectively. As of September 30, 2022, we had an accumulated deficit of $747.5 million. We expect to continue to incur significant expenses for the foreseeable future and to incur operating losses in the near term.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right="40" w:firstLine="569"/>
        <w:spacing w:after="0" w:line="249"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Acceptance of Tablo in Acute Setting</w:t>
      </w:r>
    </w:p>
    <w:p>
      <w:pPr>
        <w:spacing w:after="0" w:line="104" w:lineRule="exact"/>
        <w:rPr>
          <w:sz w:val="20"/>
          <w:szCs w:val="20"/>
          <w:color w:val="auto"/>
        </w:rPr>
      </w:pPr>
    </w:p>
    <w:p>
      <w:pPr>
        <w:ind w:right="200" w:firstLine="569"/>
        <w:spacing w:after="0" w:line="246" w:lineRule="auto"/>
        <w:rPr>
          <w:sz w:val="20"/>
          <w:szCs w:val="20"/>
          <w:color w:val="auto"/>
        </w:rPr>
      </w:pPr>
      <w:r>
        <w:rPr>
          <w:rFonts w:ascii="Arial" w:cs="Arial" w:eastAsia="Arial" w:hAnsi="Arial"/>
          <w:sz w:val="18"/>
          <w:szCs w:val="18"/>
          <w:color w:val="auto"/>
        </w:rPr>
        <w:t>We plan to further broaden our installed base by continuing to target national and regional Integrated Delivery Networks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in part on the success of our efforts to further evolve our commercial infrastructure and sales processes to support the growth of our business in the acute care market.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Tablo within the Home Setting</w:t>
      </w:r>
    </w:p>
    <w:p>
      <w:pPr>
        <w:spacing w:after="0" w:line="104" w:lineRule="exact"/>
        <w:rPr>
          <w:sz w:val="20"/>
          <w:szCs w:val="20"/>
          <w:color w:val="auto"/>
        </w:rPr>
      </w:pPr>
    </w:p>
    <w:p>
      <w:pPr>
        <w:ind w:right="20" w:firstLine="569"/>
        <w:spacing w:after="0" w:line="249" w:lineRule="auto"/>
        <w:rPr>
          <w:sz w:val="20"/>
          <w:szCs w:val="20"/>
          <w:color w:val="auto"/>
        </w:rPr>
      </w:pPr>
      <w:r>
        <w:rPr>
          <w:rFonts w:ascii="Arial" w:cs="Arial" w:eastAsia="Arial" w:hAnsi="Arial"/>
          <w:sz w:val="18"/>
          <w:szCs w:val="18"/>
          <w:color w:val="auto"/>
        </w:rPr>
        <w:t>We believe that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ind w:right="80"/>
        <w:spacing w:after="0" w:line="249" w:lineRule="auto"/>
        <w:rPr>
          <w:sz w:val="20"/>
          <w:szCs w:val="20"/>
          <w:color w:val="auto"/>
        </w:rPr>
      </w:pPr>
      <w:r>
        <w:rPr>
          <w:rFonts w:ascii="Arial" w:cs="Arial" w:eastAsia="Arial" w:hAnsi="Arial"/>
          <w:sz w:val="18"/>
          <w:szCs w:val="18"/>
          <w:color w:val="auto"/>
        </w:rPr>
        <w:t>the home market, help grow new home programs and increase our revenue generated from home-based dialysis on the timeline that we anticipate will depend on several factors. These factors include our ability to continue regaining momentum in our home commercialization and marketing and rebuilding our home patient pipeline following the release of our prior home shipment hold, as well as our ability to further evolve our commercial infrastructure and sales processes as we scale our business in the home market.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04" w:lineRule="exact"/>
        <w:rPr>
          <w:sz w:val="20"/>
          <w:szCs w:val="20"/>
          <w:color w:val="auto"/>
        </w:rPr>
      </w:pPr>
    </w:p>
    <w:p>
      <w:pPr>
        <w:ind w:right="120" w:firstLine="569"/>
        <w:spacing w:after="0" w:line="277" w:lineRule="auto"/>
        <w:rPr>
          <w:sz w:val="20"/>
          <w:szCs w:val="20"/>
          <w:color w:val="auto"/>
        </w:rPr>
      </w:pPr>
      <w:r>
        <w:rPr>
          <w:rFonts w:ascii="Arial" w:cs="Arial" w:eastAsia="Arial" w:hAnsi="Arial"/>
          <w:sz w:val="16"/>
          <w:szCs w:val="16"/>
          <w:color w:val="auto"/>
        </w:rPr>
        <w:t>We are continuing to execute a well-defined strategy designed to expand gross margins. First, in the first quarter of 2021, we successfully began production at our own console manufacturing facility in Tijuana, Mexico which we operate in collaboration with our outsourced business administration service provider, TACNA. Second, following our receipt of 510(k) clearance from the FDA for the new cartridge sterilization method in the fourth quarter of 2021, we have qualified a second source to increase Tablo cartridge production through a new manufacturing partner in Mexico, which we anticipate will result in cost reductions from lower freight costs. Third, we will continue to drive scale across our console platform to leverage our supply base and help improve our manufacturing efficiency. Fourth, we will continue to utilize our cloud-based data system, as well as enhanced product performance, to help drive down the cost of service. Our ability to grow our business will depend in part on these and other measures to control the costs of our products being successful. Likewise, it will be important that we effectively manage the costs of generating our service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COVID-19 Pandemic and Other Macroeconomic Factors</w:t>
      </w:r>
    </w:p>
    <w:p>
      <w:pPr>
        <w:spacing w:after="0" w:line="121" w:lineRule="exact"/>
        <w:rPr>
          <w:sz w:val="20"/>
          <w:szCs w:val="20"/>
          <w:color w:val="auto"/>
        </w:rPr>
      </w:pPr>
    </w:p>
    <w:p>
      <w:pPr>
        <w:ind w:right="60" w:firstLine="569"/>
        <w:spacing w:after="0" w:line="259" w:lineRule="auto"/>
        <w:rPr>
          <w:sz w:val="20"/>
          <w:szCs w:val="20"/>
          <w:color w:val="auto"/>
        </w:rPr>
      </w:pPr>
      <w:r>
        <w:rPr>
          <w:rFonts w:ascii="Arial" w:cs="Arial" w:eastAsia="Arial" w:hAnsi="Arial"/>
          <w:sz w:val="17"/>
          <w:szCs w:val="17"/>
          <w:color w:val="auto"/>
        </w:rPr>
        <w:t>Our business may be impacted by an escalation or a continuation of the ongoing COVID-19 pandemic. While the operations at our contract manufacturing partners’ facilities and our outsourced business administration service provider, TACNA, for our facility in Tijuana, Mexico, have not yet experienced significant disruption as a result of the pandemic, the possibility that such disruption may occur remains. Additionally, the COVID-19 pandemic has at various times since its onset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procure higher quantities of materials when they become available,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w:t>
      </w:r>
    </w:p>
    <w:p>
      <w:pPr>
        <w:spacing w:after="0" w:line="67" w:lineRule="exact"/>
        <w:rPr>
          <w:sz w:val="20"/>
          <w:szCs w:val="20"/>
          <w:color w:val="auto"/>
        </w:rPr>
      </w:pPr>
    </w:p>
    <w:p>
      <w:pPr>
        <w:ind w:firstLine="569"/>
        <w:spacing w:after="0" w:line="275" w:lineRule="auto"/>
        <w:rPr>
          <w:sz w:val="20"/>
          <w:szCs w:val="20"/>
          <w:color w:val="auto"/>
        </w:rPr>
      </w:pPr>
      <w:r>
        <w:rPr>
          <w:rFonts w:ascii="Arial" w:cs="Arial" w:eastAsia="Arial" w:hAnsi="Arial"/>
          <w:sz w:val="16"/>
          <w:szCs w:val="16"/>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the fourth quarter of 2021, these supply chain disruptions escalated,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In the fourth quarter of 2021, we qualified a second source to increase Tablo cartridge production through a new manufacturing partner in Mexico. While we anticipate that this second source will help mitigate supply chain challenges and reduce the need for costly and capacity-constrained air freight delivery of the cartridges, there is no assurance that we will not continue to face supply chain constraints. Continued escalation of these supply chain disruptions could negatively impact our ability to meet customer demand on a timely basis, result in customer dissatisfaction and adversely impact our operating margins and results of operations. Further, a sustained rise in material and freight costs could also unfavorably impact our operating margins and results of operations.</w:t>
      </w:r>
    </w:p>
    <w:p>
      <w:pPr>
        <w:spacing w:after="0" w:line="71" w:lineRule="exact"/>
        <w:rPr>
          <w:sz w:val="20"/>
          <w:szCs w:val="20"/>
          <w:color w:val="auto"/>
        </w:rPr>
      </w:pPr>
    </w:p>
    <w:p>
      <w:pPr>
        <w:ind w:right="200" w:firstLine="569"/>
        <w:spacing w:after="0" w:line="277" w:lineRule="auto"/>
        <w:rPr>
          <w:sz w:val="20"/>
          <w:szCs w:val="20"/>
          <w:color w:val="auto"/>
        </w:rPr>
      </w:pPr>
      <w:r>
        <w:rPr>
          <w:rFonts w:ascii="Arial" w:cs="Arial" w:eastAsia="Arial" w:hAnsi="Arial"/>
          <w:sz w:val="16"/>
          <w:szCs w:val="16"/>
          <w:color w:val="auto"/>
        </w:rPr>
        <w:t>The extent, duration and full impacts of the pandemic remain uncertain and depend on ongoing developments, including but not limited to any resurgences of the virus including emerging variant strains, actions taken to contain or mitigate its impact, as well as the direct and indirect economic effects of the pandemic and related containment measures. Additionally, the duration and severity of disruptions in the global supply chain also remains uncertain, and depend on various factors, including the effectiveness of government actions intended to mitigate these disruptions. As a result, we cannot predict what effect the pandemic, the associated containment measures, and the current supply chain disruptions will ultimately have on our business and results of operations, on our customers, or on our suppliers and vendors.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spacing w:after="0" w:line="56" w:lineRule="exact"/>
        <w:rPr>
          <w:sz w:val="20"/>
          <w:szCs w:val="20"/>
          <w:color w:val="auto"/>
        </w:rPr>
      </w:pPr>
    </w:p>
    <w:p>
      <w:pPr>
        <w:ind w:right="140" w:firstLine="569"/>
        <w:spacing w:after="0" w:line="244" w:lineRule="auto"/>
        <w:rPr>
          <w:sz w:val="20"/>
          <w:szCs w:val="20"/>
          <w:color w:val="auto"/>
        </w:rPr>
      </w:pPr>
      <w:r>
        <w:rPr>
          <w:rFonts w:ascii="Arial" w:cs="Arial" w:eastAsia="Arial" w:hAnsi="Arial"/>
          <w:sz w:val="18"/>
          <w:szCs w:val="18"/>
          <w:color w:val="auto"/>
        </w:rPr>
        <w:t>Moreover, healthcare providers (including our existing and prospective customers) are facing a nationwide shortage of qualified nurses and other clinical personnel due to long-term trends that were exacerbated by the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We believe Tablo offers automation and ease-of-use benefits over traditional machines that can enhance our existing and potential customers’ ability to support their patient populations despite staffing shortages. However, there is a risk that the increased costs and other disruptions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spacing w:after="0" w:line="276" w:lineRule="auto"/>
        <w:rPr>
          <w:sz w:val="20"/>
          <w:szCs w:val="20"/>
          <w:color w:val="auto"/>
        </w:rPr>
      </w:pPr>
      <w:r>
        <w:rPr>
          <w:rFonts w:ascii="Arial" w:cs="Arial" w:eastAsia="Arial" w:hAnsi="Arial"/>
          <w:sz w:val="16"/>
          <w:szCs w:val="16"/>
          <w:color w:val="auto"/>
        </w:rPr>
        <w:t>caused by the shortage of dialysis nurses, technicians, other staff, and implementation resources could cause existing or prospective customers to delay continued investment in or adoption of new technologies and postpone purchasing decisions. For example, during the second and third quarters of 2022, our existing and potential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have negatively impacted our customer base on pipeline development and installation schedules, which, in turn, have negatively impacted our bookings, delayed our shipments and adversely impacted our revenues for the second and third quarters of 2022. If our customers continue to face prolonged staffing shortages, volatility, uncertainty, rising costs and financial pressures, whether due to the pandemic,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2022 and 2021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7"/>
          </w:tcPr>
          <w:p>
            <w:pPr>
              <w:jc w:val="right"/>
              <w:ind w:right="330"/>
              <w:spacing w:after="0"/>
              <w:rPr>
                <w:sz w:val="20"/>
                <w:szCs w:val="20"/>
                <w:color w:val="auto"/>
              </w:rPr>
            </w:pPr>
            <w:r>
              <w:rPr>
                <w:rFonts w:ascii="Arial" w:cs="Arial" w:eastAsia="Arial" w:hAnsi="Arial"/>
                <w:sz w:val="18"/>
                <w:szCs w:val="18"/>
                <w:b w:val="1"/>
                <w:bCs w:val="1"/>
                <w:color w:val="auto"/>
                <w:w w:val="93"/>
              </w:rPr>
              <w:t>Three Months Ended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84"/>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21,739</w:t>
            </w:r>
          </w:p>
        </w:tc>
        <w:tc>
          <w:tcPr>
            <w:tcW w:w="2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67,024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35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Service and other revenue</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6,022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16,344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13,788</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27,761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83,368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74,450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19,632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20,526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60,460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63,180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35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Cost of service and other revenue</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10,348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23,425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70,808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70,163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3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4,336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12,560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37,411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25,331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22,276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65,851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42,079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35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30,493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26,597</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45,335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33,084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133,755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94,007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(40,999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(30,138</w:t>
            </w: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(121,195</w:t>
            </w:r>
          </w:p>
        </w:tc>
        <w:tc>
          <w:tcPr>
            <w:tcW w:w="24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(89,720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Interest income and other income,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(567 )</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(431 )</w:t>
            </w: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w w:val="96"/>
              </w:rPr>
              <w:t>(1,470 )</w:t>
            </w: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(1,284 )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(40,761</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(30,470</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(121,281</w:t>
            </w:r>
          </w:p>
        </w:tc>
        <w:tc>
          <w:tcPr>
            <w:tcW w:w="2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(90,629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980" w:type="dxa"/>
            <w:vAlign w:val="bottom"/>
            <w:gridSpan w:val="3"/>
          </w:tcPr>
          <w:p>
            <w:pPr>
              <w:jc w:val="right"/>
              <w:ind w:right="90"/>
              <w:spacing w:after="0"/>
              <w:rPr>
                <w:sz w:val="20"/>
                <w:szCs w:val="20"/>
                <w:color w:val="auto"/>
              </w:rPr>
            </w:pPr>
            <w:r>
              <w:rPr>
                <w:rFonts w:ascii="Arial" w:cs="Arial" w:eastAsia="Arial" w:hAnsi="Arial"/>
                <w:sz w:val="18"/>
                <w:szCs w:val="18"/>
                <w:color w:val="auto"/>
              </w:rPr>
              <w:t>(40,781 )</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(30,470 )</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70"/>
              <w:spacing w:after="0"/>
              <w:rPr>
                <w:sz w:val="20"/>
                <w:szCs w:val="20"/>
                <w:color w:val="auto"/>
              </w:rPr>
            </w:pPr>
            <w:r>
              <w:rPr>
                <w:rFonts w:ascii="Arial" w:cs="Arial" w:eastAsia="Arial" w:hAnsi="Arial"/>
                <w:sz w:val="18"/>
                <w:szCs w:val="18"/>
                <w:color w:val="auto"/>
                <w:w w:val="95"/>
              </w:rPr>
              <w:t>(121,512 )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(90,703 )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80" w:type="dxa"/>
            <w:vAlign w:val="bottom"/>
            <w:gridSpan w:val="13"/>
          </w:tcPr>
          <w:p>
            <w:pPr>
              <w:spacing w:after="0"/>
              <w:rPr>
                <w:sz w:val="20"/>
                <w:szCs w:val="20"/>
                <w:color w:val="auto"/>
              </w:rPr>
            </w:pPr>
            <w:r>
              <w:rPr>
                <w:rFonts w:ascii="Arial" w:cs="Arial" w:eastAsia="Arial" w:hAnsi="Arial"/>
                <w:sz w:val="18"/>
                <w:szCs w:val="18"/>
                <w:b w:val="1"/>
                <w:bCs w:val="1"/>
                <w:i w:val="1"/>
                <w:iCs w:val="1"/>
                <w:color w:val="auto"/>
                <w:w w:val="93"/>
              </w:rPr>
              <w:t>Comparison of the Three and Nine Months Ended September 30, 2022 and 2021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5"/>
            <w:vMerge w:val="restart"/>
          </w:tcPr>
          <w:p>
            <w:pPr>
              <w:jc w:val="right"/>
              <w:ind w:right="51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7"/>
          </w:tcPr>
          <w:p>
            <w:pPr>
              <w:jc w:val="right"/>
              <w:ind w:right="70"/>
              <w:spacing w:after="0"/>
              <w:rPr>
                <w:sz w:val="20"/>
                <w:szCs w:val="20"/>
                <w:color w:val="auto"/>
              </w:rPr>
            </w:pPr>
            <w:r>
              <w:rPr>
                <w:rFonts w:ascii="Arial" w:cs="Arial" w:eastAsia="Arial" w:hAnsi="Arial"/>
                <w:sz w:val="16"/>
                <w:szCs w:val="16"/>
                <w:b w:val="1"/>
                <w:bCs w:val="1"/>
                <w:color w:val="auto"/>
                <w:w w:val="92"/>
              </w:rPr>
              <w:t>Nine Months Ended</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5"/>
            <w:vMerge w:val="restart"/>
          </w:tcPr>
          <w:p>
            <w:pPr>
              <w:jc w:val="right"/>
              <w:ind w:right="680"/>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gridSpan w:val="3"/>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9"/>
              <w:spacing w:after="0" w:line="175"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39"/>
              <w:spacing w:after="0" w:line="175" w:lineRule="exact"/>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top w:val="single" w:sz="8" w:color="auto"/>
            </w:tcBorders>
            <w:gridSpan w:val="2"/>
          </w:tcPr>
          <w:p>
            <w:pPr>
              <w:jc w:val="center"/>
              <w:ind w:left="39"/>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300"/>
              <w:spacing w:after="0" w:line="175"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rPr>
              <w:t>Product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21,739</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21,824</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(85 )</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67,024</w:t>
            </w:r>
          </w:p>
        </w:tc>
        <w:tc>
          <w:tcPr>
            <w:tcW w:w="2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60,662</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  6,362</w:t>
            </w: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rPr>
              <w:t>Service and other revenue</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1,528</w:t>
            </w:r>
          </w:p>
        </w:tc>
        <w:tc>
          <w:tcPr>
            <w:tcW w:w="8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34 %</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13,788</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2,556</w:t>
            </w: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2"/>
          </w:tcPr>
          <w:p>
            <w:pPr>
              <w:ind w:left="360"/>
              <w:spacing w:after="0"/>
              <w:rPr>
                <w:sz w:val="20"/>
                <w:szCs w:val="20"/>
                <w:color w:val="auto"/>
              </w:rPr>
            </w:pPr>
            <w:r>
              <w:rPr>
                <w:rFonts w:ascii="Arial" w:cs="Arial" w:eastAsia="Arial" w:hAnsi="Arial"/>
                <w:sz w:val="16"/>
                <w:szCs w:val="16"/>
                <w:color w:val="auto"/>
              </w:rPr>
              <w:t>Total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27,761</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26,318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1,443</w:t>
            </w:r>
          </w:p>
        </w:tc>
        <w:tc>
          <w:tcPr>
            <w:tcW w:w="80" w:type="dxa"/>
            <w:vAlign w:val="bottom"/>
          </w:tcPr>
          <w:p>
            <w:pPr>
              <w:spacing w:after="0"/>
              <w:rPr>
                <w:sz w:val="17"/>
                <w:szCs w:val="17"/>
                <w:color w:val="auto"/>
              </w:rPr>
            </w:pPr>
          </w:p>
        </w:tc>
        <w:tc>
          <w:tcPr>
            <w:tcW w:w="1320" w:type="dxa"/>
            <w:vAlign w:val="bottom"/>
            <w:gridSpan w:val="5"/>
          </w:tcPr>
          <w:p>
            <w:pPr>
              <w:jc w:val="right"/>
              <w:ind w:right="40"/>
              <w:spacing w:after="0" w:line="195" w:lineRule="exact"/>
              <w:rPr>
                <w:sz w:val="20"/>
                <w:szCs w:val="20"/>
                <w:color w:val="auto"/>
              </w:rPr>
            </w:pPr>
            <w:r>
              <w:rPr>
                <w:rFonts w:ascii="Arial" w:cs="Arial" w:eastAsia="Arial" w:hAnsi="Arial"/>
                <w:sz w:val="13"/>
                <w:szCs w:val="13"/>
                <w:color w:val="auto"/>
              </w:rPr>
              <w:t xml:space="preserve">5 % </w:t>
            </w:r>
            <w:r>
              <w:rPr>
                <w:rFonts w:ascii="Arial" w:cs="Arial" w:eastAsia="Arial" w:hAnsi="Arial"/>
                <w:sz w:val="22"/>
                <w:szCs w:val="22"/>
                <w:color w:val="auto"/>
                <w:vertAlign w:val="superscript"/>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83,368</w:t>
            </w:r>
          </w:p>
        </w:tc>
        <w:tc>
          <w:tcPr>
            <w:tcW w:w="2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74,450</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8,918</w:t>
            </w: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 Not meaningful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-3938905</wp:posOffset>
            </wp:positionV>
            <wp:extent cx="7747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-3938905</wp:posOffset>
            </wp:positionV>
            <wp:extent cx="76835"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-3938905</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-3938905</wp:posOffset>
            </wp:positionV>
            <wp:extent cx="6858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-3381375</wp:posOffset>
            </wp:positionV>
            <wp:extent cx="7747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-3381375</wp:posOffset>
            </wp:positionV>
            <wp:extent cx="7683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-3381375</wp:posOffset>
            </wp:positionV>
            <wp:extent cx="685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-3381375</wp:posOffset>
            </wp:positionV>
            <wp:extent cx="6858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-2541270</wp:posOffset>
            </wp:positionV>
            <wp:extent cx="7747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-2541270</wp:posOffset>
            </wp:positionV>
            <wp:extent cx="7683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-2541270</wp:posOffset>
            </wp:positionV>
            <wp:extent cx="685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-2541270</wp:posOffset>
            </wp:positionV>
            <wp:extent cx="6858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-1692910</wp:posOffset>
            </wp:positionV>
            <wp:extent cx="7747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-1692910</wp:posOffset>
            </wp:positionV>
            <wp:extent cx="7683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-1692910</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-1692910</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80" w:lineRule="exact"/>
        <w:rPr>
          <w:sz w:val="20"/>
          <w:szCs w:val="20"/>
          <w:color w:val="auto"/>
        </w:rPr>
      </w:pPr>
    </w:p>
    <w:p>
      <w:pPr>
        <w:ind w:right="40" w:firstLine="569"/>
        <w:spacing w:after="0" w:line="248" w:lineRule="auto"/>
        <w:rPr>
          <w:sz w:val="20"/>
          <w:szCs w:val="20"/>
          <w:color w:val="auto"/>
        </w:rPr>
      </w:pPr>
      <w:r>
        <w:rPr>
          <w:rFonts w:ascii="Arial" w:cs="Arial" w:eastAsia="Arial" w:hAnsi="Arial"/>
          <w:sz w:val="18"/>
          <w:szCs w:val="18"/>
          <w:color w:val="auto"/>
        </w:rPr>
        <w:t>Product revenue decreased by $0.1 million for the three months ended September 30, 2022 as compared to the same quarter in the prior year. This decrease was driven by a $0.5 million decrease in consoles revenue, partially offset by a $0.4 million increase in consumables revenue driven by the growth in our console installed base.</w:t>
      </w:r>
    </w:p>
    <w:p>
      <w:pPr>
        <w:spacing w:after="0" w:line="87" w:lineRule="exact"/>
        <w:rPr>
          <w:sz w:val="20"/>
          <w:szCs w:val="20"/>
          <w:color w:val="auto"/>
        </w:rPr>
      </w:pPr>
    </w:p>
    <w:p>
      <w:pPr>
        <w:jc w:val="both"/>
        <w:ind w:right="80" w:firstLine="569"/>
        <w:spacing w:after="0" w:line="243" w:lineRule="auto"/>
        <w:rPr>
          <w:sz w:val="20"/>
          <w:szCs w:val="20"/>
          <w:color w:val="auto"/>
        </w:rPr>
      </w:pPr>
      <w:r>
        <w:rPr>
          <w:rFonts w:ascii="Arial" w:cs="Arial" w:eastAsia="Arial" w:hAnsi="Arial"/>
          <w:sz w:val="18"/>
          <w:szCs w:val="18"/>
          <w:color w:val="auto"/>
        </w:rPr>
        <w:t>Product revenue increased by $6.4 million, or 10% for the nine months ended September 30, 2022 as compared to the same period in the prior year, driven by a $7.2 million increase in consumables revenue attributable to the growth in our console installed base. This increase was partially offset by a net $0.8 million decrease in consoles revenue which, in turn, was primarily comprised of a $2.0 million decrease in console leasing revenue, partially offset by a higher average selling price for consoles.</w:t>
      </w:r>
    </w:p>
    <w:p>
      <w:pPr>
        <w:spacing w:after="0" w:line="93"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Service and other revenue increased for the three and nine months ended September 30, 2022 as compared to the same periods in the prior year. The increase was primarily due to services associated with the growth in our console installed base, which was offset by a decrease in service revenue from leased consoles due to the expiration of certain lease agreements.</w:t>
      </w:r>
    </w:p>
    <w:p>
      <w:pPr>
        <w:spacing w:after="0" w:line="87" w:lineRule="exact"/>
        <w:rPr>
          <w:sz w:val="20"/>
          <w:szCs w:val="20"/>
          <w:color w:val="auto"/>
        </w:rPr>
      </w:pPr>
    </w:p>
    <w:p>
      <w:pPr>
        <w:ind w:right="80" w:firstLine="569"/>
        <w:spacing w:after="0" w:line="280" w:lineRule="auto"/>
        <w:rPr>
          <w:sz w:val="20"/>
          <w:szCs w:val="20"/>
          <w:color w:val="auto"/>
        </w:rPr>
      </w:pPr>
      <w:r>
        <w:rPr>
          <w:rFonts w:ascii="Arial" w:cs="Arial" w:eastAsia="Arial" w:hAnsi="Arial"/>
          <w:sz w:val="16"/>
          <w:szCs w:val="16"/>
          <w:color w:val="auto"/>
        </w:rPr>
        <w:t>In May 2022, we implemented a shipment hold on the distribution and marketing of Tablo for use in the home environment pending the FDA’s review and clearance of a 510(k) application we submitted for changes made since the device’s original March 2020 clearance. In late July 2022, the FDA cleared this 510(k) application of Tablo for patient use in the home and we resumed marketing and shipping Tablo for home use. The shipment hold on Tablo for home use had a significant negative impact on our bookings and revenue for the second and third quarters of 2022, as well as on our pipeline of potential new deals. While we continue to regain momentum in our home commercialization and rebuild our home patient pipeline following our release of the shipment hold, we may continue to experience related disruptions to our home and acute business and operations that could materially and adversely impact our revenue. In addition, we anticipate that our revenues may continue to be negatively impacted by the customer staffing</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32" w:right="299" w:bottom="1440" w:gutter="0" w:footer="0" w:header="0"/>
        </w:sectPr>
      </w:pPr>
    </w:p>
    <w:bookmarkStart w:id="21" w:name="page22"/>
    <w:bookmarkEnd w:id="21"/>
    <w:p>
      <w:pPr>
        <w:ind w:right="320"/>
        <w:spacing w:after="0" w:line="256" w:lineRule="auto"/>
        <w:rPr>
          <w:sz w:val="20"/>
          <w:szCs w:val="20"/>
          <w:color w:val="auto"/>
        </w:rPr>
      </w:pPr>
      <w:r>
        <w:rPr>
          <w:rFonts w:ascii="Arial" w:cs="Arial" w:eastAsia="Arial" w:hAnsi="Arial"/>
          <w:sz w:val="18"/>
          <w:szCs w:val="18"/>
          <w:color w:val="auto"/>
        </w:rPr>
        <w:t>challenges and, potentially, other macroeconomic factors highlighted above, affecting our customers. While we are taking steps to further evolve our commercial infrastructure and sales processes to support our future growth in both the home and acute markets, we expect these factors may continue to moderate our revenue growth over the next several quarters.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220" w:type="dxa"/>
            <w:vAlign w:val="bottom"/>
            <w:gridSpan w:val="3"/>
            <w:vMerge w:val="restart"/>
          </w:tcPr>
          <w:p>
            <w:pPr>
              <w:ind w:left="620"/>
              <w:spacing w:after="0"/>
              <w:rPr>
                <w:sz w:val="20"/>
                <w:szCs w:val="20"/>
                <w:color w:val="auto"/>
              </w:rPr>
            </w:pPr>
            <w:r>
              <w:rPr>
                <w:rFonts w:ascii="Arial" w:cs="Arial" w:eastAsia="Arial" w:hAnsi="Arial"/>
                <w:sz w:val="16"/>
                <w:szCs w:val="16"/>
                <w:b w:val="1"/>
                <w:bCs w:val="1"/>
                <w:color w:val="auto"/>
                <w:w w:val="98"/>
              </w:rPr>
              <w:t>Change</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6"/>
                <w:szCs w:val="16"/>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w w:val="95"/>
              </w:rPr>
              <w:t>Change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00" w:type="dxa"/>
            <w:vAlign w:val="bottom"/>
            <w:gridSpan w:val="3"/>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70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5"/>
                <w:szCs w:val="15"/>
                <w:color w:val="auto"/>
              </w:rPr>
            </w:pP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5"/>
                <w:szCs w:val="15"/>
                <w:color w:val="auto"/>
              </w:rPr>
            </w:pPr>
          </w:p>
        </w:tc>
        <w:tc>
          <w:tcPr>
            <w:tcW w:w="720" w:type="dxa"/>
            <w:vAlign w:val="bottom"/>
          </w:tcPr>
          <w:p>
            <w:pPr>
              <w:ind w:left="320"/>
              <w:spacing w:after="0" w:line="175"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660" w:type="dxa"/>
            <w:vAlign w:val="bottom"/>
          </w:tcPr>
          <w:p>
            <w:pPr>
              <w:jc w:val="right"/>
              <w:ind w:right="79"/>
              <w:spacing w:after="0" w:line="175"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74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5"/>
                <w:szCs w:val="15"/>
                <w:color w:val="auto"/>
              </w:rPr>
            </w:pPr>
          </w:p>
        </w:tc>
        <w:tc>
          <w:tcPr>
            <w:tcW w:w="660" w:type="dxa"/>
            <w:vAlign w:val="bottom"/>
          </w:tcPr>
          <w:p>
            <w:pPr>
              <w:ind w:left="280"/>
              <w:spacing w:after="0" w:line="175"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Gross profit and gross margin:</w:t>
            </w: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tcPr>
          <w:p>
            <w:pPr>
              <w:ind w:left="180"/>
              <w:spacing w:after="0"/>
              <w:rPr>
                <w:sz w:val="20"/>
                <w:szCs w:val="20"/>
                <w:color w:val="auto"/>
              </w:rPr>
            </w:pPr>
            <w:r>
              <w:rPr>
                <w:rFonts w:ascii="Arial" w:cs="Arial" w:eastAsia="Arial" w:hAnsi="Arial"/>
                <w:sz w:val="16"/>
                <w:szCs w:val="16"/>
                <w:color w:val="auto"/>
              </w:rPr>
              <w:t>Gross profit</w:t>
            </w:r>
          </w:p>
        </w:tc>
        <w:tc>
          <w:tcPr>
            <w:tcW w:w="700" w:type="dxa"/>
            <w:vAlign w:val="bottom"/>
          </w:tcPr>
          <w:p>
            <w:pPr>
              <w:jc w:val="right"/>
              <w:spacing w:after="0"/>
              <w:rPr>
                <w:sz w:val="20"/>
                <w:szCs w:val="20"/>
                <w:color w:val="auto"/>
              </w:rPr>
            </w:pPr>
            <w:r>
              <w:rPr>
                <w:rFonts w:ascii="Arial" w:cs="Arial" w:eastAsia="Arial" w:hAnsi="Arial"/>
                <w:sz w:val="16"/>
                <w:szCs w:val="16"/>
                <w:color w:val="auto"/>
              </w:rPr>
              <w:t>4,336</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2,946</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w w:val="89"/>
              </w:rPr>
              <w:t>1,390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47 %</w:t>
            </w:r>
          </w:p>
        </w:tc>
        <w:tc>
          <w:tcPr>
            <w:tcW w:w="660" w:type="dxa"/>
            <w:vAlign w:val="bottom"/>
          </w:tcPr>
          <w:p>
            <w:pPr>
              <w:jc w:val="right"/>
              <w:spacing w:after="0"/>
              <w:rPr>
                <w:sz w:val="20"/>
                <w:szCs w:val="20"/>
                <w:color w:val="auto"/>
              </w:rPr>
            </w:pPr>
            <w:r>
              <w:rPr>
                <w:rFonts w:ascii="Arial" w:cs="Arial" w:eastAsia="Arial" w:hAnsi="Arial"/>
                <w:sz w:val="16"/>
                <w:szCs w:val="16"/>
                <w:color w:val="auto"/>
              </w:rPr>
              <w:t>12,560</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4,287</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w w:val="89"/>
              </w:rPr>
              <w:t>8,273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193 %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4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Gross margin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15.6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11.2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15.1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5.8</w:t>
            </w:r>
          </w:p>
        </w:tc>
        <w:tc>
          <w:tcPr>
            <w:tcW w:w="920" w:type="dxa"/>
            <w:vAlign w:val="bottom"/>
            <w:gridSpan w:val="2"/>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569"/>
        <w:spacing w:after="0" w:line="245" w:lineRule="auto"/>
        <w:rPr>
          <w:sz w:val="20"/>
          <w:szCs w:val="20"/>
          <w:color w:val="auto"/>
        </w:rPr>
      </w:pPr>
      <w:r>
        <w:rPr>
          <w:rFonts w:ascii="Arial" w:cs="Arial" w:eastAsia="Arial" w:hAnsi="Arial"/>
          <w:sz w:val="18"/>
          <w:szCs w:val="18"/>
          <w:color w:val="auto"/>
        </w:rPr>
        <w:t>Gross profit increased by $1.4 million, or 47% for the three months ended September 30, 2022 as compared to the same quarter in the prior year. The gross margin percentage improved by 4.4 percentage points for the three months ended September 30, 2022, as compared to the same quarter in the prior year. This improvement in gross profit and gross margin was primarily driven by the impact of our cost reduction activities and higher average selling price for consoles. Such improvement was partially offset by the lower gross margin of consumables revenue due to an increase in freight costs and materials costs.</w:t>
      </w:r>
    </w:p>
    <w:p>
      <w:pPr>
        <w:spacing w:after="0" w:line="78" w:lineRule="exact"/>
        <w:rPr>
          <w:sz w:val="20"/>
          <w:szCs w:val="20"/>
          <w:color w:val="auto"/>
        </w:rPr>
      </w:pPr>
    </w:p>
    <w:p>
      <w:pPr>
        <w:ind w:right="240" w:firstLine="569"/>
        <w:spacing w:after="0" w:line="263" w:lineRule="auto"/>
        <w:rPr>
          <w:sz w:val="20"/>
          <w:szCs w:val="20"/>
          <w:color w:val="auto"/>
        </w:rPr>
      </w:pPr>
      <w:r>
        <w:rPr>
          <w:rFonts w:ascii="Arial" w:cs="Arial" w:eastAsia="Arial" w:hAnsi="Arial"/>
          <w:sz w:val="17"/>
          <w:szCs w:val="17"/>
          <w:color w:val="auto"/>
        </w:rPr>
        <w:t>Gross profit increased by $8.3 million, or 193% for the nine months ended September 30, 2022 as compared to the same period in the prior year. The gross margin percentage improved by 9.3 percentage points for the nine months ended September 30, 2022, as compared to the same period in the prior year. This improvement in gross profit and gross margin was primarily driven by the impact of our cost reduction activities and the product revenue mix. Such improvement was partially offset by the lower gross margin of consumables revenue due to an increase in freight and materials costs and the lower gross margin of service and other revenue due to the expiration of certain lease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114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w w:val="98"/>
              </w:rPr>
              <w:t>Change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5"/>
              </w:rPr>
              <w:t>Nine Months Ended</w:t>
            </w:r>
          </w:p>
        </w:tc>
        <w:tc>
          <w:tcPr>
            <w:tcW w:w="300" w:type="dxa"/>
            <w:vAlign w:val="bottom"/>
          </w:tcPr>
          <w:p>
            <w:pPr>
              <w:spacing w:after="0"/>
              <w:rPr>
                <w:sz w:val="16"/>
                <w:szCs w:val="16"/>
                <w:color w:val="auto"/>
              </w:rPr>
            </w:pPr>
          </w:p>
        </w:tc>
        <w:tc>
          <w:tcPr>
            <w:tcW w:w="1080" w:type="dxa"/>
            <w:vAlign w:val="bottom"/>
            <w:gridSpan w:val="3"/>
            <w:vMerge w:val="restart"/>
          </w:tcPr>
          <w:p>
            <w:pPr>
              <w:ind w:left="520"/>
              <w:spacing w:after="0"/>
              <w:rPr>
                <w:sz w:val="20"/>
                <w:szCs w:val="20"/>
                <w:color w:val="auto"/>
              </w:rPr>
            </w:pPr>
            <w:r>
              <w:rPr>
                <w:rFonts w:ascii="Arial" w:cs="Arial" w:eastAsia="Arial" w:hAnsi="Arial"/>
                <w:sz w:val="16"/>
                <w:szCs w:val="16"/>
                <w:b w:val="1"/>
                <w:bCs w:val="1"/>
                <w:color w:val="auto"/>
                <w:w w:val="91"/>
              </w:rPr>
              <w:t>Change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7"/>
                <w:szCs w:val="17"/>
                <w:color w:val="auto"/>
              </w:rPr>
            </w:pPr>
          </w:p>
        </w:tc>
        <w:tc>
          <w:tcPr>
            <w:tcW w:w="1140" w:type="dxa"/>
            <w:vAlign w:val="bottom"/>
            <w:tcBorders>
              <w:bottom w:val="single" w:sz="8" w:color="auto"/>
            </w:tcBorders>
            <w:gridSpan w:val="3"/>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080" w:type="dxa"/>
            <w:vAlign w:val="bottom"/>
            <w:tcBorders>
              <w:bottom w:val="single" w:sz="8" w:color="auto"/>
            </w:tcBorders>
            <w:gridSpan w:val="3"/>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20" w:type="dxa"/>
            <w:vAlign w:val="bottom"/>
            <w:gridSpan w:val="3"/>
          </w:tcPr>
          <w:p>
            <w:pPr>
              <w:ind w:left="20"/>
              <w:spacing w:after="0" w:line="169" w:lineRule="exact"/>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5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66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4"/>
                <w:szCs w:val="14"/>
                <w:color w:val="auto"/>
              </w:rPr>
            </w:pPr>
          </w:p>
        </w:tc>
        <w:tc>
          <w:tcPr>
            <w:tcW w:w="62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tcPr>
          <w:p>
            <w:pPr>
              <w:ind w:left="18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13,059</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9,729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3,330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37,411</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25,331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$ 12,080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tcPr>
          <w:p>
            <w:pPr>
              <w:ind w:left="18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22,276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6,550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65,851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42,079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23,772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30,493</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3,896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gridSpan w:val="2"/>
          </w:tcPr>
          <w:p>
            <w:pPr>
              <w:ind w:left="3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45,335</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12,251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37 %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133,755</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94,007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39,748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ind w:right="100" w:firstLine="569"/>
        <w:spacing w:after="0" w:line="249" w:lineRule="auto"/>
        <w:rPr>
          <w:sz w:val="20"/>
          <w:szCs w:val="20"/>
          <w:color w:val="auto"/>
        </w:rPr>
      </w:pPr>
      <w:r>
        <w:rPr>
          <w:rFonts w:ascii="Arial" w:cs="Arial" w:eastAsia="Arial" w:hAnsi="Arial"/>
          <w:sz w:val="18"/>
          <w:szCs w:val="18"/>
          <w:color w:val="auto"/>
        </w:rPr>
        <w:t>Research and development expenses increased by $3.3 million, or 34% for the three months ended September 30, 2022, as compared to the same quarter in the prior year. The increase was primarily driven by higher headcount, resulting in increased fixed and share-based compensation expense, increased infrastructure costs, and increased supplies and materials costs to support our product development activities. This increase was slightly offset by lower consulting expenses.</w:t>
      </w:r>
    </w:p>
    <w:p>
      <w:pPr>
        <w:spacing w:after="0" w:line="73" w:lineRule="exact"/>
        <w:rPr>
          <w:sz w:val="20"/>
          <w:szCs w:val="20"/>
          <w:color w:val="auto"/>
        </w:rPr>
      </w:pPr>
    </w:p>
    <w:p>
      <w:pPr>
        <w:ind w:right="260" w:firstLine="569"/>
        <w:spacing w:after="0" w:line="249" w:lineRule="auto"/>
        <w:rPr>
          <w:sz w:val="20"/>
          <w:szCs w:val="20"/>
          <w:color w:val="auto"/>
        </w:rPr>
      </w:pPr>
      <w:r>
        <w:rPr>
          <w:rFonts w:ascii="Arial" w:cs="Arial" w:eastAsia="Arial" w:hAnsi="Arial"/>
          <w:sz w:val="18"/>
          <w:szCs w:val="18"/>
          <w:color w:val="auto"/>
        </w:rPr>
        <w:t>Research and development expenses increased by $12.1 million or 48% for the nine months ended September 30, 2022, as compared to the same periods in the prior year. These increases were primarily due to higher headcount, resulting in increased fixed and share-based compensation expense, higher consulting expenses, increased infrastructure costs, increased supplies and materials costs, and higher travel costs to support our product development activities.</w:t>
      </w:r>
    </w:p>
    <w:p>
      <w:pPr>
        <w:spacing w:after="0" w:line="86" w:lineRule="exact"/>
        <w:rPr>
          <w:sz w:val="20"/>
          <w:szCs w:val="20"/>
          <w:color w:val="auto"/>
        </w:rPr>
      </w:pPr>
    </w:p>
    <w:p>
      <w:pPr>
        <w:ind w:right="40" w:firstLine="569"/>
        <w:spacing w:after="0" w:line="243" w:lineRule="auto"/>
        <w:rPr>
          <w:sz w:val="20"/>
          <w:szCs w:val="20"/>
          <w:color w:val="auto"/>
        </w:rPr>
      </w:pPr>
      <w:r>
        <w:rPr>
          <w:rFonts w:ascii="Arial" w:cs="Arial" w:eastAsia="Arial" w:hAnsi="Arial"/>
          <w:sz w:val="18"/>
          <w:szCs w:val="18"/>
          <w:color w:val="auto"/>
        </w:rPr>
        <w:t>Sales and marketing expenses increased by $6.6 million, or 42% for the three months ended September 30, 2022 as compared to the same quarter in the prior year. The increase was primarily driven by higher headcount, resulting in increased fixed and share-based compensation expense, and increased infrastructure costs to support our growth. In addition, there were higher freight and travel expenses due to an increase in sales activities. This increase was slightly offset by lower consulting expenses.</w:t>
      </w:r>
    </w:p>
    <w:p>
      <w:pPr>
        <w:spacing w:after="0" w:line="93" w:lineRule="exact"/>
        <w:rPr>
          <w:sz w:val="20"/>
          <w:szCs w:val="20"/>
          <w:color w:val="auto"/>
        </w:rPr>
      </w:pPr>
    </w:p>
    <w:p>
      <w:pPr>
        <w:ind w:right="100" w:firstLine="569"/>
        <w:spacing w:after="0" w:line="268" w:lineRule="auto"/>
        <w:rPr>
          <w:sz w:val="20"/>
          <w:szCs w:val="20"/>
          <w:color w:val="auto"/>
        </w:rPr>
      </w:pPr>
      <w:r>
        <w:rPr>
          <w:rFonts w:ascii="Arial" w:cs="Arial" w:eastAsia="Arial" w:hAnsi="Arial"/>
          <w:sz w:val="17"/>
          <w:szCs w:val="17"/>
          <w:color w:val="auto"/>
        </w:rPr>
        <w:t>Sales and marketing expenses increased by $23.8 million or 56% for the nine months ended September 30, 2022 as compared to the same period in the prior year. The increase was primarily driven by higher headcount, resulting in increased fixed and share-based compensation expense, higher commissions due to higher sales, and increased infrastructure costs to support our growth. In addition, there were higher freight and travel expenses due to an increase in sales activities. This increase was partially offset by lower consulting expenses.</w:t>
      </w:r>
    </w:p>
    <w:p>
      <w:pPr>
        <w:spacing w:after="0" w:line="58" w:lineRule="exact"/>
        <w:rPr>
          <w:sz w:val="20"/>
          <w:szCs w:val="20"/>
          <w:color w:val="auto"/>
        </w:rPr>
      </w:pPr>
    </w:p>
    <w:p>
      <w:pPr>
        <w:ind w:right="340" w:firstLine="569"/>
        <w:spacing w:after="0" w:line="261" w:lineRule="auto"/>
        <w:rPr>
          <w:sz w:val="20"/>
          <w:szCs w:val="20"/>
          <w:color w:val="auto"/>
        </w:rPr>
      </w:pPr>
      <w:r>
        <w:rPr>
          <w:rFonts w:ascii="Arial" w:cs="Arial" w:eastAsia="Arial" w:hAnsi="Arial"/>
          <w:sz w:val="18"/>
          <w:szCs w:val="18"/>
          <w:color w:val="auto"/>
        </w:rPr>
        <w:t>General and administrative expenses increased by $2.4 million or 31% for the three months ended September 30, 2022 as compared to the same quarter in the prior year. The increase was primarily driven increased share-based compensation expense.</w:t>
      </w:r>
    </w:p>
    <w:p>
      <w:pPr>
        <w:spacing w:after="0" w:line="76" w:lineRule="exact"/>
        <w:rPr>
          <w:sz w:val="20"/>
          <w:szCs w:val="20"/>
          <w:color w:val="auto"/>
        </w:rPr>
      </w:pPr>
    </w:p>
    <w:p>
      <w:pPr>
        <w:ind w:right="380" w:firstLine="569"/>
        <w:spacing w:after="0" w:line="248" w:lineRule="auto"/>
        <w:rPr>
          <w:sz w:val="20"/>
          <w:szCs w:val="20"/>
          <w:color w:val="auto"/>
        </w:rPr>
      </w:pPr>
      <w:r>
        <w:rPr>
          <w:rFonts w:ascii="Arial" w:cs="Arial" w:eastAsia="Arial" w:hAnsi="Arial"/>
          <w:sz w:val="18"/>
          <w:szCs w:val="18"/>
          <w:color w:val="auto"/>
        </w:rPr>
        <w:t>General and administrative expenses increased by $3.9 million or 15% for the nine months ended September 30, 2022 as compared to the same period in the prior year. The increase was primarily driven by higher headcount, resulting in increased fixed and share-based compensation expense, increased infrastructure costs, and higher travel costs to support our growth.</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36"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6"/>
                <w:szCs w:val="16"/>
                <w:color w:val="auto"/>
              </w:rPr>
            </w:pPr>
          </w:p>
        </w:tc>
        <w:tc>
          <w:tcPr>
            <w:tcW w:w="960" w:type="dxa"/>
            <w:vAlign w:val="bottom"/>
            <w:gridSpan w:val="3"/>
            <w:vMerge w:val="restart"/>
          </w:tcPr>
          <w:p>
            <w:pPr>
              <w:ind w:left="360"/>
              <w:spacing w:after="0"/>
              <w:rPr>
                <w:sz w:val="20"/>
                <w:szCs w:val="20"/>
                <w:color w:val="auto"/>
              </w:rPr>
            </w:pPr>
            <w:r>
              <w:rPr>
                <w:rFonts w:ascii="Arial" w:cs="Arial" w:eastAsia="Arial" w:hAnsi="Arial"/>
                <w:sz w:val="16"/>
                <w:szCs w:val="16"/>
                <w:b w:val="1"/>
                <w:bCs w:val="1"/>
                <w:color w:val="auto"/>
                <w:w w:val="98"/>
              </w:rPr>
              <w:t>Change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w w:val="93"/>
              </w:rPr>
              <w:t>Nine Months Ended</w:t>
            </w:r>
          </w:p>
        </w:tc>
        <w:tc>
          <w:tcPr>
            <w:tcW w:w="1080" w:type="dxa"/>
            <w:vAlign w:val="bottom"/>
            <w:gridSpan w:val="3"/>
            <w:vMerge w:val="restart"/>
          </w:tcPr>
          <w:p>
            <w:pPr>
              <w:ind w:left="520"/>
              <w:spacing w:after="0"/>
              <w:rPr>
                <w:sz w:val="20"/>
                <w:szCs w:val="20"/>
                <w:color w:val="auto"/>
              </w:rPr>
            </w:pPr>
            <w:r>
              <w:rPr>
                <w:rFonts w:ascii="Arial" w:cs="Arial" w:eastAsia="Arial" w:hAnsi="Arial"/>
                <w:sz w:val="16"/>
                <w:szCs w:val="16"/>
                <w:b w:val="1"/>
                <w:bCs w:val="1"/>
                <w:color w:val="auto"/>
                <w:w w:val="91"/>
              </w:rPr>
              <w:t>Change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80" w:type="dxa"/>
            <w:vAlign w:val="bottom"/>
            <w:gridSpan w:val="3"/>
          </w:tcPr>
          <w:p>
            <w:pPr>
              <w:ind w:left="20"/>
              <w:spacing w:after="0" w:line="169" w:lineRule="exact"/>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9"/>
              <w:spacing w:after="0" w:line="169"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9"/>
              <w:spacing w:after="0" w:line="169" w:lineRule="exact"/>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4"/>
                <w:szCs w:val="14"/>
                <w:color w:val="auto"/>
              </w:rPr>
            </w:pPr>
          </w:p>
        </w:tc>
        <w:tc>
          <w:tcPr>
            <w:tcW w:w="620" w:type="dxa"/>
            <w:vAlign w:val="bottom"/>
            <w:tcBorders>
              <w:top w:val="single" w:sz="8" w:color="auto"/>
            </w:tcBorders>
          </w:tcPr>
          <w:p>
            <w:pPr>
              <w:jc w:val="right"/>
              <w:ind w:right="179"/>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(expenses), net: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Interest income and other income,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805</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3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706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713 % $</w:t>
            </w:r>
          </w:p>
        </w:tc>
        <w:tc>
          <w:tcPr>
            <w:tcW w:w="560" w:type="dxa"/>
            <w:vAlign w:val="bottom"/>
          </w:tcPr>
          <w:p>
            <w:pPr>
              <w:jc w:val="right"/>
              <w:spacing w:after="0"/>
              <w:rPr>
                <w:sz w:val="20"/>
                <w:szCs w:val="20"/>
                <w:color w:val="auto"/>
              </w:rPr>
            </w:pPr>
            <w:r>
              <w:rPr>
                <w:rFonts w:ascii="Arial" w:cs="Arial" w:eastAsia="Arial" w:hAnsi="Arial"/>
                <w:sz w:val="16"/>
                <w:szCs w:val="16"/>
                <w:color w:val="auto"/>
              </w:rPr>
              <w:t>1,384</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375</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  1,009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03"/>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(567 )</w:t>
            </w:r>
          </w:p>
        </w:tc>
        <w:tc>
          <w:tcPr>
            <w:tcW w:w="14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(431 )</w:t>
            </w:r>
          </w:p>
        </w:tc>
        <w:tc>
          <w:tcPr>
            <w:tcW w:w="2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(136 )</w:t>
            </w:r>
          </w:p>
        </w:tc>
        <w:tc>
          <w:tcPr>
            <w:tcW w:w="2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32 %</w:t>
            </w:r>
          </w:p>
        </w:tc>
        <w:tc>
          <w:tcPr>
            <w:tcW w:w="140" w:type="dxa"/>
            <w:vAlign w:val="bottom"/>
          </w:tcPr>
          <w:p>
            <w:pPr>
              <w:spacing w:after="0"/>
              <w:rPr>
                <w:sz w:val="17"/>
                <w:szCs w:val="17"/>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6"/>
                <w:szCs w:val="16"/>
                <w:color w:val="auto"/>
              </w:rPr>
              <w:t>(1,470 )</w:t>
            </w:r>
          </w:p>
        </w:tc>
        <w:tc>
          <w:tcPr>
            <w:tcW w:w="14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(1,284 )</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(186 )</w:t>
            </w:r>
          </w:p>
        </w:tc>
        <w:tc>
          <w:tcPr>
            <w:tcW w:w="24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other income (expenses),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(172 )%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jc w:val="right"/>
              <w:ind w:right="139"/>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76" w:lineRule="exact"/>
        <w:rPr>
          <w:sz w:val="20"/>
          <w:szCs w:val="20"/>
          <w:color w:val="auto"/>
        </w:rPr>
      </w:pPr>
    </w:p>
    <w:p>
      <w:pPr>
        <w:ind w:right="220" w:firstLine="569"/>
        <w:spacing w:after="0" w:line="261" w:lineRule="auto"/>
        <w:rPr>
          <w:sz w:val="20"/>
          <w:szCs w:val="20"/>
          <w:color w:val="auto"/>
        </w:rPr>
      </w:pPr>
      <w:r>
        <w:rPr>
          <w:rFonts w:ascii="Arial" w:cs="Arial" w:eastAsia="Arial" w:hAnsi="Arial"/>
          <w:sz w:val="18"/>
          <w:szCs w:val="18"/>
          <w:color w:val="auto"/>
        </w:rPr>
        <w:t>The increase in interest income and other income, net for the three and nine months ended September 30, 2022 as compared to the same periods in the prior year was driven by higher interest rates and higher average short-term investments balance in 2022.</w:t>
      </w:r>
    </w:p>
    <w:p>
      <w:pPr>
        <w:spacing w:after="0" w:line="76" w:lineRule="exact"/>
        <w:rPr>
          <w:sz w:val="20"/>
          <w:szCs w:val="20"/>
          <w:color w:val="auto"/>
        </w:rPr>
      </w:pPr>
    </w:p>
    <w:p>
      <w:pPr>
        <w:ind w:right="400" w:firstLine="569"/>
        <w:spacing w:after="0" w:line="261" w:lineRule="auto"/>
        <w:rPr>
          <w:sz w:val="20"/>
          <w:szCs w:val="20"/>
          <w:color w:val="auto"/>
        </w:rPr>
      </w:pPr>
      <w:r>
        <w:rPr>
          <w:rFonts w:ascii="Arial" w:cs="Arial" w:eastAsia="Arial" w:hAnsi="Arial"/>
          <w:sz w:val="18"/>
          <w:szCs w:val="18"/>
          <w:color w:val="auto"/>
        </w:rPr>
        <w:t>The increase in interest expense for the three and nine months ended September 30, 2022 were due to higher Prime Rate in 2022, which was the base interest rate used for the SVB Term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40" w:firstLine="569"/>
        <w:spacing w:after="0" w:line="324" w:lineRule="auto"/>
        <w:rPr>
          <w:sz w:val="20"/>
          <w:szCs w:val="20"/>
          <w:color w:val="auto"/>
        </w:rPr>
      </w:pPr>
      <w:r>
        <w:rPr>
          <w:rFonts w:ascii="Arial" w:cs="Arial" w:eastAsia="Arial" w:hAnsi="Arial"/>
          <w:sz w:val="16"/>
          <w:szCs w:val="16"/>
          <w:color w:val="auto"/>
        </w:rPr>
        <w:t>As of September 30, 2022, we had cash, cash equivalents and short-term investments of $227.5 million, which are available to fund future operations, and restricted cash of $33.3 million, for a total cash, cash equivalents, restricted cash and short-term investments balance of $260.8 million.</w:t>
      </w:r>
    </w:p>
    <w:p>
      <w:pPr>
        <w:spacing w:after="0" w:line="16" w:lineRule="exact"/>
        <w:rPr>
          <w:sz w:val="20"/>
          <w:szCs w:val="20"/>
          <w:color w:val="auto"/>
        </w:rPr>
      </w:pPr>
    </w:p>
    <w:p>
      <w:pPr>
        <w:ind w:right="180" w:firstLine="569"/>
        <w:spacing w:after="0" w:line="256"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financings, and proceeds from stock option exercises and employee stock purchases.</w:t>
      </w:r>
    </w:p>
    <w:p>
      <w:pPr>
        <w:spacing w:after="0" w:line="67" w:lineRule="exact"/>
        <w:rPr>
          <w:sz w:val="20"/>
          <w:szCs w:val="20"/>
          <w:color w:val="auto"/>
        </w:rPr>
      </w:pPr>
    </w:p>
    <w:p>
      <w:pPr>
        <w:ind w:right="200" w:firstLine="569"/>
        <w:spacing w:after="0" w:line="260" w:lineRule="auto"/>
        <w:rPr>
          <w:sz w:val="20"/>
          <w:szCs w:val="20"/>
          <w:color w:val="auto"/>
        </w:rPr>
      </w:pPr>
      <w:r>
        <w:rPr>
          <w:rFonts w:ascii="Arial" w:cs="Arial" w:eastAsia="Arial" w:hAnsi="Arial"/>
          <w:sz w:val="17"/>
          <w:szCs w:val="17"/>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and currently available from the recent debt financing described below under “Debt Obligations ‒ SLR Debt Financing”, will be sufficient to meet our anticipated needs for at least the next 12 months from the issuance date of this Quarterly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cash flows for each of the periods indicated (in thousands):</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7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16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39"/>
              <w:spacing w:after="0"/>
              <w:rPr>
                <w:sz w:val="20"/>
                <w:szCs w:val="20"/>
                <w:color w:val="auto"/>
              </w:rPr>
            </w:pPr>
            <w:r>
              <w:rPr>
                <w:rFonts w:ascii="Arial" w:cs="Arial" w:eastAsia="Arial" w:hAnsi="Arial"/>
                <w:sz w:val="16"/>
                <w:szCs w:val="16"/>
                <w:color w:val="auto"/>
                <w:w w:val="87"/>
              </w:rPr>
              <w:t>(111,222 )</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(97,588 )</w:t>
            </w:r>
          </w:p>
        </w:tc>
      </w:tr>
      <w:tr>
        <w:trPr>
          <w:trHeight w:val="203"/>
        </w:trPr>
        <w:tc>
          <w:tcPr>
            <w:tcW w:w="7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Investing activities</w:t>
            </w:r>
          </w:p>
        </w:tc>
        <w:tc>
          <w:tcPr>
            <w:tcW w:w="9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w w:val="99"/>
              </w:rPr>
              <w:t>(14,547 )</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(126,089 )</w:t>
            </w:r>
          </w:p>
        </w:tc>
      </w:tr>
      <w:tr>
        <w:trPr>
          <w:trHeight w:val="203"/>
        </w:trPr>
        <w:tc>
          <w:tcPr>
            <w:tcW w:w="716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7,298</w:t>
            </w:r>
          </w:p>
        </w:tc>
        <w:tc>
          <w:tcPr>
            <w:tcW w:w="4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159,213</w:t>
            </w:r>
          </w:p>
        </w:tc>
        <w:tc>
          <w:tcPr>
            <w:tcW w:w="120" w:type="dxa"/>
            <w:vAlign w:val="bottom"/>
          </w:tcPr>
          <w:p>
            <w:pPr>
              <w:spacing w:after="0"/>
              <w:rPr>
                <w:sz w:val="17"/>
                <w:szCs w:val="17"/>
                <w:color w:val="auto"/>
              </w:rPr>
            </w:pPr>
          </w:p>
        </w:tc>
      </w:tr>
      <w:tr>
        <w:trPr>
          <w:trHeight w:val="23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8"/>
              </w:rPr>
              <w:t>(118,471</w:t>
            </w:r>
          </w:p>
        </w:tc>
        <w:tc>
          <w:tcPr>
            <w:tcW w:w="48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(64,464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60" w:firstLine="569"/>
        <w:spacing w:after="0" w:line="260" w:lineRule="auto"/>
        <w:rPr>
          <w:sz w:val="20"/>
          <w:szCs w:val="20"/>
          <w:color w:val="auto"/>
        </w:rPr>
      </w:pPr>
      <w:r>
        <w:rPr>
          <w:rFonts w:ascii="Arial" w:cs="Arial" w:eastAsia="Arial" w:hAnsi="Arial"/>
          <w:sz w:val="17"/>
          <w:szCs w:val="17"/>
          <w:color w:val="auto"/>
        </w:rPr>
        <w:t>The net cash used in operating activities of $111.2 million for the nine months ended September 30, 2022 was due to a net loss of $121.5 million and a net cash outflow from the change in our operating assets and liabilities of $17.4 million, which were partially offset by adjustments for stock-based compensation expense of $19.9 million, depreciation and amortization of $3.9 million, provision for inventories of $1.6 million, accretion of discount on investments of $1.1 million, non-cash lease expense of $0.8 million, and non-cash interest expense of $0.4 million. The net cash outflow from operating assets and liabilities was primarily driven by an increase in inventories as a result of the timing of inventory purchases, a decrease in accrued payroll and related benefits, operating lease liabilities, accounts payable, and accrued warranty liability. The net cash outflow from operating assets and liabilities was partially offset by a decrease in accounts receivable resulting from the timing of collections, an increase in accrued expenses and other current liabilities due to timing of vendor payments, an increase in deferred revenue as a result of the growth of our business, and a decrease in prepaid expenses and other assets.</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40" w:firstLine="569"/>
        <w:spacing w:after="0" w:line="248" w:lineRule="auto"/>
        <w:rPr>
          <w:sz w:val="20"/>
          <w:szCs w:val="20"/>
          <w:color w:val="auto"/>
        </w:rPr>
      </w:pPr>
      <w:r>
        <w:rPr>
          <w:rFonts w:ascii="Arial" w:cs="Arial" w:eastAsia="Arial" w:hAnsi="Arial"/>
          <w:sz w:val="18"/>
          <w:szCs w:val="18"/>
          <w:color w:val="auto"/>
        </w:rPr>
        <w:t>The net cash used in investing activities of $14.5 million for the nine months ended September 30, 2022 was due to the purchases of short-term investment securities of $168.6 million and the purchases of property and equipment of $6.2 million, partially offset by the sales and maturities of short-term investment securities of $160.3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100" w:firstLine="569"/>
        <w:spacing w:after="0" w:line="261" w:lineRule="auto"/>
        <w:rPr>
          <w:sz w:val="20"/>
          <w:szCs w:val="20"/>
          <w:color w:val="auto"/>
        </w:rPr>
      </w:pPr>
      <w:r>
        <w:rPr>
          <w:rFonts w:ascii="Arial" w:cs="Arial" w:eastAsia="Arial" w:hAnsi="Arial"/>
          <w:sz w:val="18"/>
          <w:szCs w:val="18"/>
          <w:color w:val="auto"/>
        </w:rPr>
        <w:t>The net cash provided by financing activities of $7.3 million for the nine months ended September 30, 2022 was primarily due to proceeds of $7.4 million from employee exercises of stock options and ESPP 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SLR Debt Financing</w:t>
      </w:r>
    </w:p>
    <w:p>
      <w:pPr>
        <w:spacing w:after="0" w:line="306" w:lineRule="exact"/>
        <w:rPr>
          <w:sz w:val="20"/>
          <w:szCs w:val="20"/>
          <w:color w:val="auto"/>
        </w:rPr>
      </w:pPr>
    </w:p>
    <w:p>
      <w:pPr>
        <w:ind w:right="100" w:firstLine="569"/>
        <w:spacing w:after="0" w:line="246" w:lineRule="auto"/>
        <w:rPr>
          <w:sz w:val="20"/>
          <w:szCs w:val="20"/>
          <w:color w:val="auto"/>
        </w:rPr>
      </w:pPr>
      <w:r>
        <w:rPr>
          <w:rFonts w:ascii="Arial" w:cs="Arial" w:eastAsia="Arial" w:hAnsi="Arial"/>
          <w:sz w:val="18"/>
          <w:szCs w:val="18"/>
          <w:color w:val="auto"/>
        </w:rPr>
        <w:t>On November 3, 2022 (the Closing Date), we entered into two senior secured credit facilities, which collectively provide for borrowings of up to $300.0 million: (i) a term loan facility pursuant to a loan and security agreement (the SLR Loan Agreement) among SLR Investment Corp., as collateral agent (Agent), the lenders from time to time party thereto (the Term Loan Lenders) and us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us (the SLR Revolver, together with the SLR Term Loan Facility, the SLR Credit Facilities).</w:t>
      </w:r>
    </w:p>
    <w:p>
      <w:pPr>
        <w:spacing w:after="0" w:line="77" w:lineRule="exact"/>
        <w:rPr>
          <w:sz w:val="20"/>
          <w:szCs w:val="20"/>
          <w:color w:val="auto"/>
        </w:rPr>
      </w:pPr>
    </w:p>
    <w:p>
      <w:pPr>
        <w:ind w:right="60" w:firstLine="569"/>
        <w:spacing w:after="0" w:line="263" w:lineRule="auto"/>
        <w:rPr>
          <w:sz w:val="20"/>
          <w:szCs w:val="20"/>
          <w:color w:val="auto"/>
        </w:rPr>
      </w:pPr>
      <w:r>
        <w:rPr>
          <w:rFonts w:ascii="Arial" w:cs="Arial" w:eastAsia="Arial" w:hAnsi="Arial"/>
          <w:sz w:val="17"/>
          <w:szCs w:val="17"/>
          <w:color w:val="auto"/>
        </w:rPr>
        <w:t>The maximum amount we are permitted to borrow under the SLR Credit Facilities is subject to certain overall borrowing limitations. We are permitted to borrow up to $200.0 million under the SLR Credit Facilities on the Closing Date. If we achieve a certain net revenue milestone, calculated on a trailing six month basis (First Revenue Milestone), on or before June 30, 2024 and the Additional Tranche (as defined below) under the SLR Revolver has been approved, we will be permitted to borrow up to $250.0 million under the SLR Credit Facilities. If we achieve a subsequent additional net revenue milestone, calculated on a trailing six month basis (Second Revenue Milestone), on or before June 30, 2025 and obtain lenders' credit approval, we will be permitted to borrow up to $300.0 million under the SLR Credit Facilities.</w:t>
      </w:r>
    </w:p>
    <w:p>
      <w:pPr>
        <w:spacing w:after="0" w:line="65" w:lineRule="exact"/>
        <w:rPr>
          <w:sz w:val="20"/>
          <w:szCs w:val="20"/>
          <w:color w:val="auto"/>
        </w:rPr>
      </w:pPr>
    </w:p>
    <w:p>
      <w:pPr>
        <w:ind w:firstLine="569"/>
        <w:spacing w:after="0" w:line="261" w:lineRule="auto"/>
        <w:rPr>
          <w:sz w:val="20"/>
          <w:szCs w:val="20"/>
          <w:color w:val="auto"/>
        </w:rPr>
      </w:pPr>
      <w:r>
        <w:rPr>
          <w:rFonts w:ascii="Arial" w:cs="Arial" w:eastAsia="Arial" w:hAnsi="Arial"/>
          <w:sz w:val="17"/>
          <w:szCs w:val="17"/>
          <w:color w:val="auto"/>
        </w:rPr>
        <w:t>Pursuant to the terms and conditions of the SLR Loan Agreement, the Term Loan Lenders agreed to extend term loans to us in an aggregate principal amount of up to $250.0 million, comprised of (i) a term loan of $100.0 million (the Term A Loan), (ii) one or more term loans (in minimum increments of $20.0 million each) in the aggregate of up to $100.0 million (each, a Term B Loan) and (iii) one or more term loans in the aggregate of up to $50.0 million (each, a Term C Loan). Each Term A Loan, Term B Loan and Term C Loan is referred to single as a Term Loan and are referred to collectively as the Term Loans. The Term A Loan was funded on the Closing Date. The Term B Loan(s) are available for funding until August 22, 2024. The Term C Loan(s) are available subject to the lenders’ credit approval and the achievement of the Second Revenue Milestone on or before June 30, 2025. The Term C Loan will remain available for funding until one business day prior to November 1, 2027.</w:t>
      </w:r>
    </w:p>
    <w:p>
      <w:pPr>
        <w:spacing w:after="0" w:line="64" w:lineRule="exact"/>
        <w:rPr>
          <w:sz w:val="20"/>
          <w:szCs w:val="20"/>
          <w:color w:val="auto"/>
        </w:rPr>
      </w:pPr>
    </w:p>
    <w:p>
      <w:pPr>
        <w:ind w:right="20" w:firstLine="569"/>
        <w:spacing w:after="0" w:line="246" w:lineRule="auto"/>
        <w:rPr>
          <w:sz w:val="20"/>
          <w:szCs w:val="20"/>
          <w:color w:val="auto"/>
        </w:rPr>
      </w:pPr>
      <w:r>
        <w:rPr>
          <w:rFonts w:ascii="Arial" w:cs="Arial" w:eastAsia="Arial" w:hAnsi="Arial"/>
          <w:sz w:val="18"/>
          <w:szCs w:val="18"/>
          <w:color w:val="auto"/>
        </w:rPr>
        <w:t>The SLR Revolving Credit Agreement provides for an asset-based revolving credit facility with aggregate revolving commitments of $25.0 million (the Initial Revolver Commitment). We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 million), minus (c) customary reserves, minus (d) unposted cash.</w:t>
      </w:r>
    </w:p>
    <w:p>
      <w:pPr>
        <w:spacing w:after="0" w:line="77" w:lineRule="exact"/>
        <w:rPr>
          <w:sz w:val="20"/>
          <w:szCs w:val="20"/>
          <w:color w:val="auto"/>
        </w:rPr>
      </w:pPr>
    </w:p>
    <w:p>
      <w:pPr>
        <w:ind w:right="220" w:firstLine="569"/>
        <w:spacing w:after="0" w:line="277" w:lineRule="auto"/>
        <w:rPr>
          <w:sz w:val="20"/>
          <w:szCs w:val="20"/>
          <w:color w:val="auto"/>
        </w:rPr>
      </w:pPr>
      <w:r>
        <w:rPr>
          <w:rFonts w:ascii="Arial" w:cs="Arial" w:eastAsia="Arial" w:hAnsi="Arial"/>
          <w:sz w:val="18"/>
          <w:szCs w:val="18"/>
          <w:color w:val="auto"/>
        </w:rPr>
        <w:t>For additional information regarding the SLR Credit Facilities, see Note 11, Subsequent Events, to our unaudited condensed financial statements included elsewhere in this Quarterly Report.</w:t>
      </w:r>
    </w:p>
    <w:p>
      <w:pPr>
        <w:spacing w:after="0" w:line="49" w:lineRule="exact"/>
        <w:rPr>
          <w:sz w:val="20"/>
          <w:szCs w:val="20"/>
          <w:color w:val="auto"/>
        </w:rPr>
      </w:pPr>
    </w:p>
    <w:p>
      <w:pPr>
        <w:ind w:right="60" w:firstLine="569"/>
        <w:spacing w:after="0" w:line="261" w:lineRule="auto"/>
        <w:rPr>
          <w:sz w:val="20"/>
          <w:szCs w:val="20"/>
          <w:color w:val="auto"/>
        </w:rPr>
      </w:pPr>
      <w:r>
        <w:rPr>
          <w:rFonts w:ascii="Arial" w:cs="Arial" w:eastAsia="Arial" w:hAnsi="Arial"/>
          <w:sz w:val="18"/>
          <w:szCs w:val="18"/>
          <w:color w:val="auto"/>
        </w:rPr>
        <w:t>Copies of the SLR Credit Facility Agreements are attached hereto as Exhibits 10.1 and 10.2. The summary of the SLR Credit Facilities is qualified entirely by reference to the SLR Credit Facility Agreements filed as Exhibits 10.1 and 10.2.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SVB Term Loan</w:t>
      </w:r>
    </w:p>
    <w:p>
      <w:pPr>
        <w:spacing w:after="0" w:line="104" w:lineRule="exact"/>
        <w:rPr>
          <w:sz w:val="20"/>
          <w:szCs w:val="20"/>
          <w:color w:val="auto"/>
        </w:rPr>
      </w:pPr>
    </w:p>
    <w:p>
      <w:pPr>
        <w:ind w:right="360" w:firstLine="569"/>
        <w:spacing w:after="0" w:line="261" w:lineRule="auto"/>
        <w:rPr>
          <w:sz w:val="20"/>
          <w:szCs w:val="20"/>
          <w:color w:val="auto"/>
        </w:rPr>
      </w:pPr>
      <w:r>
        <w:rPr>
          <w:rFonts w:ascii="Arial" w:cs="Arial" w:eastAsia="Arial" w:hAnsi="Arial"/>
          <w:sz w:val="18"/>
          <w:szCs w:val="18"/>
          <w:color w:val="auto"/>
        </w:rPr>
        <w:t>We repaid in full all amounts due under the SVB Loan and Security Agreement, including the early repayment fee of $0.3 million and the final payment of $2.0 million, using a portion of the proceeds of the SLR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00" w:firstLine="569"/>
        <w:spacing w:after="0" w:line="248" w:lineRule="auto"/>
        <w:rPr>
          <w:sz w:val="20"/>
          <w:szCs w:val="20"/>
          <w:color w:val="auto"/>
        </w:rPr>
      </w:pPr>
      <w:r>
        <w:rPr>
          <w:rFonts w:ascii="Arial" w:cs="Arial" w:eastAsia="Arial" w:hAnsi="Arial"/>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4" w:name="page25"/>
    <w:bookmarkEnd w:id="24"/>
    <w:p>
      <w:pPr>
        <w:spacing w:after="0" w:line="249" w:lineRule="auto"/>
        <w:rPr>
          <w:sz w:val="20"/>
          <w:szCs w:val="20"/>
          <w:color w:val="auto"/>
        </w:rPr>
      </w:pPr>
      <w:r>
        <w:rPr>
          <w:rFonts w:ascii="Arial" w:cs="Arial" w:eastAsia="Arial" w:hAnsi="Arial"/>
          <w:sz w:val="18"/>
          <w:szCs w:val="18"/>
          <w:color w:val="auto"/>
        </w:rPr>
        <w:t>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6" w:lineRule="exact"/>
        <w:rPr>
          <w:sz w:val="20"/>
          <w:szCs w:val="20"/>
          <w:color w:val="auto"/>
        </w:rPr>
      </w:pPr>
    </w:p>
    <w:p>
      <w:pPr>
        <w:ind w:right="60" w:firstLine="569"/>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2021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80" w:firstLine="569"/>
        <w:spacing w:after="0" w:line="261" w:lineRule="auto"/>
        <w:rPr>
          <w:sz w:val="20"/>
          <w:szCs w:val="20"/>
          <w:color w:val="auto"/>
        </w:rPr>
      </w:pPr>
      <w:r>
        <w:rPr>
          <w:rFonts w:ascii="Arial" w:cs="Arial" w:eastAsia="Arial" w:hAnsi="Arial"/>
          <w:sz w:val="18"/>
          <w:szCs w:val="18"/>
          <w:color w:val="auto"/>
        </w:rPr>
        <w:t>See Note 2, Summary of Significant Accounting Policies, to our unaudited condensed financial statements included elsewhere in this Quarterly Report for more information.</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69"/>
        <w:spacing w:after="0" w:line="261" w:lineRule="auto"/>
        <w:rPr>
          <w:sz w:val="20"/>
          <w:szCs w:val="20"/>
          <w:color w:val="auto"/>
        </w:rPr>
      </w:pPr>
      <w:r>
        <w:rPr>
          <w:rFonts w:ascii="Arial" w:cs="Arial" w:eastAsia="Arial" w:hAnsi="Arial"/>
          <w:sz w:val="18"/>
          <w:szCs w:val="18"/>
          <w:color w:val="auto"/>
        </w:rPr>
        <w:t>There has been no material change in the nature of the Company’s foreign currency exchange risks from those described in Part II Item 7A of our 2021 Annual Report.</w:t>
      </w:r>
    </w:p>
    <w:p>
      <w:pPr>
        <w:spacing w:after="0" w:line="63" w:lineRule="exact"/>
        <w:rPr>
          <w:sz w:val="20"/>
          <w:szCs w:val="20"/>
          <w:color w:val="auto"/>
        </w:rPr>
      </w:pPr>
    </w:p>
    <w:p>
      <w:pPr>
        <w:ind w:right="600" w:firstLine="569"/>
        <w:spacing w:after="0" w:line="277" w:lineRule="auto"/>
        <w:rPr>
          <w:sz w:val="20"/>
          <w:szCs w:val="20"/>
          <w:color w:val="auto"/>
        </w:rPr>
      </w:pPr>
      <w:r>
        <w:rPr>
          <w:rFonts w:ascii="Arial" w:cs="Arial" w:eastAsia="Arial" w:hAnsi="Arial"/>
          <w:sz w:val="18"/>
          <w:szCs w:val="18"/>
          <w:color w:val="auto"/>
        </w:rPr>
        <w:t>We are exposed to interest rate risk through our borrowing activities. As of September 30, 2022, we had total debt under the SVB Loan and Security Agreement of $29.8 million, which was subsequently repaid in November 2022.</w:t>
      </w:r>
    </w:p>
    <w:p>
      <w:pPr>
        <w:spacing w:after="0" w:line="49" w:lineRule="exact"/>
        <w:rPr>
          <w:sz w:val="20"/>
          <w:szCs w:val="20"/>
          <w:color w:val="auto"/>
        </w:rPr>
      </w:pPr>
    </w:p>
    <w:p>
      <w:pPr>
        <w:ind w:right="220" w:firstLine="569"/>
        <w:spacing w:after="0" w:line="249" w:lineRule="auto"/>
        <w:rPr>
          <w:sz w:val="20"/>
          <w:szCs w:val="20"/>
          <w:color w:val="auto"/>
        </w:rPr>
      </w:pPr>
      <w:r>
        <w:rPr>
          <w:rFonts w:ascii="Arial" w:cs="Arial" w:eastAsia="Arial" w:hAnsi="Arial"/>
          <w:sz w:val="18"/>
          <w:szCs w:val="18"/>
          <w:color w:val="auto"/>
        </w:rPr>
        <w:t>Upon the closing of the SLR Credit Facilities in November 2022, we have $100.0 million in variable rate debt outstanding under the SLR Term Loan Facility. The SLR Term Loan Facility bears interest at a rate per annum equal to one-month term SOFR (subject to a 2.75% floor), plus 5.15%. For additional information regarding the SLR Credit Facilities, see Note 11, Subsequent Events, to our unaudited condensed financial statements included elsewhere in this Quarterly Report.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firstLine="569"/>
        <w:spacing w:after="0" w:line="276"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569"/>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0" w:firstLine="569"/>
        <w:spacing w:after="0" w:line="259" w:lineRule="auto"/>
        <w:rPr>
          <w:sz w:val="20"/>
          <w:szCs w:val="20"/>
          <w:color w:val="auto"/>
        </w:rPr>
      </w:pPr>
      <w:r>
        <w:rPr>
          <w:rFonts w:ascii="Arial" w:cs="Arial" w:eastAsia="Arial" w:hAnsi="Arial"/>
          <w:sz w:val="17"/>
          <w:szCs w:val="17"/>
          <w:color w:val="auto"/>
        </w:rPr>
        <w:t>You should carefully consider the risk factors discussed in Part I, “Item 1A. Risk Factors” in our 2021 Annual Report, as updated by the risk factors discussed in Part II, “Item 1A. Risk Factors” in our Quarterly Reports on Form 10-Q for the fiscal quarters ended Mach 31, 2022 (Q1 2022 Quarterly Report) and June 30, 2022 (Q2 2022 Quarterly Report), which could materially affect our business, financial position, or future results of operations. There have been no material changes to the risk factors described in our 2021 Annual Report, as updated by our Q1 2022 Quarterly Report and Q2 2022 Quarterly Report, except as set forth below. The risks described in our 2021 Annual Report, Q1 2022 Quarterly Report and Q2 2022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terms of our credit agreement require us to meet certain operating and financial covenants, place restrictions on our operating and financial flexibility and subject us to interest rate risk.</w:t>
      </w:r>
    </w:p>
    <w:p>
      <w:pPr>
        <w:spacing w:after="0" w:line="49" w:lineRule="exact"/>
        <w:rPr>
          <w:sz w:val="20"/>
          <w:szCs w:val="20"/>
          <w:color w:val="auto"/>
        </w:rPr>
      </w:pPr>
    </w:p>
    <w:p>
      <w:pPr>
        <w:ind w:firstLine="569"/>
        <w:spacing w:after="0" w:line="257" w:lineRule="auto"/>
        <w:rPr>
          <w:sz w:val="20"/>
          <w:szCs w:val="20"/>
          <w:color w:val="auto"/>
        </w:rPr>
      </w:pPr>
      <w:r>
        <w:rPr>
          <w:rFonts w:ascii="Arial" w:cs="Arial" w:eastAsia="Arial" w:hAnsi="Arial"/>
          <w:sz w:val="17"/>
          <w:szCs w:val="17"/>
          <w:color w:val="auto"/>
        </w:rPr>
        <w:t>We entered into two senior secured credit facilities (the SLR Credit Facilities) on November 3, 2022 (the Closing Date) which provide for up to a $250.0 million term loan (the SLR Term Loan Facility) pursuant to a loan and security agreement with certain lenders and SLR Investment Corp., as agent (the SLR Loan Agreement) and up to a $50.0 million asset-based revolving credit facility (the SLR Revolver, together with the SLR Term Loan Facility, the SLR Credit Facilities) pursuant to a credit agreement with Gemino Healthcare Finance, LLC d/b/a SLR Healthcare ABL, as lender (the SLR Revolving Credit Agreement, together with the SLR Loan Agreement, the SLR Credit Facility Agreements). While the SLR Credit Facilities provide for borrowings of up to $300.0 million, we only have access to $200.0 million of such borrowings as of the Closing Date and the additional $100.0 million of such borrowings is subject to us achieving certain net revenue milestones and obtaining lenders’ credit approval. If we achieve a certain net revenue milestone, calculated on a trailing six month basis (First Revenue Milestone), on or before June 30, 2024 and the additional tranche under the SLR Revolver has been approved, we will be permitted to borrow up to $250.0 million under the SLR Credit Facilities. If we achieve a subsequent additional net revenue milestone, calculated on a trailing six month basis (Second Revenue Milestone, and together with First Revenue Milestone, the Revenue Milestones), on or before June 30, 2025 and obtain lenders’ credit approval, we will be permitted to borrow up to $300.0 million under the SLR Credit Facilities. If we fail to achieve either or both of these Revenue Milestones or obtain lenders’ credit approval, we will not be able to access the full $300.0 million borrowing amounts under the SLR Credit Facilities. The SLR Credit Facilities are secured by substantially all of our assets, including all of the capital stock held by us, if any, (subject to a 65% limitation on pledges of voting capital stock of foreign subsidiaries), and all of our intellectual property, subject to certain exceptions. The SLR Credit Facility Agreements contain a number of restrictive covenants, and the terms may restrict our current and future operations, particularly our ability to respond to certain changes in our business or industry or take future actions. In addition, as principal amounts outstanding under each of the SLR Term Loan Facility and the SLR Revolver accrue interest at variable interest rates tied to SOFR, any borrowings under the facilities will be subject to interest rate risk. An adverse change in interest rates for our borrowings could adversely affect our financial condition and results of operations. See the section titled “Management’s Discussion and Analysis of Financial Condition and Results of Operations ‒ Liquidity and Capital Resources ‒ Debt Obligations ‒ SLR Debt Financing.”</w:t>
      </w:r>
    </w:p>
    <w:p>
      <w:pPr>
        <w:spacing w:after="0" w:line="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SLR Credit Facility Agreements contain customary representations and warranties and affirmative covenants and also contain certain</w:t>
      </w:r>
    </w:p>
    <w:p>
      <w:pPr>
        <w:spacing w:after="0" w:line="2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SLR Credit Facility Agreements also include a financial covenant that, beginning with the fiscal quarter ending December 31, 2023, requires us to either (i) maintain certain levels of cash and cash equivalents in accounts subject to control agreements in favor of Agent and ABL Lender of at least 50% of the sum of (a) the outstanding obligations under the SLR Term Loan Facility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 The SLR Credit Facility Agreements also contain customary events of default. If we fail to comply with such covenants, payments or other terms of either SLR Credit Facility Agreement, our agent or lender, as applicable, could declare an event of default, which would give it the right to declare all borrowings outstanding, together with accrued and unpaid interest and fees, to be immediately due and payable. In addition, our agent or lender, as applicable, would have the right to proceed against the assets we provided as collateral pursuant to the SLR Loan Agreement or SLR Revolving Credit Agreement, as applicable. If the debt under either SLR Credit Facility Agreement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accelerated, we may not have sufficient cash or be able to sell sufficient assets to repay this debt, which would harm our business and financial condition.</w:t>
      </w:r>
    </w:p>
    <w:p>
      <w:pPr>
        <w:spacing w:after="0" w:line="14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customers are facing staffing shortages, increased costs and other financial pressures that have had, and may continue to have, a negative impact on our revenue.</w:t>
      </w:r>
    </w:p>
    <w:p>
      <w:pPr>
        <w:spacing w:after="0" w:line="63" w:lineRule="exact"/>
        <w:rPr>
          <w:sz w:val="20"/>
          <w:szCs w:val="20"/>
          <w:color w:val="auto"/>
        </w:rPr>
      </w:pPr>
    </w:p>
    <w:p>
      <w:pPr>
        <w:ind w:firstLine="569"/>
        <w:spacing w:after="0" w:line="274" w:lineRule="auto"/>
        <w:rPr>
          <w:sz w:val="20"/>
          <w:szCs w:val="20"/>
          <w:color w:val="auto"/>
        </w:rPr>
      </w:pPr>
      <w:r>
        <w:rPr>
          <w:rFonts w:ascii="Arial" w:cs="Arial" w:eastAsia="Arial" w:hAnsi="Arial"/>
          <w:sz w:val="16"/>
          <w:szCs w:val="16"/>
          <w:color w:val="auto"/>
        </w:rPr>
        <w:t>Healthcare providers (including our existing and prospective customers) are facing a nationwide shortage of qualified nurses and other clinical personnel due to long-term trends that have been exacerbated by the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pandemic. There is a risk that the increased costs and other disruptions caused by the shortage of dialysis nurses, technicians and other staff could cause existing or prospective customers to delay continued investment in or adoption of new technologies and postpone purchasing decisions. For example, during the second quarter of 2022, our existing and potential customers began to face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Toward the end of the quarter, we began to see early indications of the impact these factors had across our customer base on pipeline development and installation schedules, which, in turn, negatively impacted our bookings, delayed our shipments and adversely impacted our revenues for the second quarter of 2022. If our customers continue to face prolonged volatility, uncertainty, staffing shortages, rising costs and financial pressures, whether due to the pandemic,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62" w:lineRule="exact"/>
        <w:rPr>
          <w:sz w:val="20"/>
          <w:szCs w:val="20"/>
          <w:color w:val="auto"/>
        </w:rPr>
      </w:pPr>
    </w:p>
    <w:p>
      <w:pPr>
        <w:ind w:firstLine="569"/>
        <w:spacing w:after="0" w:line="280" w:lineRule="auto"/>
        <w:rPr>
          <w:sz w:val="20"/>
          <w:szCs w:val="20"/>
          <w:color w:val="auto"/>
        </w:rPr>
      </w:pPr>
      <w:r>
        <w:rPr>
          <w:rFonts w:ascii="Arial" w:cs="Arial" w:eastAsia="Arial" w:hAnsi="Arial"/>
          <w:sz w:val="16"/>
          <w:szCs w:val="16"/>
          <w:color w:val="auto"/>
        </w:rPr>
        <w:t>We recently launched a new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 dialysis program using Tablo and, as full-time staff is hired, to help train and onboard those nurses. This pilot program is in its very early stages and may not be successful in achieving the objectives we intend and anticipate and ultimately, it may fail to meet our customers’ expectations, all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580" w:right="8540" w:hanging="572"/>
        <w:spacing w:after="0" w:line="407" w:lineRule="auto"/>
        <w:tabs>
          <w:tab w:leader="none" w:pos="26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None.</w:t>
      </w:r>
    </w:p>
    <w:p>
      <w:pPr>
        <w:spacing w:after="0" w:line="40" w:lineRule="exact"/>
        <w:rPr>
          <w:rFonts w:ascii="Arial" w:cs="Arial" w:eastAsia="Arial" w:hAnsi="Arial"/>
          <w:sz w:val="18"/>
          <w:szCs w:val="18"/>
          <w:b w:val="1"/>
          <w:bCs w:val="1"/>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offer and sale of shares in our IPO was registered under the Securities Act pursuant to a registration statement on Form S-1 (File No.333-</w:t>
      </w:r>
    </w:p>
    <w:p>
      <w:pPr>
        <w:spacing w:after="0" w:line="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248225), which was declared effective by the SEC on September 17, 2020. The remainder of the information required by this item regarding the use of our IPO proceeds has been omitted pursuant to SEC rules because such information has not changed since our last periodic report was filed.</w:t>
      </w:r>
    </w:p>
    <w:p>
      <w:pPr>
        <w:spacing w:after="0" w:line="50" w:lineRule="exact"/>
        <w:rPr>
          <w:sz w:val="20"/>
          <w:szCs w:val="20"/>
          <w:color w:val="auto"/>
        </w:rPr>
      </w:pPr>
    </w:p>
    <w:p>
      <w:pPr>
        <w:ind w:left="580" w:right="10000" w:hanging="572"/>
        <w:spacing w:after="0" w:line="516" w:lineRule="auto"/>
        <w:tabs>
          <w:tab w:leader="none" w:pos="255"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Repurchases </w:t>
      </w:r>
      <w:r>
        <w:rPr>
          <w:rFonts w:ascii="Arial" w:cs="Arial" w:eastAsia="Arial" w:hAnsi="Arial"/>
          <w:sz w:val="15"/>
          <w:szCs w:val="15"/>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518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518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5180" w:type="dxa"/>
            <w:vAlign w:val="bottom"/>
            <w:gridSpan w:val="21"/>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Form of Amended and Restated Certificate of Incorporation of Outset</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0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84">
              <w:r>
                <w:rPr>
                  <w:rFonts w:ascii="Arial" w:cs="Arial" w:eastAsia="Arial" w:hAnsi="Arial"/>
                  <w:sz w:val="18"/>
                  <w:szCs w:val="18"/>
                  <w:color w:val="0000FF"/>
                </w:rPr>
                <w:t>Medical, Inc.</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5180" w:type="dxa"/>
            <w:vAlign w:val="bottom"/>
            <w:gridSpan w:val="21"/>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Amended and Restated Bylaws of Outset 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5180" w:type="dxa"/>
            <w:vAlign w:val="bottom"/>
            <w:gridSpan w:val="21"/>
          </w:tcPr>
          <w:p>
            <w:pPr>
              <w:spacing w:after="0"/>
              <w:rPr>
                <w:rFonts w:ascii="Arial" w:cs="Arial" w:eastAsia="Arial" w:hAnsi="Arial"/>
                <w:sz w:val="18"/>
                <w:szCs w:val="18"/>
                <w:color w:val="0000FF"/>
              </w:rPr>
            </w:pPr>
            <w:hyperlink r:id="rId186">
              <w:r>
                <w:rPr>
                  <w:rFonts w:ascii="Arial" w:cs="Arial" w:eastAsia="Arial" w:hAnsi="Arial"/>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5180" w:type="dxa"/>
            <w:vAlign w:val="bottom"/>
            <w:gridSpan w:val="21"/>
          </w:tcPr>
          <w:p>
            <w:pPr>
              <w:spacing w:after="0"/>
              <w:rPr>
                <w:rFonts w:ascii="Arial" w:cs="Arial" w:eastAsia="Arial" w:hAnsi="Arial"/>
                <w:sz w:val="18"/>
                <w:szCs w:val="18"/>
                <w:color w:val="0000FF"/>
              </w:rPr>
            </w:pPr>
            <w:hyperlink r:id="rId187">
              <w:r>
                <w:rPr>
                  <w:rFonts w:ascii="Arial" w:cs="Arial" w:eastAsia="Arial" w:hAnsi="Arial"/>
                  <w:sz w:val="18"/>
                  <w:szCs w:val="18"/>
                  <w:color w:val="0000FF"/>
                </w:rPr>
                <w:t>Amended and Restated Registration Rights Agreement</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5180" w:type="dxa"/>
            <w:vAlign w:val="bottom"/>
            <w:gridSpan w:val="21"/>
          </w:tcPr>
          <w:p>
            <w:pPr>
              <w:spacing w:after="0"/>
              <w:rPr>
                <w:rFonts w:ascii="Arial" w:cs="Arial" w:eastAsia="Arial" w:hAnsi="Arial"/>
                <w:sz w:val="18"/>
                <w:szCs w:val="18"/>
                <w:color w:val="0000FF"/>
              </w:rPr>
            </w:pPr>
            <w:hyperlink r:id="rId188">
              <w:r>
                <w:rPr>
                  <w:rFonts w:ascii="Arial" w:cs="Arial" w:eastAsia="Arial" w:hAnsi="Arial"/>
                  <w:sz w:val="18"/>
                  <w:szCs w:val="18"/>
                  <w:color w:val="0000FF"/>
                </w:rPr>
                <w:t>Form of Series A Warrant Agreement #1</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5180" w:type="dxa"/>
            <w:vAlign w:val="bottom"/>
            <w:gridSpan w:val="21"/>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 of Series A Warrant Agreement #2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5180" w:type="dxa"/>
            <w:vAlign w:val="bottom"/>
            <w:gridSpan w:val="21"/>
          </w:tcPr>
          <w:p>
            <w:pPr>
              <w:spacing w:after="0"/>
              <w:rPr>
                <w:sz w:val="20"/>
                <w:szCs w:val="20"/>
                <w:color w:val="auto"/>
              </w:rPr>
            </w:pPr>
            <w:r>
              <w:rPr>
                <w:rFonts w:ascii="Arial" w:cs="Arial" w:eastAsia="Arial" w:hAnsi="Arial"/>
                <w:sz w:val="18"/>
                <w:szCs w:val="18"/>
                <w:color w:val="0000FF"/>
                <w:w w:val="92"/>
              </w:rPr>
              <w:t>Loan and Security Agreement by and between SLR Investment Corp.,</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08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94"/>
              </w:rPr>
              <w:t>the lenders from time to time party thereto and Outset Medical, Inc.</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9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dated as of November 3, 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5180" w:type="dxa"/>
            <w:vAlign w:val="bottom"/>
            <w:gridSpan w:val="21"/>
          </w:tcPr>
          <w:p>
            <w:pPr>
              <w:spacing w:after="0"/>
              <w:rPr>
                <w:sz w:val="20"/>
                <w:szCs w:val="20"/>
                <w:color w:val="auto"/>
              </w:rPr>
            </w:pPr>
            <w:r>
              <w:rPr>
                <w:rFonts w:ascii="Arial" w:cs="Arial" w:eastAsia="Arial" w:hAnsi="Arial"/>
                <w:sz w:val="18"/>
                <w:szCs w:val="18"/>
                <w:color w:val="0000FF"/>
                <w:w w:val="94"/>
              </w:rPr>
              <w:t>Credit Agreement by and between Gemino Healthcare Finance, LLC</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98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w w:val="98"/>
              </w:rPr>
              <w:t>d/b/a SLR Healthcare ABL and Outset Medical, Inc. dated as of</w:t>
            </w: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87"/>
              </w:rPr>
              <w:t>November 3, 2022</w:t>
            </w:r>
          </w:p>
        </w:tc>
        <w:tc>
          <w:tcPr>
            <w:tcW w:w="20" w:type="dxa"/>
            <w:vAlign w:val="bottom"/>
            <w:tcBorders>
              <w:top w:val="single" w:sz="8" w:color="0000FF"/>
              <w:bottom w:val="single" w:sz="8" w:color="0000EE"/>
            </w:tcBorders>
          </w:tcPr>
          <w:p>
            <w:pPr>
              <w:spacing w:after="0"/>
              <w:rPr>
                <w:sz w:val="14"/>
                <w:szCs w:val="14"/>
                <w:color w:val="auto"/>
              </w:rPr>
            </w:pPr>
          </w:p>
        </w:tc>
        <w:tc>
          <w:tcPr>
            <w:tcW w:w="3280" w:type="dxa"/>
            <w:vAlign w:val="bottom"/>
            <w:tcBorders>
              <w:top w:val="single" w:sz="8" w:color="0000FF"/>
            </w:tcBorders>
            <w:gridSpan w:val="7"/>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5180" w:type="dxa"/>
            <w:vAlign w:val="bottom"/>
            <w:gridSpan w:val="21"/>
          </w:tcPr>
          <w:p>
            <w:pPr>
              <w:spacing w:after="0"/>
              <w:rPr>
                <w:sz w:val="20"/>
                <w:szCs w:val="20"/>
                <w:color w:val="auto"/>
              </w:rPr>
            </w:pPr>
            <w:r>
              <w:rPr>
                <w:rFonts w:ascii="Arial" w:cs="Arial" w:eastAsia="Arial" w:hAnsi="Arial"/>
                <w:sz w:val="18"/>
                <w:szCs w:val="18"/>
                <w:color w:val="0000FF"/>
                <w:w w:val="90"/>
              </w:rPr>
              <w:t>Outset Medical, Inc. 2020 Employee Stock Purchase Plan, as amended</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1"/>
              </w:rPr>
              <w:t>and restated</w:t>
            </w:r>
          </w:p>
        </w:tc>
        <w:tc>
          <w:tcPr>
            <w:tcW w:w="100" w:type="dxa"/>
            <w:vAlign w:val="bottom"/>
            <w:tcBorders>
              <w:top w:val="single" w:sz="8" w:color="0000FF"/>
              <w:bottom w:val="single" w:sz="8" w:color="0000EE"/>
            </w:tcBorders>
          </w:tcPr>
          <w:p>
            <w:pPr>
              <w:spacing w:after="0"/>
              <w:rPr>
                <w:sz w:val="14"/>
                <w:szCs w:val="14"/>
                <w:color w:val="auto"/>
              </w:rPr>
            </w:pPr>
          </w:p>
        </w:tc>
        <w:tc>
          <w:tcPr>
            <w:tcW w:w="418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180" w:type="dxa"/>
            <w:vAlign w:val="bottom"/>
            <w:gridSpan w:val="21"/>
          </w:tcPr>
          <w:p>
            <w:pPr>
              <w:spacing w:after="0"/>
              <w:rPr>
                <w:sz w:val="20"/>
                <w:szCs w:val="20"/>
                <w:color w:val="auto"/>
              </w:rPr>
            </w:pPr>
            <w:r>
              <w:rPr>
                <w:rFonts w:ascii="Arial" w:cs="Arial" w:eastAsia="Arial" w:hAnsi="Arial"/>
                <w:sz w:val="18"/>
                <w:szCs w:val="18"/>
                <w:color w:val="0000FF"/>
                <w:w w:val="91"/>
              </w:rPr>
              <w:t>Certification of Principal Executive Officer Pursuant to Rules 13a-14(a)</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18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8"/>
                <w:szCs w:val="18"/>
                <w:color w:val="0000FF"/>
                <w:w w:val="95"/>
              </w:rPr>
              <w:t>and 15d-14(a) of the Exchange Act of 1934, as adopted pursuant to</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8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8"/>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180" w:type="dxa"/>
            <w:vAlign w:val="bottom"/>
            <w:gridSpan w:val="21"/>
          </w:tcPr>
          <w:p>
            <w:pPr>
              <w:spacing w:after="0"/>
              <w:rPr>
                <w:sz w:val="20"/>
                <w:szCs w:val="20"/>
                <w:color w:val="auto"/>
              </w:rPr>
            </w:pPr>
            <w:r>
              <w:rPr>
                <w:rFonts w:ascii="Arial" w:cs="Arial" w:eastAsia="Arial" w:hAnsi="Arial"/>
                <w:sz w:val="18"/>
                <w:szCs w:val="18"/>
                <w:color w:val="0000FF"/>
                <w:w w:val="92"/>
              </w:rPr>
              <w:t>Certification of Principal Financial Officer Pursuant to Rules 13a-14(a)</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16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8"/>
                <w:szCs w:val="18"/>
                <w:color w:val="0000FF"/>
                <w:w w:val="95"/>
              </w:rPr>
              <w:t>and 15d-14(a) of the Exchange Act of 1934, as adopted pursuant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8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8"/>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5180" w:type="dxa"/>
            <w:vAlign w:val="bottom"/>
            <w:gridSpan w:val="21"/>
          </w:tcPr>
          <w:p>
            <w:pPr>
              <w:spacing w:after="0"/>
              <w:rPr>
                <w:sz w:val="20"/>
                <w:szCs w:val="20"/>
                <w:color w:val="auto"/>
              </w:rPr>
            </w:pPr>
            <w:r>
              <w:rPr>
                <w:rFonts w:ascii="Arial" w:cs="Arial" w:eastAsia="Arial" w:hAnsi="Arial"/>
                <w:sz w:val="18"/>
                <w:szCs w:val="18"/>
                <w:color w:val="0000FF"/>
                <w:w w:val="99"/>
              </w:rPr>
              <w:t>Certification of Principal Executive Officer and Principal Financial</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89"/>
              </w:rPr>
              <w:t>Officer Pursuant to 18 U.S.C. Section 1350, as Adopted Pursuant to</w:t>
            </w:r>
          </w:p>
        </w:tc>
        <w:tc>
          <w:tcPr>
            <w:tcW w:w="40" w:type="dxa"/>
            <w:vAlign w:val="bottom"/>
            <w:tcBorders>
              <w:bottom w:val="single" w:sz="8" w:color="0000FF"/>
            </w:tcBorders>
            <w:gridSpan w:val="2"/>
          </w:tcPr>
          <w:p>
            <w:pPr>
              <w:spacing w:after="0"/>
              <w:rPr>
                <w:sz w:val="14"/>
                <w:szCs w:val="14"/>
                <w:color w:val="auto"/>
              </w:rPr>
            </w:pP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gridSpan w:val="15"/>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8"/>
            <w:shd w:val="clear" w:color="auto" w:fill="0000FF"/>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180" w:type="dxa"/>
            <w:vAlign w:val="bottom"/>
            <w:gridSpan w:val="21"/>
          </w:tcPr>
          <w:p>
            <w:pPr>
              <w:spacing w:after="0"/>
              <w:rPr>
                <w:sz w:val="20"/>
                <w:szCs w:val="20"/>
                <w:color w:val="auto"/>
              </w:rPr>
            </w:pPr>
            <w:r>
              <w:rPr>
                <w:rFonts w:ascii="Arial" w:cs="Arial" w:eastAsia="Arial" w:hAnsi="Arial"/>
                <w:sz w:val="18"/>
                <w:szCs w:val="18"/>
                <w:color w:val="auto"/>
                <w:w w:val="97"/>
              </w:rPr>
              <w:t>Inline XBRL Instance Document – the instance document does not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5180" w:type="dxa"/>
            <w:vAlign w:val="bottom"/>
            <w:gridSpan w:val="21"/>
          </w:tcPr>
          <w:p>
            <w:pPr>
              <w:spacing w:after="0" w:line="189" w:lineRule="exact"/>
              <w:rPr>
                <w:sz w:val="20"/>
                <w:szCs w:val="20"/>
                <w:color w:val="auto"/>
              </w:rPr>
            </w:pPr>
            <w:r>
              <w:rPr>
                <w:rFonts w:ascii="Arial" w:cs="Arial" w:eastAsia="Arial" w:hAnsi="Arial"/>
                <w:sz w:val="18"/>
                <w:szCs w:val="18"/>
                <w:color w:val="auto"/>
                <w:w w:val="89"/>
              </w:rPr>
              <w:t>appear in the Interactive Data File because its XBRL tags are embedded</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180" w:type="dxa"/>
            <w:vAlign w:val="bottom"/>
            <w:gridSpan w:val="21"/>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18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180" w:type="dxa"/>
            <w:vAlign w:val="bottom"/>
            <w:gridSpan w:val="21"/>
          </w:tcPr>
          <w:p>
            <w:pPr>
              <w:spacing w:after="0"/>
              <w:rPr>
                <w:sz w:val="20"/>
                <w:szCs w:val="20"/>
                <w:color w:val="auto"/>
              </w:rPr>
            </w:pPr>
            <w:r>
              <w:rPr>
                <w:rFonts w:ascii="Arial" w:cs="Arial" w:eastAsia="Arial" w:hAnsi="Arial"/>
                <w:sz w:val="18"/>
                <w:szCs w:val="18"/>
                <w:color w:val="auto"/>
                <w:w w:val="98"/>
              </w:rPr>
              <w:t>Inline XBRL Taxonomy Extension Calculation Linkbase Document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18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18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180" w:type="dxa"/>
            <w:vAlign w:val="bottom"/>
            <w:gridSpan w:val="21"/>
          </w:tcPr>
          <w:p>
            <w:pPr>
              <w:spacing w:after="0"/>
              <w:rPr>
                <w:sz w:val="20"/>
                <w:szCs w:val="20"/>
                <w:color w:val="auto"/>
              </w:rPr>
            </w:pPr>
            <w:r>
              <w:rPr>
                <w:rFonts w:ascii="Arial" w:cs="Arial" w:eastAsia="Arial" w:hAnsi="Arial"/>
                <w:sz w:val="18"/>
                <w:szCs w:val="18"/>
                <w:color w:val="auto"/>
                <w:w w:val="95"/>
              </w:rPr>
              <w:t>Inline XBRL Taxonomy Extension Presentation Linkbase Document</w:t>
            </w:r>
          </w:p>
        </w:tc>
        <w:tc>
          <w:tcPr>
            <w:tcW w:w="0" w:type="dxa"/>
            <w:vAlign w:val="bottom"/>
          </w:tcPr>
          <w:p>
            <w:pPr>
              <w:spacing w:after="0"/>
              <w:rPr>
                <w:sz w:val="1"/>
                <w:szCs w:val="1"/>
                <w:color w:val="auto"/>
              </w:rPr>
            </w:pPr>
          </w:p>
        </w:tc>
      </w:tr>
    </w:tbl>
    <w:p>
      <w:pPr>
        <w:ind w:left="1080" w:right="120" w:hanging="1059"/>
        <w:spacing w:after="0" w:line="288"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5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10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15240</wp:posOffset>
            </wp:positionV>
            <wp:extent cx="30689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jc w:val="center"/>
              <w:ind w:right="153"/>
              <w:spacing w:after="0"/>
              <w:rPr>
                <w:sz w:val="20"/>
                <w:szCs w:val="20"/>
                <w:color w:val="auto"/>
              </w:rPr>
            </w:pPr>
            <w:r>
              <w:rPr>
                <w:rFonts w:ascii="Arial" w:cs="Arial" w:eastAsia="Arial" w:hAnsi="Arial"/>
                <w:sz w:val="14"/>
                <w:szCs w:val="14"/>
                <w:b w:val="1"/>
                <w:bCs w:val="1"/>
                <w:color w:val="auto"/>
              </w:rPr>
              <w:t>Form</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jc w:val="center"/>
              <w:ind w:left="113"/>
              <w:spacing w:after="0"/>
              <w:rPr>
                <w:sz w:val="20"/>
                <w:szCs w:val="20"/>
                <w:color w:val="auto"/>
              </w:rPr>
            </w:pPr>
            <w:r>
              <w:rPr>
                <w:rFonts w:ascii="Arial" w:cs="Arial" w:eastAsia="Arial" w:hAnsi="Arial"/>
                <w:sz w:val="14"/>
                <w:szCs w:val="14"/>
                <w:b w:val="1"/>
                <w:bCs w:val="1"/>
                <w:color w:val="auto"/>
                <w:w w:val="94"/>
              </w:rPr>
              <w:t>Filing Date</w:t>
            </w:r>
          </w:p>
        </w:tc>
      </w:tr>
      <w:tr>
        <w:trPr>
          <w:trHeight w:val="350"/>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527"/>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351"/>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351"/>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r>
        <w:trPr>
          <w:trHeight w:val="351"/>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r>
        <w:trPr>
          <w:trHeight w:val="351"/>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bl>
    <w:p>
      <w:pPr>
        <w:sectPr>
          <w:pgSz w:w="11900" w:h="16838" w:orient="portrait"/>
          <w:cols w:equalWidth="0" w:num="2">
            <w:col w:w="6280" w:space="300"/>
            <w:col w:w="4520"/>
          </w:cols>
          <w:pgMar w:left="320" w:top="324" w:right="479" w:bottom="1440" w:gutter="0" w:footer="0" w:header="0"/>
        </w:sectPr>
      </w:pPr>
    </w:p>
    <w:bookmarkStart w:id="29" w:name="page30"/>
    <w:bookmarkEnd w:id="29"/>
    <w:p>
      <w:pPr>
        <w:ind w:left="892" w:hanging="892"/>
        <w:spacing w:after="0" w:line="277"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Portions of the exhibit have been or will be excluded because it is both not material and is the type of information that the registrant treats as private or confidential.</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36" w:right="359" w:bottom="1440" w:gutter="0" w:footer="0" w:header="0"/>
        </w:sectPr>
      </w:pPr>
    </w:p>
    <w:bookmarkStart w:id="30" w:name="page31"/>
    <w:bookmarkEnd w:id="3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Outset Medical, Inc.</w:t>
      </w:r>
    </w:p>
    <w:p>
      <w:pPr>
        <w:spacing w:after="0" w:line="198" w:lineRule="exact"/>
        <w:rPr>
          <w:sz w:val="20"/>
          <w:szCs w:val="20"/>
          <w:color w:val="auto"/>
        </w:rPr>
      </w:pPr>
    </w:p>
    <w:p>
      <w:pPr>
        <w:ind w:left="5440" w:right="1700" w:hanging="8099"/>
        <w:spacing w:after="0" w:line="251" w:lineRule="auto"/>
        <w:tabs>
          <w:tab w:leader="none" w:pos="54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 /s/ Leslie Trigg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0</wp:posOffset>
            </wp:positionV>
            <wp:extent cx="34029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6"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President and Chief Executive Officer</w:t>
      </w:r>
    </w:p>
    <w:p>
      <w:pPr>
        <w:jc w:val="center"/>
        <w:ind w:left="5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82" w:lineRule="exact"/>
        <w:rPr>
          <w:sz w:val="20"/>
          <w:szCs w:val="20"/>
          <w:color w:val="auto"/>
        </w:rPr>
      </w:pPr>
    </w:p>
    <w:p>
      <w:pPr>
        <w:ind w:left="5440" w:right="1580" w:hanging="7996"/>
        <w:spacing w:after="0" w:line="258" w:lineRule="auto"/>
        <w:tabs>
          <w:tab w:leader="none" w:pos="54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 /s/ Nabeel Ahmed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0</wp:posOffset>
            </wp:positionV>
            <wp:extent cx="34029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20"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Chief Financial Officer</w:t>
      </w:r>
    </w:p>
    <w:p>
      <w:pPr>
        <w:jc w:val="center"/>
        <w:ind w:left="5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1" w:name="page32"/>
    <w:bookmarkEnd w:id="31"/>
    <w:p>
      <w:pPr>
        <w:ind w:left="10320"/>
        <w:spacing w:after="0"/>
        <w:rPr>
          <w:sz w:val="20"/>
          <w:szCs w:val="20"/>
          <w:color w:val="auto"/>
        </w:rPr>
      </w:pPr>
      <w:r>
        <w:rPr>
          <w:rFonts w:ascii="Arial" w:cs="Arial" w:eastAsia="Arial" w:hAnsi="Arial"/>
          <w:sz w:val="16"/>
          <w:szCs w:val="16"/>
          <w:b w:val="1"/>
          <w:bCs w:val="1"/>
          <w:color w:val="auto"/>
        </w:rPr>
        <w:t>Exhibit 10.1</w:t>
      </w:r>
    </w:p>
    <w:p>
      <w:pPr>
        <w:spacing w:after="0" w:line="3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b w:val="1"/>
          <w:bCs w:val="1"/>
          <w:color w:val="auto"/>
        </w:rPr>
        <w:t>Portions of this exhibit have been excluded because it is both (i) not material and (ii) the type of information that the Registrant both customarily and actually treats as private and confidential.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 time,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dated as of November 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SLR Investment Corp., a Maryland corporation with an office located at 500 Park Avenue, 3rd Floor, New York, NY 10022 (“</w:t>
      </w:r>
      <w:r>
        <w:rPr>
          <w:rFonts w:ascii="Arial" w:cs="Arial" w:eastAsia="Arial" w:hAnsi="Arial"/>
          <w:sz w:val="18"/>
          <w:szCs w:val="18"/>
          <w:b w:val="1"/>
          <w:bCs w:val="1"/>
          <w:color w:val="auto"/>
        </w:rPr>
        <w:t>SLR</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and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including SLR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Outset Medical, Inc., a Delaware corporation with an office located at 3052 Orchard Drive, San Jose, CA 95134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 repay the Lenders. The parties agree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DEFINITIONS AND OTHER TERMS</w:t>
      </w:r>
    </w:p>
    <w:p>
      <w:pPr>
        <w:spacing w:after="0" w:line="21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b w:val="1"/>
          <w:bCs w:val="1"/>
          <w:color w:val="auto"/>
        </w:rPr>
        <w:t xml:space="preserve">1.1 Terms. </w:t>
      </w:r>
      <w:r>
        <w:rPr>
          <w:rFonts w:ascii="Arial" w:cs="Arial" w:eastAsia="Arial" w:hAnsi="Arial"/>
          <w:sz w:val="17"/>
          <w:szCs w:val="17"/>
          <w:color w:val="auto"/>
        </w:rPr>
        <w:t>Capitalized terms used herein shall have the meanings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defined therein.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Notwithstanding anything to the contrary contained herein, for covenant compliance purpose, (a) all financial definitions, calculations and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and (b) with respect to the accounting for leases as either operating leases or capital leases and the impact of such accounting in accordance with Accounting Standards Codification 840, GAAP as in effect on December 31, 2018 shall be applied.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72"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Section References. </w:t>
      </w:r>
      <w:r>
        <w:rPr>
          <w:rFonts w:ascii="Arial" w:cs="Arial" w:eastAsia="Arial" w:hAnsi="Arial"/>
          <w:sz w:val="16"/>
          <w:szCs w:val="16"/>
          <w:color w:val="auto"/>
        </w:rPr>
        <w:t>Any section, subsection, schedule or exhibit references are to this Agreement unless otherwise specified.</w:t>
      </w:r>
    </w:p>
    <w:p>
      <w:pPr>
        <w:spacing w:after="0" w:line="22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b w:val="1"/>
          <w:bCs w:val="1"/>
          <w:color w:val="auto"/>
        </w:rPr>
        <w:t>1.3 Divisions</w:t>
      </w:r>
      <w:r>
        <w:rPr>
          <w:rFonts w:ascii="Arial" w:cs="Arial" w:eastAsia="Arial" w:hAnsi="Arial"/>
          <w:sz w:val="18"/>
          <w:szCs w:val="18"/>
          <w:color w:val="auto"/>
        </w:rPr>
        <w:t>. For all purposes under the Loan Documents, in connection with any division or plan of division under Delaware law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following terms are defined in the Sections or subsections referenced opposite such terms: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Subsidiary</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Licenses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w:t>
      </w:r>
      <w:r>
        <w:rPr>
          <w:rFonts w:ascii="Arial" w:cs="Arial" w:eastAsia="Arial" w:hAnsi="Arial"/>
          <w:sz w:val="16"/>
          <w:szCs w:val="16"/>
          <w:color w:val="auto"/>
        </w:rPr>
        <w:t>” and “</w:t>
      </w:r>
      <w:r>
        <w:rPr>
          <w:rFonts w:ascii="Arial" w:cs="Arial" w:eastAsia="Arial" w:hAnsi="Arial"/>
          <w:sz w:val="16"/>
          <w:szCs w:val="16"/>
          <w:b w:val="1"/>
          <w:bCs w:val="1"/>
          <w:color w:val="auto"/>
        </w:rPr>
        <w:t>Perfection Certificates</w:t>
      </w:r>
      <w:r>
        <w:rPr>
          <w:rFonts w:ascii="Arial" w:cs="Arial" w:eastAsia="Arial" w:hAnsi="Arial"/>
          <w:sz w:val="16"/>
          <w:szCs w:val="16"/>
          <w:color w:val="auto"/>
        </w:rPr>
        <w:t>”</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Convertible Debt</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SLR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Preamble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C, Section 7(b)(ii)(C)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C, Section 1</w:t>
      </w:r>
    </w:p>
    <w:p>
      <w:pPr>
        <w:spacing w:after="0" w:line="200" w:lineRule="exact"/>
        <w:rPr>
          <w:sz w:val="20"/>
          <w:szCs w:val="20"/>
          <w:color w:val="auto"/>
        </w:rPr>
      </w:pPr>
    </w:p>
    <w:p>
      <w:pPr>
        <w:sectPr>
          <w:pgSz w:w="11900" w:h="16838" w:orient="portrait"/>
          <w:cols w:equalWidth="0" w:num="2">
            <w:col w:w="5460" w:space="720"/>
            <w:col w:w="5060"/>
          </w:cols>
          <w:pgMar w:left="320" w:top="121" w:right="339" w:bottom="1440" w:gutter="0" w:footer="0" w:header="0"/>
        </w:sect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to the terms defined elsewhere in this Agreement, the following terms have the following meanings:</w:t>
      </w:r>
    </w:p>
    <w:p>
      <w:pPr>
        <w:spacing w:after="0" w:line="221" w:lineRule="exact"/>
        <w:rPr>
          <w:sz w:val="20"/>
          <w:szCs w:val="20"/>
          <w:color w:val="auto"/>
        </w:rPr>
      </w:pPr>
    </w:p>
    <w:p>
      <w:pPr>
        <w:jc w:val="both"/>
        <w:ind w:firstLine="1543"/>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Credit Agreement</w:t>
      </w:r>
      <w:r>
        <w:rPr>
          <w:rFonts w:ascii="Arial" w:cs="Arial" w:eastAsia="Arial" w:hAnsi="Arial"/>
          <w:sz w:val="18"/>
          <w:szCs w:val="18"/>
          <w:color w:val="auto"/>
        </w:rPr>
        <w:t>” means that certain Credit Agreement, dated as of the Effective Date, between Borrower and GHF, as ABL Lender, as amended, restated, amended and restated, supplemented or otherwise modified from time to time in accordance with the terms thereof, to the extent not prohibited by the terms of the Intercreditor Agreement or this Agreement.</w:t>
      </w:r>
    </w:p>
    <w:p>
      <w:pPr>
        <w:spacing w:after="0" w:line="190"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Lender</w:t>
      </w:r>
      <w:r>
        <w:rPr>
          <w:rFonts w:ascii="Arial" w:cs="Arial" w:eastAsia="Arial" w:hAnsi="Arial"/>
          <w:sz w:val="18"/>
          <w:szCs w:val="18"/>
          <w:color w:val="auto"/>
        </w:rPr>
        <w:t>” means Gemino Healthcare Finance, LLC d/b/a SLR Healthcare ABL (“</w:t>
      </w:r>
      <w:r>
        <w:rPr>
          <w:rFonts w:ascii="Arial" w:cs="Arial" w:eastAsia="Arial" w:hAnsi="Arial"/>
          <w:sz w:val="18"/>
          <w:szCs w:val="18"/>
          <w:b w:val="1"/>
          <w:bCs w:val="1"/>
          <w:color w:val="auto"/>
        </w:rPr>
        <w:t>GHF</w:t>
      </w:r>
      <w:r>
        <w:rPr>
          <w:rFonts w:ascii="Arial" w:cs="Arial" w:eastAsia="Arial" w:hAnsi="Arial"/>
          <w:sz w:val="18"/>
          <w:szCs w:val="18"/>
          <w:color w:val="auto"/>
        </w:rPr>
        <w:t>”), in its capacity as lender under the ABL Credit Agreement, together with its permitted successors assigns in such capacity.</w:t>
      </w:r>
    </w:p>
    <w:p>
      <w:pPr>
        <w:spacing w:after="0" w:line="16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Loan Documents</w:t>
      </w:r>
      <w:r>
        <w:rPr>
          <w:rFonts w:ascii="Arial" w:cs="Arial" w:eastAsia="Arial" w:hAnsi="Arial"/>
          <w:sz w:val="18"/>
          <w:szCs w:val="18"/>
          <w:color w:val="auto"/>
        </w:rPr>
        <w:t>” means the “Loan Documents” as defined in the ABL Credit Agreement, as they may hereafter be amended, restated, amended and restated, supplemented or otherwise modified from time to time in accordance with the terms thereof, to the extent not prohibited by the terms of the Intercreditor Agreement or this Agreement.</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Loans</w:t>
      </w:r>
      <w:r>
        <w:rPr>
          <w:rFonts w:ascii="Arial" w:cs="Arial" w:eastAsia="Arial" w:hAnsi="Arial"/>
          <w:sz w:val="18"/>
          <w:szCs w:val="18"/>
          <w:color w:val="auto"/>
        </w:rPr>
        <w:t>” means the “Revolving Loans” as defined in the ABL Credit Agreement.</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Obligations</w:t>
      </w:r>
      <w:r>
        <w:rPr>
          <w:rFonts w:ascii="Arial" w:cs="Arial" w:eastAsia="Arial" w:hAnsi="Arial"/>
          <w:sz w:val="18"/>
          <w:szCs w:val="18"/>
          <w:color w:val="auto"/>
        </w:rPr>
        <w:t>” means the “Obligations” as defined in the ABL Credit Agreement.</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under the Code, and includes, without limitation, all accounts receivable and other sums owing to Borrower.</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Debtor</w:t>
      </w:r>
      <w:r>
        <w:rPr>
          <w:rFonts w:ascii="Arial" w:cs="Arial" w:eastAsia="Arial" w:hAnsi="Arial"/>
          <w:sz w:val="16"/>
          <w:szCs w:val="16"/>
          <w:color w:val="auto"/>
        </w:rPr>
        <w:t>” is any “account debtor” as defined in the Code with such additions to such term as may hereafter be made under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 Letter</w:t>
      </w:r>
      <w:r>
        <w:rPr>
          <w:rFonts w:ascii="Arial" w:cs="Arial" w:eastAsia="Arial" w:hAnsi="Arial"/>
          <w:sz w:val="18"/>
          <w:szCs w:val="18"/>
          <w:color w:val="auto"/>
        </w:rPr>
        <w:t xml:space="preserve">” is ACH debit authorization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90"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December 1, 2026; provided that if the Interest Only Extension Conditions are satisfied, then Borrower may elect to extend until June 1, 2027.</w:t>
      </w:r>
    </w:p>
    <w:p>
      <w:pPr>
        <w:spacing w:after="0" w:line="162" w:lineRule="exact"/>
        <w:rPr>
          <w:sz w:val="20"/>
          <w:szCs w:val="20"/>
          <w:color w:val="auto"/>
        </w:rPr>
      </w:pPr>
    </w:p>
    <w:p>
      <w:pPr>
        <w:jc w:val="both"/>
        <w:ind w:firstLine="14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Plan</w:t>
      </w:r>
      <w:r>
        <w:rPr>
          <w:rFonts w:ascii="Arial" w:cs="Arial" w:eastAsia="Arial" w:hAnsi="Arial"/>
          <w:sz w:val="17"/>
          <w:szCs w:val="17"/>
          <w:color w:val="auto"/>
        </w:rPr>
        <w:t>” means, with respect to any fiscal year of the Borrower, an annual plan approved by Borrower’s board of directors, setting forth, among other things, projected quarterly Product Revenue and Gross Profit Margins for such fiscal year (provided that solely for the purpose of determining the financial covenants set forth in Section 7.13(b) for fiscal quarters after December 31, 2023, such projected amounts and percentages for each of the fiscal years ending December 31, 2024, December 31, 2025 and December 31, 2026 on an annual basis must be (i) greater than or equal to the annual amounts or percentages, as applicable, set forth in the Lender Presentation and (ii) approved by Collateral Agent).</w:t>
      </w:r>
    </w:p>
    <w:p>
      <w:pPr>
        <w:spacing w:after="0" w:line="180" w:lineRule="exact"/>
        <w:rPr>
          <w:sz w:val="20"/>
          <w:szCs w:val="20"/>
          <w:color w:val="auto"/>
        </w:rPr>
      </w:pPr>
    </w:p>
    <w:p>
      <w:pPr>
        <w:jc w:val="both"/>
        <w:ind w:firstLine="1498"/>
        <w:spacing w:after="0" w:line="21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Terrorism Laws</w:t>
      </w:r>
      <w:r>
        <w:rPr>
          <w:rFonts w:ascii="Arial" w:cs="Arial" w:eastAsia="Arial" w:hAnsi="Arial"/>
          <w:sz w:val="18"/>
          <w:szCs w:val="18"/>
          <w:color w:val="auto"/>
        </w:rPr>
        <w:t>” are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98"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as to Borrower or its assets, any law, ordinance, policy, manual provision, administrative guidance, statute, rule or regulation, or any final and non-appealable determination of a court or other Governmental Authority, in each case applicable to or binding upon Borrower or any of its assets, or to which Borrower or any of its assets is subject.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5.15% per annum.</w:t>
      </w:r>
    </w:p>
    <w:p>
      <w:pPr>
        <w:spacing w:after="0" w:line="212" w:lineRule="exact"/>
        <w:rPr>
          <w:sz w:val="20"/>
          <w:szCs w:val="20"/>
          <w:color w:val="auto"/>
        </w:rPr>
      </w:pPr>
    </w:p>
    <w:p>
      <w:pPr>
        <w:jc w:val="both"/>
        <w:ind w:firstLine="149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7" w:lineRule="exact"/>
        <w:rPr>
          <w:sz w:val="20"/>
          <w:szCs w:val="20"/>
          <w:color w:val="auto"/>
        </w:rPr>
      </w:pPr>
    </w:p>
    <w:p>
      <w:pPr>
        <w:jc w:val="both"/>
        <w:ind w:firstLine="1498"/>
        <w:spacing w:after="0" w:line="215"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w:t>
      </w:r>
      <w:r>
        <w:rPr>
          <w:rFonts w:ascii="MS PGothic" w:cs="MS PGothic" w:eastAsia="MS PGothic" w:hAnsi="MS PGothic"/>
          <w:sz w:val="17"/>
          <w:szCs w:val="17"/>
          <w:color w:val="auto"/>
        </w:rPr>
        <w:t>‑</w:t>
      </w:r>
      <w:r>
        <w:rPr>
          <w:rFonts w:ascii="Arial" w:cs="Arial" w:eastAsia="Arial" w:hAnsi="Arial"/>
          <w:sz w:val="17"/>
          <w:szCs w:val="17"/>
          <w:color w:val="auto"/>
        </w:rPr>
        <w:t>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Bond Hedge Transaction</w:t>
      </w:r>
      <w:r>
        <w:rPr>
          <w:rFonts w:ascii="Arial" w:cs="Arial" w:eastAsia="Arial" w:hAnsi="Arial"/>
          <w:sz w:val="17"/>
          <w:szCs w:val="17"/>
          <w:color w:val="auto"/>
        </w:rPr>
        <w:t>” has the meaning assigned to such term in the definition of “Permitted Call Spread Agreement”.</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69"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is any day that is not a Saturday, Sunday or a day on which commercial banks in New York, New York are required or authorized to be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any direct or indirect calculation or determination of, or when used in connection with any interest rate settings, fundings, disbursements, settlements, payments, or other dealings with respect to any Loan, the term “Business Day” shall also exclude any day that is not a “U.S. Government Securities Business Day”.</w:t>
      </w:r>
    </w:p>
    <w:p>
      <w:pPr>
        <w:spacing w:after="0" w:line="177" w:lineRule="exact"/>
        <w:rPr>
          <w:sz w:val="20"/>
          <w:szCs w:val="20"/>
          <w:color w:val="auto"/>
        </w:rPr>
      </w:pPr>
    </w:p>
    <w:p>
      <w:pPr>
        <w:jc w:val="both"/>
        <w:ind w:firstLine="149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(d) any money market or similar funds that exclusively hold any of the foregoing and (e) such other investment securities permitted under Borrower’s Investment Policy.</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as defined in Section 957 of the Internal Revenue Code.</w:t>
      </w:r>
    </w:p>
    <w:p>
      <w:pPr>
        <w:spacing w:after="0" w:line="212" w:lineRule="exact"/>
        <w:rPr>
          <w:sz w:val="20"/>
          <w:szCs w:val="20"/>
          <w:color w:val="auto"/>
        </w:rPr>
      </w:pPr>
    </w:p>
    <w:p>
      <w:pPr>
        <w:jc w:val="both"/>
        <w:ind w:right="20" w:firstLine="149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CHAMPVA</w:t>
      </w:r>
      <w:r>
        <w:rPr>
          <w:rFonts w:ascii="Arial" w:cs="Arial" w:eastAsia="Arial" w:hAnsi="Arial"/>
          <w:sz w:val="16"/>
          <w:szCs w:val="16"/>
          <w:color w:val="auto"/>
        </w:rPr>
        <w:t>” means, collectively, the Civilian Health and Medical Program of the Department of Veterans Affairs, and all Requirements of Law pertaining to such program, in each case as the same may be amended, supplemented or otherwise modified from time to time.</w:t>
      </w:r>
    </w:p>
    <w:p>
      <w:pPr>
        <w:spacing w:after="0" w:line="102"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12"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 under the Code.</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12" w:lineRule="exact"/>
        <w:rPr>
          <w:sz w:val="20"/>
          <w:szCs w:val="20"/>
          <w:color w:val="auto"/>
        </w:rPr>
      </w:pPr>
    </w:p>
    <w:p>
      <w:pPr>
        <w:jc w:val="both"/>
        <w:ind w:firstLine="149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Changes</w:t>
      </w:r>
      <w:r>
        <w:rPr>
          <w:rFonts w:ascii="Arial" w:cs="Arial" w:eastAsia="Arial" w:hAnsi="Arial"/>
          <w:sz w:val="18"/>
          <w:szCs w:val="18"/>
          <w:color w:val="auto"/>
        </w:rPr>
        <w:t>” means, with respect to either the use or administration of SOFR, any technical, administrative or operational changes (including changes to the definition of “Business Day,” the definition of “U.S. Government Securities Business Day,” timing and frequency of determining rates and making payments of interest, timing of borrowing requests or prepayment, conversion or continuation notices, the applicability and length of lookback periods and other technical, administrative or operational matters) that Collateral Agent decides may be appropriate to reflect the adoption and implementation of any such rate or to permit the use and administration thereof by Collateral Agent in a manner substantially consistent with market practice (or, if Collateral Agent decides that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8"/>
          <w:szCs w:val="18"/>
          <w:color w:val="auto"/>
        </w:rPr>
        <w:t>adoption of any portion of such market practice is not administratively feasible or if Collateral Agent determines that no market practice for the administration of any such rate exists, in such other manner of administration as Collateral Agent decides is reasonably necessary in connection with the administration of this Agreement and the other Loan Documents).</w:t>
      </w:r>
    </w:p>
    <w:p>
      <w:pPr>
        <w:spacing w:after="0" w:line="171" w:lineRule="exact"/>
        <w:rPr>
          <w:sz w:val="20"/>
          <w:szCs w:val="20"/>
          <w:color w:val="auto"/>
        </w:rPr>
      </w:pPr>
    </w:p>
    <w:p>
      <w:pPr>
        <w:jc w:val="both"/>
        <w:ind w:firstLine="1498"/>
        <w:spacing w:after="0" w:line="21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w:t>
      </w:r>
      <w:r>
        <w:rPr>
          <w:rFonts w:ascii="MS PGothic" w:cs="MS PGothic" w:eastAsia="MS PGothic" w:hAnsi="MS PGothic"/>
          <w:sz w:val="18"/>
          <w:szCs w:val="18"/>
          <w:color w:val="auto"/>
        </w:rPr>
        <w:t>‑</w:t>
      </w:r>
      <w:r>
        <w:rPr>
          <w:rFonts w:ascii="Arial" w:cs="Arial" w:eastAsia="Arial" w:hAnsi="Arial"/>
          <w:sz w:val="18"/>
          <w:szCs w:val="18"/>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 Notwithstanding anything to the contrary in the foregoing, any Permitted Call Spread Agreement shall not constitute a Contingent Obligation of the Borrower.</w:t>
      </w:r>
    </w:p>
    <w:p>
      <w:pPr>
        <w:spacing w:after="0" w:line="186"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Collateral Agent pursuant to which Collateral Agent, for the ratable benefit of the Secured Parties, obtains “control” (within the meaning of the Code) over such Deposit Account, Securities Account, or Commodity Account.</w:t>
      </w:r>
    </w:p>
    <w:p>
      <w:pPr>
        <w:spacing w:after="0" w:line="195" w:lineRule="exact"/>
        <w:rPr>
          <w:sz w:val="20"/>
          <w:szCs w:val="20"/>
          <w:color w:val="auto"/>
        </w:rPr>
      </w:pPr>
    </w:p>
    <w:p>
      <w:pPr>
        <w:jc w:val="both"/>
        <w:ind w:firstLine="1498"/>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3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Cross-Default Reference Obligation</w:t>
      </w:r>
      <w:r>
        <w:rPr>
          <w:rFonts w:ascii="Arial" w:cs="Arial" w:eastAsia="Arial" w:hAnsi="Arial"/>
          <w:sz w:val="17"/>
          <w:szCs w:val="17"/>
          <w:color w:val="auto"/>
        </w:rPr>
        <w:t>” has the meaning assigned to such term in the definition of “Permitted Convertible Debt.”</w:t>
      </w:r>
    </w:p>
    <w:p>
      <w:pPr>
        <w:spacing w:after="0" w:line="237"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w:t>
      </w:r>
      <w:r>
        <w:rPr>
          <w:rFonts w:ascii="Arial" w:cs="Arial" w:eastAsia="Arial" w:hAnsi="Arial"/>
          <w:sz w:val="16"/>
          <w:szCs w:val="16"/>
          <w:color w:val="auto"/>
        </w:rPr>
        <w:t>” is any “deposit account” as defined in the Code with such additions to such term as may hereafter be made under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193"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as of the Effective Date, Borrower’s deposit account, account number *******861, maintained at Silicon Valley Bank; provided that after the Effective Date and prior to the Initial Revolving Loan Advance Date (as defined under the ABL Credit Agreement), Borrower shall designate a different deposit account as Designated Deposit Account by written notice to Collateral Agent.</w:t>
      </w:r>
    </w:p>
    <w:p>
      <w:pPr>
        <w:spacing w:after="0" w:line="172"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Signatory</w:t>
      </w:r>
      <w:r>
        <w:rPr>
          <w:rFonts w:ascii="Arial" w:cs="Arial" w:eastAsia="Arial" w:hAnsi="Arial"/>
          <w:sz w:val="18"/>
          <w:szCs w:val="18"/>
          <w:color w:val="auto"/>
        </w:rPr>
        <w:t>” is a senior finance officer of Borrower designated by a Responsible Officer and reasonably acceptable to the Collateral Agent (provided that the VP Controller who directly reports to the Chief Financial Officer of the Company shall be an acceptable Designated Signatory). As of the Effective Date, the Designated Signatory shall be John Geraci, VP Corporate Controller.</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12"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16"/>
          <w:szCs w:val="16"/>
          <w:color w:val="auto"/>
        </w:rPr>
        <w:t>finance companies, in each case, which either (A) has a rating of BBB or higher from Standard &amp; Poor’s Rating Group and a rating of Baa2 or higher from Moody’s Investors Service, Inc. at the date that it becomes a Lender or (B) has total assets in excess of Two Billion Five Hundred Million Dollars ($2,500,000,000.00); provided that notwithstanding the foregoing, “Eligible Assignee” shall not include, unless an Event of Default has occurred and is continuing, (i) Borrower or any of Borrower’s Affiliates or Subsidiaries or (ii) a then-current direct competitor of Borrower, vulture fund or distress investment fund, as reasonably determined by Collateral Agent in its reasonable discretion. Notwithstanding the foregoing, (x) in connection with any assignment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58"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xml:space="preserve">” means, collectively, any local, state or federal law, rule or regulation or common-law duty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including the Comprehensive Environmental Response, Compensation and Liability Act of 1980 (42 U.S.C. §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Resource Conservation and Recovery Act of 1976 (42 U.S.C. § 6901 </w:t>
      </w:r>
      <w:r>
        <w:rPr>
          <w:rFonts w:ascii="Arial" w:cs="Arial" w:eastAsia="Arial" w:hAnsi="Arial"/>
          <w:sz w:val="17"/>
          <w:szCs w:val="17"/>
          <w:u w:val="single" w:color="auto"/>
          <w:color w:val="auto"/>
        </w:rPr>
        <w:t>et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seq.</w:t>
      </w:r>
      <w:r>
        <w:rPr>
          <w:rFonts w:ascii="Arial" w:cs="Arial" w:eastAsia="Arial" w:hAnsi="Arial"/>
          <w:sz w:val="17"/>
          <w:szCs w:val="17"/>
          <w:color w:val="auto"/>
        </w:rPr>
        <w:t xml:space="preserve">), the Federal Water Pollution Control Act (33 U.S.C. § 1251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Hazardous Materials Transportation Act (49 U.S.C. § 5101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Clean Air Act (42 U.S.C. § 7401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Federal Insecticide, Fungicide and Rodenticide Act (7 U.S.C. § 136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Emergency Planning and Community Right-to-Know Act (42 U.S.C. § 11001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Residential Lead-Based Paint Hazard Reduction Act (42 U.S.C. § 4851 </w:t>
      </w:r>
      <w:r>
        <w:rPr>
          <w:rFonts w:ascii="Arial" w:cs="Arial" w:eastAsia="Arial" w:hAnsi="Arial"/>
          <w:sz w:val="17"/>
          <w:szCs w:val="17"/>
          <w:u w:val="single" w:color="auto"/>
          <w:color w:val="auto"/>
        </w:rPr>
        <w:t>et seq.</w:t>
      </w:r>
      <w:r>
        <w:rPr>
          <w:rFonts w:ascii="Arial" w:cs="Arial" w:eastAsia="Arial" w:hAnsi="Arial"/>
          <w:sz w:val="17"/>
          <w:szCs w:val="17"/>
          <w:color w:val="auto"/>
        </w:rPr>
        <w:t>), any analogous state or local laws, any amendments thereto, and the regulations promulgated pursuant to said laws, together with all amendments from time to time to any of the foregoing.</w:t>
      </w:r>
    </w:p>
    <w:p>
      <w:pPr>
        <w:spacing w:after="0" w:line="172" w:lineRule="exact"/>
        <w:rPr>
          <w:sz w:val="20"/>
          <w:szCs w:val="20"/>
          <w:color w:val="auto"/>
        </w:rPr>
      </w:pPr>
    </w:p>
    <w:p>
      <w:pPr>
        <w:jc w:val="both"/>
        <w:ind w:right="20" w:firstLine="149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spacing w:after="0" w:line="102"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from time to time, and the rules and regulations promulgated thereunder from time to time.</w:t>
      </w:r>
    </w:p>
    <w:p>
      <w:pPr>
        <w:spacing w:after="0" w:line="16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Accounts</w:t>
      </w:r>
      <w:r>
        <w:rPr>
          <w:rFonts w:ascii="Arial" w:cs="Arial" w:eastAsia="Arial" w:hAnsi="Arial"/>
          <w:sz w:val="17"/>
          <w:szCs w:val="17"/>
          <w:color w:val="auto"/>
        </w:rPr>
        <w:t>” means (a) any Deposit Account of Borrower or any Subsidiary that is used by such Person solely as a payroll account for the employees of Borrower or its Subsidiaries, provided that the aggregate balance maintained therein shall not exceed the aggregate amount of such payments to be paid in the then next two (2) payroll periods or the funds in which consist solely of funds held by the Borrower in trust for any director, officer or employee of the Borrower or any employee benefit plan maintained by the Borrower in the ordinary course of business or funds representing deferred compensation for the directors and employees of the Borrower, (b) escrow accounts, Collateral Accounts and trust accounts, in each case either securing Permitted Liens or otherwise entered into in the ordinary course of business, (c) [reserved], (d) Collateral Accounts and securities accounts held in jurisdictions outside the United States, (e) payment processing accounts or merchant accounts or segregated accounts solely to the extent such payment processing accounts, merchant accounts or segregated accounts hold receivables owing by a Governmental Authority (provided that any balance thereof is swept daily into Collateral Accounts pursuant to depository agreements in form and substance reasonably satisfactory to Collateral Agent), (f) segregated accounts holding Medicare/Medicaid receivables (provided that any balance thereof is swept daily into Collateral Accounts pursuant to depository agreements in form and substance reasonably satisfactory to Collateral Agent) and (g) so long as Borrower shall have complied with the requirements in Section 3.5(b) within the timeframe set forth therein, the Specified Account.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ind w:firstLine="1498"/>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 (a) any Subsidiary that is prohibited by any applicable law or, on the date such Subsidiary is acquired (provided, that such prohibition is not be created in contemplation of such acquisition), its Operating Documents, in each case, from guaranteeing the Obligations; (b) any Subsidiary that is prohibited by any contractual obligation that existed on the date any such Subsidiary is acquired (provided, that such prohibition is not created in contemplation of such acquisition) from guaranteeing the Obligations; (c) any Subsidiary to the extent that the provision of any guarantee of the Obligations would require the consent, approval, license or authorization of any governmental authority which has not been obtained; (d) any Subsidiary that is subject to such restrictions (provided that after such time that such restrictions on subsidiary guarantees are waived, lapse, terminate or are no longer effective, such Subsidiary shall no longer be an Excluded Subsidiary by virtue of this clause (d)); (e) any Subsidiary that is (i) a CFC or FSHCO or (ii) a Subsidiary of a CFC or FSHCO, in each case of this clause (e), to the extent that the pledge of all of the equity interests of such Subsidiary as Collateral or the guarantee by such Subsidiary of the Obligations would result in material adverse tax consequences to Borrower (as reasonably determined by Borrower and Collateral Agent); (f) any Subsidiary for which the provision of a subsidiary guarantee would result in a material adverse tax or regulatory consequence to Borrower or a violation of fiduciary duties of the directors or officers of such Subsidiary, in each case, as reasonably determined by Borrower; and (g) any Subsidiary that (i) owns properties and assets with an aggregate fair market value (as reasonably determined in good faith by Borrower and on a consolidated basis) less than Two Hundred Fifty Thousand Dollars ($250,000.00) and (ii) has annual revenues (other than revenues from transfer pricing transactions or “cost-plus” revenues) less than Two Hundred Fifty Thousand Dollars ($250,000.00); provided that all Subsidiaries excluded pursuant to this clause (g) together shall not (i) own properties and assets with an aggregate fair market value (as reasonably determined in good faith by Borrower and on a consolidated basis) less than One Million Dollars ($1,000,000.00) or (ii) have annual revenues (other than revenues from transfer pricing transactions or “cost-plus” revenues) greater than One Million Dollars ($1,000,000.00). Notwithstanding anything to the contrary herein, no Subsidiary shall be an Excluded Subsidiary if it is a guarantor or obligor under the ABL Loan Documents.</w:t>
      </w:r>
    </w:p>
    <w:p>
      <w:pPr>
        <w:spacing w:after="0" w:line="175"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1" w:lineRule="exact"/>
        <w:rPr>
          <w:sz w:val="20"/>
          <w:szCs w:val="20"/>
          <w:color w:val="auto"/>
        </w:rPr>
      </w:pPr>
    </w:p>
    <w:p>
      <w:pPr>
        <w:jc w:val="both"/>
        <w:ind w:right="20"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Loan Agreement</w:t>
      </w:r>
      <w:r>
        <w:rPr>
          <w:rFonts w:ascii="Arial" w:cs="Arial" w:eastAsia="Arial" w:hAnsi="Arial"/>
          <w:sz w:val="18"/>
          <w:szCs w:val="18"/>
          <w:color w:val="auto"/>
        </w:rPr>
        <w:t>” means that certain Loan and Security Agreement, dated as of July 2, 2020, by and between Borrower and Silicon Valley Bank, as amended.</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w:t>
      </w:r>
    </w:p>
    <w:p>
      <w:pPr>
        <w:spacing w:after="0" w:line="212"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that certain Fee Letter dated the Effective Date, between Borrower and SLR, as amended, amended and restated, supplemented or otherwise modified from time to time.</w:t>
      </w:r>
    </w:p>
    <w:p>
      <w:pPr>
        <w:spacing w:after="0" w:line="176" w:lineRule="exact"/>
        <w:rPr>
          <w:sz w:val="20"/>
          <w:szCs w:val="20"/>
          <w:color w:val="auto"/>
        </w:rPr>
      </w:pPr>
    </w:p>
    <w:p>
      <w:pPr>
        <w:jc w:val="both"/>
        <w:ind w:firstLine="1498"/>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FSHCO</w:t>
      </w:r>
      <w:r>
        <w:rPr>
          <w:rFonts w:ascii="Arial" w:cs="Arial" w:eastAsia="Arial" w:hAnsi="Arial"/>
          <w:sz w:val="16"/>
          <w:szCs w:val="16"/>
          <w:color w:val="auto"/>
        </w:rPr>
        <w:t>” means any Subsidiary that does not have (and is not treated as having for U.S. federal income tax purposes) any material assets other than capital stock (or capital stock and debt interests) of one or more Subsidiaries that are CFCs or other entities described in this definition.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Term Loan is made to or on account of Borrower which shall be a Business Day.</w:t>
      </w:r>
    </w:p>
    <w:p>
      <w:pPr>
        <w:spacing w:after="0" w:line="22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77"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spacing w:after="0" w:line="246" w:lineRule="auto"/>
        <w:rPr>
          <w:sz w:val="20"/>
          <w:szCs w:val="20"/>
          <w:color w:val="auto"/>
        </w:rPr>
      </w:pPr>
      <w:r>
        <w:rPr>
          <w:rFonts w:ascii="Arial" w:cs="Arial" w:eastAsia="Arial" w:hAnsi="Arial"/>
          <w:sz w:val="18"/>
          <w:szCs w:val="18"/>
          <w:color w:val="auto"/>
        </w:rPr>
        <w:t>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1"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license, certification, clearance, exemption, approval, order, license, franchise, permit, certificate, accreditation, registration, filing or notice, of, issued by, from or to, or other act by or in respect of, any Governmental Authority.</w:t>
      </w:r>
    </w:p>
    <w:p>
      <w:pPr>
        <w:spacing w:after="0" w:line="169"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(including, without limitation, the FDA), court, central bank or other entity exercising executive, legislative, judicial, taxing, regulatory or administrative functions of or pertaining to government. Governmental Authority shall include any agency, branch or other governmental body charged with the responsibility and/or vested with the authority to administer and/or enforce any Healthcare Laws.</w:t>
      </w:r>
    </w:p>
    <w:p>
      <w:pPr>
        <w:spacing w:after="0" w:line="160"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Reimbursement Program</w:t>
      </w:r>
      <w:r>
        <w:rPr>
          <w:rFonts w:ascii="Arial" w:cs="Arial" w:eastAsia="Arial" w:hAnsi="Arial"/>
          <w:sz w:val="18"/>
          <w:szCs w:val="18"/>
          <w:color w:val="auto"/>
        </w:rPr>
        <w:t>” means means (a) Medicare, (b) Medicaid, (c) the Federal Employees Health Benefit Program under 5 U.S.C. § § 8902 et seq., (d) TRICARE, (e) CHAMPVA, or (f) if applicable within the context of this Agreement, any agent, administrator, administrative contractor, intermediary or carrier for any of the foregoing.</w:t>
      </w:r>
    </w:p>
    <w:p>
      <w:pPr>
        <w:spacing w:after="0" w:line="169" w:lineRule="exact"/>
        <w:rPr>
          <w:sz w:val="20"/>
          <w:szCs w:val="20"/>
          <w:color w:val="auto"/>
        </w:rPr>
      </w:pPr>
    </w:p>
    <w:p>
      <w:pPr>
        <w:jc w:val="both"/>
        <w:ind w:right="20" w:firstLine="1498"/>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Gross Profit Margin</w:t>
      </w:r>
      <w:r>
        <w:rPr>
          <w:rFonts w:ascii="Arial" w:cs="Arial" w:eastAsia="Arial" w:hAnsi="Arial"/>
          <w:sz w:val="17"/>
          <w:szCs w:val="17"/>
          <w:color w:val="auto"/>
        </w:rPr>
        <w:t>” means a percentage equal to: (x)(1) Product Revenue of Borrower minus (2) the total cost of goods sold (as determined in accordance with GAAP but excluding any stock-based compensation expense) divided by (y) Product Revenue of Borrower.</w:t>
      </w:r>
    </w:p>
    <w:p>
      <w:pPr>
        <w:spacing w:after="0" w:line="152" w:lineRule="exact"/>
        <w:rPr>
          <w:sz w:val="20"/>
          <w:szCs w:val="20"/>
          <w:color w:val="auto"/>
        </w:rPr>
      </w:pPr>
    </w:p>
    <w:p>
      <w:pPr>
        <w:jc w:val="both"/>
        <w:ind w:right="20"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 for the benefit of the Secured Parties (including without limitation pursuant to Section 6.10).</w:t>
      </w:r>
    </w:p>
    <w:p>
      <w:pPr>
        <w:spacing w:after="0" w:line="162"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48"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means any substances defined or designated as hazardous or toxic waste, hazardous or toxic material, hazardous or toxic substance or similar term, by any environmental statute, rule or regulation of any governmental entity presently in effect and applicable to such real property.</w:t>
      </w:r>
    </w:p>
    <w:p>
      <w:pPr>
        <w:spacing w:after="0" w:line="169"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Healthcare Laws</w:t>
      </w:r>
      <w:r>
        <w:rPr>
          <w:rFonts w:ascii="Arial" w:cs="Arial" w:eastAsia="Arial" w:hAnsi="Arial"/>
          <w:sz w:val="17"/>
          <w:szCs w:val="17"/>
          <w:color w:val="auto"/>
        </w:rPr>
        <w:t xml:space="preserve">” means: (a) any and all federal, state and local fraud and abuse laws, including (i) the federal Anti-Kickback Statute (42 U.S.C. § 1320a-7b(b)), (ii) the Stark Law (42 U.S.C. § 1395nn and § 1395(q)), (iii) the civil False Claims Act (31 U.S.C. § 3729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the criminal false statements law (42 U.S.C. § 1320a-7b(a)), (iv) Sections 1320a-7, 1320a-7a and 1320a-7h of Title 42 of the United States Code and all criminal laws relating to health care fraud and abuse, including but not limited to 18 U.S.C. §§ 286, 287, 1035, 1347, 1349, and (v) the regulations promulgated pursuant to such statutes; (b) the federal Food, Drug &amp; Cosmetic Act (21 U.S.C. § § 301 </w:t>
      </w:r>
      <w:r>
        <w:rPr>
          <w:rFonts w:ascii="Arial" w:cs="Arial" w:eastAsia="Arial" w:hAnsi="Arial"/>
          <w:sz w:val="17"/>
          <w:szCs w:val="17"/>
          <w:u w:val="single" w:color="auto"/>
          <w:color w:val="auto"/>
        </w:rPr>
        <w:t>et seq.</w:t>
      </w:r>
      <w:r>
        <w:rPr>
          <w:rFonts w:ascii="Arial" w:cs="Arial" w:eastAsia="Arial" w:hAnsi="Arial"/>
          <w:sz w:val="17"/>
          <w:szCs w:val="17"/>
          <w:color w:val="auto"/>
        </w:rPr>
        <w:t>) and the regulations promulgated pursuant thereunder; (c) any and all federal, state and local data privacy and security laws, including HIPAA; (d) laws, rules and regulations governing any Government Reimbursement Program; (e) the Medicare Prescription Drug, Improvement, and Modernization Act of 2003 (Pub. L. No. 108-173) and the regulations promulgated pursuant thereto; (f) quality, safety, life safety, and accreditation standards and requirements of all applicable state laws or regulatory bodies; (g) any Applicable Law relating to the testing, development, sale, marketing, manufacture, packaging, processing, use, distribution, storage, import, export or disposal of Borrower’s or any Subsidiary’s products or product candidates; and (h) any Applicable Law relating to the billing or submission of claims, collection of accounts receivable, underwriting the cost of, or provision of management or administrative services in connection with, any and all of the foregoing, by Borrower, each of (a) through (h) as may be amended from time to time.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ind w:firstLine="1498"/>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Healthcare Permits</w:t>
      </w:r>
      <w:r>
        <w:rPr>
          <w:rFonts w:ascii="Arial" w:cs="Arial" w:eastAsia="Arial" w:hAnsi="Arial"/>
          <w:sz w:val="17"/>
          <w:szCs w:val="17"/>
          <w:color w:val="auto"/>
        </w:rPr>
        <w:t>” means any and all permits, licenses, authorizations, certificates, clearances, exemptions, registrations, approvals, certificates of need, accreditations and plans of third-party accreditation agencies required under any Healthcare Law.</w:t>
      </w:r>
    </w:p>
    <w:p>
      <w:pPr>
        <w:spacing w:after="0" w:line="152"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Healthcare Proceeding</w:t>
      </w:r>
      <w:r>
        <w:rPr>
          <w:rFonts w:ascii="Arial" w:cs="Arial" w:eastAsia="Arial" w:hAnsi="Arial"/>
          <w:sz w:val="18"/>
          <w:szCs w:val="18"/>
          <w:color w:val="auto"/>
        </w:rPr>
        <w:t>” means any audits, hearings, litigation or proceedings (in each case, whether civil, criminal, administrative or investigative) concerning any alleged or actual non-compliance by Borrower with any Healthcare Laws or the requirements of any Healthcare Permit (including any audits or procedures initiated by an Attorney General, the Office of Inspector General, the Department of Justice or any similar governmental agencies or contractors for such agencies).</w:t>
      </w:r>
    </w:p>
    <w:p>
      <w:pPr>
        <w:spacing w:after="0" w:line="177"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all liabilities under take-or-pay or similar arrangements or under any interest rate swaps, caps, floors, collars and other interest hedge or protection agreements, treasury locks, equity forward contracts, currency agreements or commodity purchase or option agreements or other interest or exchange rate or commodity price hedging agreements and any other derivative instruments, in each case, whether the Borrower and its Subsidiaries are liable contingently or otherwise, as obligor, guarantor or otherwise, or in respect of which liabilities the Borrower or its Subsidiaries otherwise assures a creditor against loss. For the avoidance of doubt, no Permitted Call Spread Agreement shall constitute a Hedging Obligation.</w:t>
      </w:r>
    </w:p>
    <w:p>
      <w:pPr>
        <w:spacing w:after="0" w:line="19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means the Health Insurance Portability and Accountability Act of 1996 (42 U.S.C. § 1320d et seq.) as amended by the Health Information Technology for Economic and Clinical Health (HITECH) Act (42 U.S.C. § 17921 et seq.) and the implementing regulations of same.</w:t>
      </w:r>
    </w:p>
    <w:p>
      <w:pPr>
        <w:spacing w:after="0" w:line="190"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purchase price of property or services, such as reimbursement and other obligations for surety bonds and letters of credit (other than in respect of (i) “earnouts”, purchase price adjustments, profit sharing arrangement and similar contingent payment obligations arising out of purchase and/or sale contracts (unless any such obligations would appear as a liability on the balance sheet of such Person under GAAP), and (ii) bonus, deferred compensation, incentive compensation or similar arrangements in the ordinary course of business), (b) obligations evidenced by notes, bonds, debentures or similar instruments, (c) capital lease obligations, (d) non-contingent obligations of such Person to reimburse any bank or other Person in respect of amounts paid under a letter of credit, banker’s acceptance or similar instrument, (e) equity securities of such Person subject to repurchase or redemption other than at the sole option of such Person (other than a change of control or asset sale or similar events, but in each case, only so long as any such repurchase or redemption after such change of control or asset sale or similar events shall be subject to the prior indefeasible payment in full in cash of all Obligations and the termination of all commitments hereunder) on or prior to a date that is 91 days after the Maturity Date, (f) obligations secured by a Lien on any asset of such Person, whether or not such obligation is otherwise an obligation of such Person, and (g) Contingent Obligations. Notwithstanding anything to the contrary in the foregoing, any Permitted Call Spread Agreement or operating leases shall not constitute Indebtedness of the Borrower.</w:t>
      </w:r>
    </w:p>
    <w:p>
      <w:pPr>
        <w:spacing w:after="0" w:line="175"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Upsize Conditions</w:t>
      </w:r>
      <w:r>
        <w:rPr>
          <w:rFonts w:ascii="Arial" w:cs="Arial" w:eastAsia="Arial" w:hAnsi="Arial"/>
          <w:sz w:val="18"/>
          <w:szCs w:val="18"/>
          <w:color w:val="auto"/>
        </w:rPr>
        <w:t>” are satisfaction of each of the following: (a) no Default or Event of Default shall have occurred and is continuing and (b) on or before August 15, 2024, Borrower shall have provided evidence to Collateral Agent satisfactory to Collateral Agent that Borrower has achieved the Product Revenue Milestone I.</w:t>
      </w:r>
    </w:p>
    <w:p>
      <w:pPr>
        <w:spacing w:after="0" w:line="169"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of its Subsidiaries’ right, title and interest in and to the following:</w:t>
      </w:r>
    </w:p>
    <w:p>
      <w:pPr>
        <w:spacing w:after="0" w:line="216" w:lineRule="exact"/>
        <w:rPr>
          <w:sz w:val="20"/>
          <w:szCs w:val="20"/>
          <w:color w:val="auto"/>
        </w:rPr>
      </w:pPr>
    </w:p>
    <w:p>
      <w:pPr>
        <w:ind w:left="3000" w:hanging="1495"/>
        <w:spacing w:after="0"/>
        <w:tabs>
          <w:tab w:leader="none" w:pos="3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3000" w:hanging="1495"/>
        <w:spacing w:after="0"/>
        <w:tabs>
          <w:tab w:leader="none" w:pos="3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w:t>
      </w:r>
    </w:p>
    <w:p>
      <w:pPr>
        <w:spacing w:after="0" w:line="34"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r>
        <w:rPr>
          <w:rFonts w:ascii="Arial" w:cs="Arial" w:eastAsia="Arial" w:hAnsi="Arial"/>
          <w:sz w:val="18"/>
          <w:szCs w:val="18"/>
          <w:color w:val="auto"/>
        </w:rPr>
        <w:t>know</w:t>
      </w:r>
      <w:r>
        <w:rPr>
          <w:rFonts w:ascii="MS PGothic" w:cs="MS PGothic" w:eastAsia="MS PGothic" w:hAnsi="MS PGothic"/>
          <w:sz w:val="18"/>
          <w:szCs w:val="18"/>
          <w:color w:val="auto"/>
        </w:rPr>
        <w:t>‑</w:t>
      </w:r>
      <w:r>
        <w:rPr>
          <w:rFonts w:ascii="Arial" w:cs="Arial" w:eastAsia="Arial" w:hAnsi="Arial"/>
          <w:sz w:val="18"/>
          <w:szCs w:val="18"/>
          <w:color w:val="auto"/>
        </w:rPr>
        <w:t>how, operating manuals;</w:t>
      </w:r>
    </w:p>
    <w:p>
      <w:pPr>
        <w:spacing w:after="0" w:line="209" w:lineRule="exact"/>
        <w:rPr>
          <w:rFonts w:ascii="Arial" w:cs="Arial" w:eastAsia="Arial" w:hAnsi="Arial"/>
          <w:sz w:val="16"/>
          <w:szCs w:val="16"/>
          <w:color w:val="auto"/>
        </w:rPr>
      </w:pPr>
    </w:p>
    <w:p>
      <w:pPr>
        <w:ind w:left="3000" w:hanging="1495"/>
        <w:spacing w:after="0"/>
        <w:tabs>
          <w:tab w:leader="none" w:pos="3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11" w:lineRule="exact"/>
        <w:rPr>
          <w:rFonts w:ascii="Arial" w:cs="Arial" w:eastAsia="Arial" w:hAnsi="Arial"/>
          <w:sz w:val="18"/>
          <w:szCs w:val="18"/>
          <w:color w:val="auto"/>
        </w:rPr>
      </w:pPr>
    </w:p>
    <w:p>
      <w:pPr>
        <w:ind w:left="3000" w:hanging="1495"/>
        <w:spacing w:after="0"/>
        <w:tabs>
          <w:tab w:leader="none" w:pos="3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11" w:lineRule="exact"/>
        <w:rPr>
          <w:rFonts w:ascii="Arial" w:cs="Arial" w:eastAsia="Arial" w:hAnsi="Arial"/>
          <w:sz w:val="18"/>
          <w:szCs w:val="18"/>
          <w:color w:val="auto"/>
        </w:rPr>
      </w:pPr>
    </w:p>
    <w:p>
      <w:pPr>
        <w:ind w:firstLine="1505"/>
        <w:spacing w:after="0" w:line="342" w:lineRule="auto"/>
        <w:tabs>
          <w:tab w:leader="none" w:pos="29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10"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all amendments, renewals and extensions of any of the Copyrights, Trademarks or Patents.</w:t>
      </w:r>
    </w:p>
    <w:p>
      <w:pPr>
        <w:spacing w:after="0" w:line="208" w:lineRule="exact"/>
        <w:rPr>
          <w:sz w:val="20"/>
          <w:szCs w:val="20"/>
          <w:color w:val="auto"/>
        </w:rPr>
      </w:pPr>
    </w:p>
    <w:p>
      <w:pPr>
        <w:jc w:val="both"/>
        <w:ind w:right="20" w:firstLine="149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Security Agreement</w:t>
      </w:r>
      <w:r>
        <w:rPr>
          <w:rFonts w:ascii="Arial" w:cs="Arial" w:eastAsia="Arial" w:hAnsi="Arial"/>
          <w:sz w:val="16"/>
          <w:szCs w:val="16"/>
          <w:color w:val="auto"/>
        </w:rPr>
        <w:t>” means that certain Intellectual Property Security Agreement, dated as of the Effective Date, between Borrower and Collateral Agent, as the same may from time to time be amended, restated, modified or otherwise supplemented.</w:t>
      </w:r>
    </w:p>
    <w:p>
      <w:pPr>
        <w:spacing w:after="0" w:line="102"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that certain Intercreditor Agreement, dated as of the Effective Date, by and between Collateral Agent and the ABL Lender, and acknowledged and agreed to by the Borrower, as amended, restated, amended and restated, supplemented or otherwise modified from time to time in accordance with the terms thereof.</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Only Extension Conditions</w:t>
      </w:r>
      <w:r>
        <w:rPr>
          <w:rFonts w:ascii="Arial" w:cs="Arial" w:eastAsia="Arial" w:hAnsi="Arial"/>
          <w:sz w:val="18"/>
          <w:szCs w:val="18"/>
          <w:color w:val="auto"/>
        </w:rPr>
        <w:t>” are satisfaction of each of the conditions set forth in the definition of “Initial Upsize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77"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76"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Policy</w:t>
      </w:r>
      <w:r>
        <w:rPr>
          <w:rFonts w:ascii="Arial" w:cs="Arial" w:eastAsia="Arial" w:hAnsi="Arial"/>
          <w:sz w:val="18"/>
          <w:szCs w:val="18"/>
          <w:color w:val="auto"/>
        </w:rPr>
        <w:t>” is Borrower’s investment policy as provided to Collateral Agent on October 21, 2022 and in effect as of the Effective Date, as amended from time to time; provided that any amendment to such investment policy or amended investment policy after the Effective Date has been approved in writing by Collateral Agent.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12"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Leslie Trigg as of the Effective Date, and (ii) Chief Financial Officer, who is Nabeel Ahmed as of the Effective Date.</w:t>
      </w:r>
    </w:p>
    <w:p>
      <w:pPr>
        <w:spacing w:after="0" w:line="162"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to the “best of” Borrower’s knowledge, or with a similar qualification, knowledge or awareness means the actual knowledge, after reasonable investigation, of the Responsible Officers.</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Presentation</w:t>
      </w:r>
      <w:r>
        <w:rPr>
          <w:rFonts w:ascii="Arial" w:cs="Arial" w:eastAsia="Arial" w:hAnsi="Arial"/>
          <w:sz w:val="16"/>
          <w:szCs w:val="16"/>
          <w:color w:val="auto"/>
        </w:rPr>
        <w:t xml:space="preserve">” means that certain lender presentation delivered to SLR on October 4, 2022 and attached as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205"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 all reasonable and documented audit fees and expenses, costs, and expenses (including reasonable and documented attorneys’ fees and expenses (whether generated in house or by outside counsel), as well as appraisal fees, fees incurred on account of lien searches, inspection fees, and filing fees) for preparing, amending, negotiating and administering the Loan Documents, and (b) all documented fees and expenses (including attorneys’ fees and expenses, as well as appraisal fees, fees incurred on account of lien searches, inspection fees, and filing fees) for defending and enforcing the Loan Documents (including, without limitation, those incurred in connection with appeals or Insolvency Proceedings) or otherwise incurred by Collateral Agent and/or the Lenders in connection with the Loan Documents; provided that the aggregate amount of Lenders’ Expenses and Expenses (as defined under the ABL Credit Agreement) incurred on or prior to the Effective Date reimbursable by Borrower shall be subject to Section 4 of the Fee Letter.</w:t>
      </w:r>
    </w:p>
    <w:p>
      <w:pPr>
        <w:spacing w:after="0" w:line="186"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similar encumbrance, whether voluntarily incurred or arising by operation of law or otherwise against any property.</w:t>
      </w:r>
    </w:p>
    <w:p>
      <w:pPr>
        <w:spacing w:after="0" w:line="176" w:lineRule="exact"/>
        <w:rPr>
          <w:sz w:val="20"/>
          <w:szCs w:val="20"/>
          <w:color w:val="auto"/>
        </w:rPr>
      </w:pPr>
    </w:p>
    <w:p>
      <w:pPr>
        <w:jc w:val="both"/>
        <w:ind w:firstLine="1498"/>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the Fee Letter, each Control Agreement, the Intellectual Property Security Agreement, the Intercreditor Agreement, the Perfection Certificates, each Compliance Certificate, the ACH Letter, each Loan Payment Request Form, any Guarantees, any subordination agreements, any note, or notes or guaranties executed by Borrower or any other Person, any agreements creating or perfecting rights in the Collateral (including all insurance certificates and endorsements, landlord consents and bailee consents) and any other present or future agreement entered into by Borrower, any Guarantor or any other Person for the benefit of the Lenders and Collateral Agent, as applicable, in connection with this Agreement; all as amended, restated, or otherwise modified.</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12" w:lineRule="exact"/>
        <w:rPr>
          <w:sz w:val="20"/>
          <w:szCs w:val="20"/>
          <w:color w:val="auto"/>
        </w:rPr>
      </w:pPr>
    </w:p>
    <w:p>
      <w:pPr>
        <w:jc w:val="both"/>
        <w:ind w:right="20"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Capitalization</w:t>
      </w:r>
      <w:r>
        <w:rPr>
          <w:rFonts w:ascii="Arial" w:cs="Arial" w:eastAsia="Arial" w:hAnsi="Arial"/>
          <w:sz w:val="18"/>
          <w:szCs w:val="18"/>
          <w:color w:val="auto"/>
        </w:rPr>
        <w:t>” is, as of any date of determination, the product of (a) the number of Borrower’s outstanding shares of common stock as disclosed in the most recent filing of Borrower with the Securities Exchange Commission and (b) the price per share of Borrower’s common stock as listed on the National Association of Securities Dealers Automated Quotation Stock Market (or, if not listed thereon, the New York Stock Exchange) at the close of business on such date.</w:t>
      </w:r>
    </w:p>
    <w:p>
      <w:pPr>
        <w:spacing w:after="0" w:line="177"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Change</w:t>
      </w:r>
      <w:r>
        <w:rPr>
          <w:rFonts w:ascii="Arial" w:cs="Arial" w:eastAsia="Arial" w:hAnsi="Arial"/>
          <w:sz w:val="17"/>
          <w:szCs w:val="17"/>
          <w:color w:val="auto"/>
        </w:rPr>
        <w:t>” is (a) a material adverse change in the business, operations or condition (financial or otherwise) of Borrower and its Subsidiaries, when taken as a whole; (b) a material impairment of (i) the ability of repayment of any portion of the Obligations as they become due and payable, (ii) the legality, validity or enforceability of any Loan Document, (iii) the rights and remedies of Collateral Agent or Lenders under any Loan Document except as the result of the action or inaction of the Collateral Agent or Lenders or (iv) the validity, perfection or priority of any Lien in favor of Collateral Agent for the benefit of the Secured Parties on any of the Collateral except as the result of the action or inaction of the Collateral Agent or Lenders; or (c) the occurrence of a “Change in Control”, “Fundamental Change” and/or “Make-Whole Fundamental Change” (each howsoever defined) under any indenture governing any Permitted Convertible Debt or under the ABL Loan Documents.</w:t>
      </w:r>
    </w:p>
    <w:p>
      <w:pPr>
        <w:spacing w:after="0" w:line="167"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Agreement</w:t>
      </w:r>
      <w:r>
        <w:rPr>
          <w:rFonts w:ascii="Arial" w:cs="Arial" w:eastAsia="Arial" w:hAnsi="Arial"/>
          <w:sz w:val="16"/>
          <w:szCs w:val="16"/>
          <w:color w:val="auto"/>
        </w:rPr>
        <w:t>” is any license, agreement or other contractual arrangement required to be disclosed (including amendments thereto) under regulations promulgated under the Securities Act of 1933 or Securities Exchange Act of 1934, as may be amended; provided, however, that “Material Agreements” shall exclude all real estate leases, management contracts and compensatory plans, contracts or arrangements.</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November 1, 2027.</w:t>
      </w:r>
    </w:p>
    <w:p>
      <w:pPr>
        <w:spacing w:after="0" w:line="22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Medicaid</w:t>
      </w:r>
      <w:r>
        <w:rPr>
          <w:rFonts w:ascii="Arial" w:cs="Arial" w:eastAsia="Arial" w:hAnsi="Arial"/>
          <w:sz w:val="16"/>
          <w:szCs w:val="16"/>
          <w:color w:val="auto"/>
        </w:rPr>
        <w:t xml:space="preserve">” means, collectively, the healthcare assistance program established by Title XIX of the Social Security Act (42 U.S.C. § § 1396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and any statutes succeeding thereto, and all Requirements of Law pertaining to such program, including all state statutes and plans for medical assistance enacted in connection with such program, in each case as the same may be amended, supplemented or otherwise modified from time to time.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Medicare</w:t>
      </w:r>
      <w:r>
        <w:rPr>
          <w:rFonts w:ascii="Arial" w:cs="Arial" w:eastAsia="Arial" w:hAnsi="Arial"/>
          <w:sz w:val="18"/>
          <w:szCs w:val="18"/>
          <w:color w:val="auto"/>
        </w:rPr>
        <w:t xml:space="preserve">” means, collectively, the health insurance program for the aged and disabled established by Title XVIII of the Social Security Act (42 U.S.C. § § 1395 </w:t>
      </w:r>
      <w:r>
        <w:rPr>
          <w:rFonts w:ascii="Arial" w:cs="Arial" w:eastAsia="Arial" w:hAnsi="Arial"/>
          <w:sz w:val="18"/>
          <w:szCs w:val="18"/>
          <w:u w:val="single" w:color="auto"/>
          <w:color w:val="auto"/>
        </w:rPr>
        <w:t>et seq.</w:t>
      </w:r>
      <w:r>
        <w:rPr>
          <w:rFonts w:ascii="Arial" w:cs="Arial" w:eastAsia="Arial" w:hAnsi="Arial"/>
          <w:sz w:val="18"/>
          <w:szCs w:val="18"/>
          <w:color w:val="auto"/>
        </w:rPr>
        <w:t>) and any statutes succeeding thereto, and all Requirements of Law pertaining to such program, in each case as the same may be amended, supplemented or otherwise modified from time to time.</w:t>
      </w:r>
    </w:p>
    <w:p>
      <w:pPr>
        <w:spacing w:after="0" w:line="169" w:lineRule="exact"/>
        <w:rPr>
          <w:sz w:val="20"/>
          <w:szCs w:val="20"/>
          <w:color w:val="auto"/>
        </w:rPr>
      </w:pPr>
    </w:p>
    <w:p>
      <w:pPr>
        <w:jc w:val="both"/>
        <w:ind w:firstLine="149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Prepayment Premium, all fees under the Fee Letter, and any other amounts Borrower owes the Collateral Agent or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in connection with this Agreement and the other Loan Documents, and the performance of Borrower’s duties under the Loan Documents.</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12"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90" w:lineRule="exact"/>
        <w:rPr>
          <w:sz w:val="20"/>
          <w:szCs w:val="20"/>
          <w:color w:val="auto"/>
        </w:rPr>
      </w:pPr>
    </w:p>
    <w:p>
      <w:pPr>
        <w:jc w:val="both"/>
        <w:ind w:firstLine="149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45"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80" w:lineRule="exact"/>
        <w:rPr>
          <w:sz w:val="20"/>
          <w:szCs w:val="20"/>
          <w:color w:val="auto"/>
        </w:rPr>
      </w:pPr>
    </w:p>
    <w:p>
      <w:pPr>
        <w:jc w:val="both"/>
        <w:ind w:right="20"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2"/>
          <w:szCs w:val="12"/>
          <w:color w:val="auto"/>
        </w:rPr>
        <w:t>st</w:t>
      </w:r>
      <w:r>
        <w:rPr>
          <w:rFonts w:ascii="Arial" w:cs="Arial" w:eastAsia="Arial" w:hAnsi="Arial"/>
          <w:sz w:val="18"/>
          <w:szCs w:val="18"/>
          <w:color w:val="auto"/>
        </w:rPr>
        <w:t>) calendar day of each calendar month, commencing on December 1, 2022.</w:t>
      </w:r>
    </w:p>
    <w:p>
      <w:pPr>
        <w:spacing w:after="0" w:line="212" w:lineRule="exact"/>
        <w:rPr>
          <w:sz w:val="20"/>
          <w:szCs w:val="20"/>
          <w:color w:val="auto"/>
        </w:rPr>
      </w:pPr>
    </w:p>
    <w:p>
      <w:pPr>
        <w:jc w:val="both"/>
        <w:ind w:right="20" w:firstLine="149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w:t>
      </w:r>
      <w:r>
        <w:rPr>
          <w:rFonts w:ascii="Arial" w:cs="Arial" w:eastAsia="Arial" w:hAnsi="Arial"/>
          <w:sz w:val="17"/>
          <w:szCs w:val="17"/>
          <w:color w:val="auto"/>
        </w:rPr>
        <w:t>” means any permit, approval, authorization, license, accreditation, certification, provider or supplier number, registration, certificate of authority, certificate of need, certificate of reimbursement, variance, qualification, filing or consent required under any Applicable Law.</w:t>
      </w:r>
    </w:p>
    <w:p>
      <w:pPr>
        <w:spacing w:after="0" w:line="126"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Call Spread Agreements</w:t>
      </w:r>
      <w:r>
        <w:rPr>
          <w:rFonts w:ascii="Arial" w:cs="Arial" w:eastAsia="Arial" w:hAnsi="Arial"/>
          <w:sz w:val="17"/>
          <w:szCs w:val="17"/>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in connection with the issuance of Permitted Convertible Debt (such transaction, a “</w:t>
      </w:r>
      <w:r>
        <w:rPr>
          <w:rFonts w:ascii="Arial" w:cs="Arial" w:eastAsia="Arial" w:hAnsi="Arial"/>
          <w:sz w:val="17"/>
          <w:szCs w:val="17"/>
          <w:b w:val="1"/>
          <w:bCs w:val="1"/>
          <w:color w:val="auto"/>
        </w:rPr>
        <w:t>Bond Hedge Transaction</w:t>
      </w:r>
      <w:r>
        <w:rPr>
          <w:rFonts w:ascii="Arial" w:cs="Arial" w:eastAsia="Arial" w:hAnsi="Arial"/>
          <w:sz w:val="17"/>
          <w:szCs w:val="17"/>
          <w:color w:val="auto"/>
        </w:rPr>
        <w:t>”) and/or (b) any call option transaction pursuant to which the Borrower issues to the counterparty thereto warrants to acquire common stock of the Borrower (or other securities or property following a merger event or other change of the common stock of the Borrower) (whether such warrant is settled in shares, cash or a combination thereof) entered into by the Borrower in connection with the issuance of Permitted Convertible Debt (such transaction, a “</w:t>
      </w:r>
      <w:r>
        <w:rPr>
          <w:rFonts w:ascii="Arial" w:cs="Arial" w:eastAsia="Arial" w:hAnsi="Arial"/>
          <w:sz w:val="17"/>
          <w:szCs w:val="17"/>
          <w:b w:val="1"/>
          <w:bCs w:val="1"/>
          <w:color w:val="auto"/>
        </w:rPr>
        <w:t>Warrant Transaction</w:t>
      </w:r>
      <w:r>
        <w:rPr>
          <w:rFonts w:ascii="Arial" w:cs="Arial" w:eastAsia="Arial" w:hAnsi="Arial"/>
          <w:sz w:val="17"/>
          <w:szCs w:val="17"/>
          <w:color w:val="auto"/>
        </w:rPr>
        <w:t>”); provided that (i) the terms, conditions and covenants of each such call option transaction are customary for agreements of such type, as determined by Borrower in good faith, (ii) the purchase price for such Bond Hedge Transaction, less the proceeds received by the Borrower from the sale of any related Warrant Transaction, does not exceed the net proceeds received by the Borrower from the issuance of the related Permitted Convertible Debt and (iii) in the case of clause (b) above, such call option transaction would be classified as an equity instrument in accordance with GAAP.</w:t>
      </w:r>
    </w:p>
    <w:p>
      <w:pPr>
        <w:spacing w:after="0" w:line="188"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Debt</w:t>
      </w:r>
      <w:r>
        <w:rPr>
          <w:rFonts w:ascii="Arial" w:cs="Arial" w:eastAsia="Arial" w:hAnsi="Arial"/>
          <w:sz w:val="18"/>
          <w:szCs w:val="18"/>
          <w:color w:val="auto"/>
        </w:rPr>
        <w:t>” is any unsecured notes issued by the Borrower that are convertible into a fixed number (subject to customary anti-dilution adjustments, “make-whole” increases and the other customary</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spacing w:after="0" w:line="273" w:lineRule="auto"/>
        <w:rPr>
          <w:sz w:val="20"/>
          <w:szCs w:val="20"/>
          <w:color w:val="auto"/>
        </w:rPr>
      </w:pPr>
      <w:r>
        <w:rPr>
          <w:rFonts w:ascii="Arial" w:cs="Arial" w:eastAsia="Arial" w:hAnsi="Arial"/>
          <w:sz w:val="16"/>
          <w:szCs w:val="16"/>
          <w:color w:val="auto"/>
        </w:rPr>
        <w:t>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provided that the Indebtedness thereunder must satisfy each of the following conditions: (i) both immediately prior to and after giving effect (including pro forma effect) thereto, no Event of Default shall exist or result therefrom, (ii) such Indebtedness matures after, and does not require any scheduled amortization or other scheduled or otherwise required payments of principal prior to, the date that is 180 calendar days after the Maturity Date (it being understood that neither (x) any provision requiring an offer to purchase such Indebtedness as a result of change of control or other fundamental change (for the avoidance of doubt, which change of control or fundamental change shall constitute a Material Adverse Change hereunder), which purchase is settled on a date no earlier than the date twenty (20) Business Days following the occurrence of such change of control or other fundamental change, nor (y) any early conversion of any Permitted Convertible Debt in accordance with the terms thereof, in each case, shall violate the foregoing restriction),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Arial" w:cs="Arial" w:eastAsia="Arial" w:hAnsi="Arial"/>
          <w:sz w:val="16"/>
          <w:szCs w:val="16"/>
          <w:b w:val="1"/>
          <w:bCs w:val="1"/>
          <w:color w:val="auto"/>
        </w:rPr>
        <w:t>Cross-Default</w:t>
      </w:r>
      <w:r>
        <w:rPr>
          <w:rFonts w:ascii="Arial" w:cs="Arial" w:eastAsia="Arial" w:hAnsi="Arial"/>
          <w:sz w:val="16"/>
          <w:szCs w:val="16"/>
          <w:color w:val="auto"/>
        </w:rPr>
        <w:t xml:space="preserve"> </w:t>
      </w:r>
      <w:r>
        <w:rPr>
          <w:rFonts w:ascii="Arial" w:cs="Arial" w:eastAsia="Arial" w:hAnsi="Arial"/>
          <w:sz w:val="16"/>
          <w:szCs w:val="16"/>
          <w:b w:val="1"/>
          <w:bCs w:val="1"/>
          <w:color w:val="auto"/>
        </w:rPr>
        <w:t>Reference Obligation</w:t>
      </w:r>
      <w:r>
        <w:rPr>
          <w:rFonts w:ascii="Arial" w:cs="Arial" w:eastAsia="Arial" w:hAnsi="Arial"/>
          <w:sz w:val="16"/>
          <w:szCs w:val="16"/>
          <w:color w:val="auto"/>
        </w:rPr>
        <w:t>”) contains a cure period of at least thirty (30) calendar days (after written notice to the issuer of such Indebtedness by the trustee or</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of such Indebtedness must be customary for convertible Indebtedness of such type (as determined by the board of directors of the Borrower, or a committee thereof, in good faith), and (v) such Indebtedness is not guaranteed by any Subsidiary of the Borrower unless the Obligations are also guaranteed by such Subsidiary on a secured basis.</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Borrower’s Indebtedness to the Lenders and Collateral Agent under this Agreement and the other Loan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96" w:lineRule="exact"/>
        <w:rPr>
          <w:sz w:val="20"/>
          <w:szCs w:val="20"/>
          <w:color w:val="auto"/>
        </w:rPr>
      </w:pPr>
    </w:p>
    <w:p>
      <w:pPr>
        <w:jc w:val="both"/>
        <w:ind w:firstLine="1505"/>
        <w:spacing w:after="0" w:line="256" w:lineRule="auto"/>
        <w:tabs>
          <w:tab w:leader="none" w:pos="29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 provided, that, to the extent that any such Indebtedness is of the type described in clause (f), (j), (m) or (o) below, then such Indebtedness shall also be deemed to be incurred, and reduce availability on a dollar-for-dollar basis, under such clause (f), (j), (m) or (o), as applicable;</w:t>
      </w:r>
    </w:p>
    <w:p>
      <w:pPr>
        <w:spacing w:after="0" w:line="174" w:lineRule="exact"/>
        <w:rPr>
          <w:rFonts w:ascii="Arial" w:cs="Arial" w:eastAsia="Arial" w:hAnsi="Arial"/>
          <w:sz w:val="18"/>
          <w:szCs w:val="18"/>
          <w:color w:val="auto"/>
        </w:rPr>
      </w:pPr>
    </w:p>
    <w:p>
      <w:pPr>
        <w:jc w:val="both"/>
        <w:ind w:firstLine="1505"/>
        <w:spacing w:after="0" w:line="245" w:lineRule="auto"/>
        <w:tabs>
          <w:tab w:leader="none" w:pos="29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solely to the extent that the ABL Lender is an Affiliate of SLR, Indebtedness under the ABL Loan Documents in an aggregate principal amount not to exceed an amount equal to the Activated Facility Commitment (as defined in the ABL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outstanding principal amount of ABL Loans and Term Loans shall not in the aggregate exceed (x) prior to satisfaction of the Initial Upsize Conditions, Two Hundred Million Dollars ($200,000,000.00) and (y) upon satisfaction of the Initial Upsize Conditions but prior to the satisfaction of the Second Upsize Condition, Two Hundred Fifty Million Dollars ($250,000,000.00);</w:t>
      </w:r>
    </w:p>
    <w:p>
      <w:pPr>
        <w:spacing w:after="0" w:line="199" w:lineRule="exact"/>
        <w:rPr>
          <w:rFonts w:ascii="Arial" w:cs="Arial" w:eastAsia="Arial" w:hAnsi="Arial"/>
          <w:sz w:val="18"/>
          <w:szCs w:val="18"/>
          <w:color w:val="auto"/>
        </w:rPr>
      </w:pPr>
    </w:p>
    <w:p>
      <w:pPr>
        <w:ind w:left="3000" w:hanging="1495"/>
        <w:spacing w:after="0"/>
        <w:tabs>
          <w:tab w:leader="none" w:pos="3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11" w:lineRule="exact"/>
        <w:rPr>
          <w:rFonts w:ascii="Arial" w:cs="Arial" w:eastAsia="Arial" w:hAnsi="Arial"/>
          <w:sz w:val="18"/>
          <w:szCs w:val="18"/>
          <w:color w:val="auto"/>
        </w:rPr>
      </w:pPr>
    </w:p>
    <w:p>
      <w:pPr>
        <w:jc w:val="both"/>
        <w:ind w:firstLine="1505"/>
        <w:spacing w:after="0" w:line="256" w:lineRule="auto"/>
        <w:tabs>
          <w:tab w:leader="none" w:pos="29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Convertible Debt in an aggregate principal amount not to exceed the greater of (i) Three Hundred Million Dollars ($300,000,000.00) and (ii) 20% of Borrower’s Market Capitalization (determined as of the date of pricing of such Permitted Convertible Debt).</w:t>
      </w:r>
    </w:p>
    <w:p>
      <w:pPr>
        <w:spacing w:after="0" w:line="17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6"/>
          <w:szCs w:val="16"/>
          <w:color w:val="auto"/>
        </w:rPr>
        <w:t>(f) Indebtedness consisting of capitalized lease obligations and purchase money Indebtedness, in each case incurred by Borrower or any of its Subsidiaries to finance the acquisition, repair, improvement or construction of fixed or capital assets or software of such person, provided that (i) the aggregate outstanding principal amount of all such Indebtedness does not exceed One Million Dollars ($1,000,000.00) at any time, and</w:t>
      </w:r>
    </w:p>
    <w:p>
      <w:pPr>
        <w:spacing w:after="0" w:line="2" w:lineRule="exact"/>
        <w:rPr>
          <w:sz w:val="20"/>
          <w:szCs w:val="20"/>
          <w:color w:val="auto"/>
        </w:rPr>
      </w:pPr>
    </w:p>
    <w:p>
      <w:pPr>
        <w:ind w:right="20" w:firstLine="8"/>
        <w:spacing w:after="0" w:line="303" w:lineRule="auto"/>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3000" w:hanging="1495"/>
        <w:spacing w:after="0"/>
        <w:tabs>
          <w:tab w:leader="none" w:pos="3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Borrower’s business;</w:t>
      </w:r>
    </w:p>
    <w:p>
      <w:pPr>
        <w:spacing w:after="0" w:line="209" w:lineRule="exact"/>
        <w:rPr>
          <w:rFonts w:ascii="Arial" w:cs="Arial" w:eastAsia="Arial" w:hAnsi="Arial"/>
          <w:sz w:val="17"/>
          <w:szCs w:val="17"/>
          <w:color w:val="auto"/>
        </w:rPr>
      </w:pPr>
    </w:p>
    <w:p>
      <w:pPr>
        <w:ind w:left="3000" w:hanging="1495"/>
        <w:spacing w:after="0"/>
        <w:tabs>
          <w:tab w:leader="none" w:pos="3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Guaranties of Permitted Indebtedness incurred in the ordinary course of business;</w:t>
      </w:r>
    </w:p>
    <w:p>
      <w:pPr>
        <w:sectPr>
          <w:pgSz w:w="11900" w:h="16838" w:orient="portrait"/>
          <w:cols w:equalWidth="0" w:num="1">
            <w:col w:w="11240"/>
          </w:cols>
          <w:pgMar w:left="320" w:top="125" w:right="339" w:bottom="1440" w:gutter="0" w:footer="0" w:header="0"/>
        </w:sectPr>
      </w:pP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“Permitted Investments”;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intercompany Indebtedness that constitutes a Permitted Investment under clauses (f), (i) or (l) of the term</w:t>
      </w:r>
    </w:p>
    <w:p>
      <w:pPr>
        <w:spacing w:after="0" w:line="407" w:lineRule="exact"/>
        <w:rPr>
          <w:sz w:val="20"/>
          <w:szCs w:val="20"/>
          <w:color w:val="auto"/>
        </w:rPr>
      </w:pPr>
    </w:p>
    <w:p>
      <w:pPr>
        <w:sectPr>
          <w:pgSz w:w="11900" w:h="16838" w:orient="portrait"/>
          <w:cols w:equalWidth="0" w:num="2">
            <w:col w:w="2280" w:space="720"/>
            <w:col w:w="8240"/>
          </w:cols>
          <w:pgMar w:left="320" w:top="125" w:right="339" w:bottom="1440" w:gutter="0" w:footer="0" w:header="0"/>
          <w:type w:val="continuous"/>
        </w:sectPr>
      </w:pPr>
    </w:p>
    <w:p>
      <w:pPr>
        <w:spacing w:after="0" w:line="3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6"/>
          <w:szCs w:val="16"/>
          <w:color w:val="auto"/>
        </w:rPr>
        <w:t>(j)</w:t>
      </w:r>
      <w:r>
        <w:rPr>
          <w:sz w:val="20"/>
          <w:szCs w:val="20"/>
          <w:color w:val="auto"/>
        </w:rPr>
        <w:tab/>
      </w:r>
      <w:r>
        <w:rPr>
          <w:rFonts w:ascii="Arial" w:cs="Arial" w:eastAsia="Arial" w:hAnsi="Arial"/>
          <w:sz w:val="16"/>
          <w:szCs w:val="16"/>
          <w:color w:val="auto"/>
        </w:rPr>
        <w:t>Indebtedness in respect of letters of credit, bank guarantees and similar instruments issued for the account of the</w:t>
      </w:r>
    </w:p>
    <w:p>
      <w:pPr>
        <w:sectPr>
          <w:pgSz w:w="11900" w:h="16838" w:orient="portrait"/>
          <w:cols w:equalWidth="0" w:num="1">
            <w:col w:w="11240"/>
          </w:cols>
          <w:pgMar w:left="320" w:top="125"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Borrower or any Subsidiary in the ordinary course of business not to exceed Five Million Dollars ($5,000,000.00);</w:t>
      </w:r>
    </w:p>
    <w:p>
      <w:pPr>
        <w:spacing w:after="0" w:line="188" w:lineRule="exact"/>
        <w:rPr>
          <w:sz w:val="20"/>
          <w:szCs w:val="20"/>
          <w:color w:val="auto"/>
        </w:rPr>
      </w:pPr>
    </w:p>
    <w:p>
      <w:pPr>
        <w:ind w:left="3000" w:hanging="1495"/>
        <w:spacing w:after="0"/>
        <w:tabs>
          <w:tab w:leader="none" w:pos="3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advances or deposits received in the ordinary course of business from customers or vendors;</w:t>
      </w:r>
    </w:p>
    <w:p>
      <w:pPr>
        <w:spacing w:after="0" w:line="225"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18"/>
          <w:szCs w:val="18"/>
          <w:color w:val="auto"/>
        </w:rPr>
        <w:t>(l) 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spacing w:after="0" w:line="201" w:lineRule="exact"/>
        <w:rPr>
          <w:sz w:val="20"/>
          <w:szCs w:val="20"/>
          <w:color w:val="auto"/>
        </w:rPr>
      </w:pPr>
    </w:p>
    <w:p>
      <w:pPr>
        <w:ind w:firstLine="1505"/>
        <w:spacing w:after="0" w:line="261" w:lineRule="auto"/>
        <w:tabs>
          <w:tab w:leader="none" w:pos="2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credit card Indebtedness for credit cards, purchasing or debit cards or other bank card programs not to exceed Two Million Dollars ($2,000,000.00) in the aggregate principal amount at any time outstanding;</w:t>
      </w:r>
    </w:p>
    <w:p>
      <w:pPr>
        <w:spacing w:after="0" w:line="170" w:lineRule="exact"/>
        <w:rPr>
          <w:rFonts w:ascii="Arial" w:cs="Arial" w:eastAsia="Arial" w:hAnsi="Arial"/>
          <w:sz w:val="18"/>
          <w:szCs w:val="18"/>
          <w:color w:val="auto"/>
        </w:rPr>
      </w:pPr>
    </w:p>
    <w:p>
      <w:pPr>
        <w:ind w:left="3000" w:hanging="1495"/>
        <w:spacing w:after="0"/>
        <w:tabs>
          <w:tab w:leader="none" w:pos="3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arising in connection with the financing of insurance premiums;</w:t>
      </w:r>
    </w:p>
    <w:p>
      <w:pPr>
        <w:spacing w:after="0" w:line="225" w:lineRule="exact"/>
        <w:rPr>
          <w:rFonts w:ascii="Arial" w:cs="Arial" w:eastAsia="Arial" w:hAnsi="Arial"/>
          <w:sz w:val="18"/>
          <w:szCs w:val="18"/>
          <w:color w:val="auto"/>
        </w:rPr>
      </w:pPr>
    </w:p>
    <w:p>
      <w:pPr>
        <w:ind w:firstLine="1505"/>
        <w:spacing w:after="0" w:line="261" w:lineRule="auto"/>
        <w:tabs>
          <w:tab w:leader="none" w:pos="2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with respect to performance bonds, appeal bonds and other similar obligations in an aggregate amount not to exceed Five Hundred Thousand Dollars ($500,000.00) at any time outstanding;</w:t>
      </w:r>
    </w:p>
    <w:p>
      <w:pPr>
        <w:spacing w:after="0" w:line="170" w:lineRule="exact"/>
        <w:rPr>
          <w:rFonts w:ascii="Arial" w:cs="Arial" w:eastAsia="Arial" w:hAnsi="Arial"/>
          <w:sz w:val="18"/>
          <w:szCs w:val="18"/>
          <w:color w:val="auto"/>
        </w:rPr>
      </w:pPr>
    </w:p>
    <w:p>
      <w:pPr>
        <w:ind w:left="3000" w:hanging="1495"/>
        <w:spacing w:after="0"/>
        <w:tabs>
          <w:tab w:leader="none" w:pos="3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Hedging Obligations incurred in the ordinary course of business not for speculative purposes;</w:t>
      </w:r>
    </w:p>
    <w:p>
      <w:pPr>
        <w:spacing w:after="0" w:line="225" w:lineRule="exact"/>
        <w:rPr>
          <w:rFonts w:ascii="Arial" w:cs="Arial" w:eastAsia="Arial" w:hAnsi="Arial"/>
          <w:sz w:val="18"/>
          <w:szCs w:val="18"/>
          <w:color w:val="auto"/>
        </w:rPr>
      </w:pPr>
    </w:p>
    <w:p>
      <w:pPr>
        <w:ind w:left="3000" w:hanging="1495"/>
        <w:spacing w:after="0"/>
        <w:tabs>
          <w:tab w:leader="none" w:pos="3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unsecured Indebtedness not to exceed One Million Dollars ($1,000,000.00) in aggregate principal amount at</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time outstanding; and</w:t>
      </w:r>
    </w:p>
    <w:p>
      <w:pPr>
        <w:spacing w:after="0" w:line="19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8"/>
          <w:szCs w:val="18"/>
          <w:color w:val="auto"/>
        </w:rPr>
        <w:t>(r) extensions, refinancings, modifications, amendments and restatements of any items of Permitted Indebtedness under clauses (a), (b) and (d) through (q) above, provided that the extended, refinanced, modified or amended Indebtedness otherwise constitutes Permitted Indebtedness.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3000" w:hanging="1495"/>
        <w:spacing w:after="0"/>
        <w:tabs>
          <w:tab w:leader="none" w:pos="3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 and existing on the Effective Date;</w:t>
      </w:r>
    </w:p>
    <w:p>
      <w:pPr>
        <w:spacing w:after="0" w:line="211" w:lineRule="exact"/>
        <w:rPr>
          <w:rFonts w:ascii="Arial" w:cs="Arial" w:eastAsia="Arial" w:hAnsi="Arial"/>
          <w:sz w:val="18"/>
          <w:szCs w:val="18"/>
          <w:color w:val="auto"/>
        </w:rPr>
      </w:pPr>
    </w:p>
    <w:p>
      <w:pPr>
        <w:ind w:left="3000" w:hanging="1495"/>
        <w:spacing w:after="0"/>
        <w:tabs>
          <w:tab w:leader="none" w:pos="3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Investments consisting of cash and Cash Equivalents, and (ii) any Investments permitted by Borrower’s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Policy;</w:t>
      </w:r>
    </w:p>
    <w:p>
      <w:pPr>
        <w:spacing w:after="0" w:line="196" w:lineRule="exact"/>
        <w:rPr>
          <w:sz w:val="20"/>
          <w:szCs w:val="20"/>
          <w:color w:val="auto"/>
        </w:rPr>
      </w:pPr>
    </w:p>
    <w:p>
      <w:pPr>
        <w:ind w:firstLine="1505"/>
        <w:spacing w:after="0" w:line="277" w:lineRule="auto"/>
        <w:tabs>
          <w:tab w:leader="none" w:pos="29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56" w:lineRule="exact"/>
        <w:rPr>
          <w:rFonts w:ascii="Arial" w:cs="Arial" w:eastAsia="Arial" w:hAnsi="Arial"/>
          <w:sz w:val="18"/>
          <w:szCs w:val="18"/>
          <w:color w:val="auto"/>
        </w:rPr>
      </w:pPr>
    </w:p>
    <w:p>
      <w:pPr>
        <w:ind w:firstLine="1505"/>
        <w:spacing w:after="0" w:line="261" w:lineRule="auto"/>
        <w:tabs>
          <w:tab w:leader="none" w:pos="29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consisting of Collateral Accounts in which Collateral Agent has a perfected Lien (subject to the terms of this Agreement) for the ratable benefit of the Secured Parties except as otherwise permitted by Section 6.6;</w:t>
      </w:r>
    </w:p>
    <w:p>
      <w:pPr>
        <w:spacing w:after="0" w:line="184" w:lineRule="exact"/>
        <w:rPr>
          <w:rFonts w:ascii="Arial" w:cs="Arial" w:eastAsia="Arial" w:hAnsi="Arial"/>
          <w:sz w:val="18"/>
          <w:szCs w:val="18"/>
          <w:color w:val="auto"/>
        </w:rPr>
      </w:pPr>
    </w:p>
    <w:p>
      <w:pPr>
        <w:ind w:left="3000" w:hanging="1495"/>
        <w:spacing w:after="0"/>
        <w:tabs>
          <w:tab w:leader="none" w:pos="3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Investments in connection with Transfers permitted by Section 7.1 and Investments permitted by Section 7.3;</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jc w:val="both"/>
        <w:ind w:firstLine="1497"/>
        <w:spacing w:after="0" w:line="249" w:lineRule="auto"/>
        <w:rPr>
          <w:sz w:val="20"/>
          <w:szCs w:val="20"/>
          <w:color w:val="auto"/>
        </w:rPr>
      </w:pPr>
      <w:r>
        <w:rPr>
          <w:rFonts w:ascii="Arial" w:cs="Arial" w:eastAsia="Arial" w:hAnsi="Arial"/>
          <w:sz w:val="18"/>
          <w:szCs w:val="18"/>
          <w:color w:val="auto"/>
        </w:rPr>
        <w:t>(f) 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Seven Hundred Fifty Thousand Dollars ($750,000.00) in the aggregate for all such Investments made pursuant to this clauses (f);</w:t>
      </w:r>
    </w:p>
    <w:p>
      <w:pPr>
        <w:spacing w:after="0" w:line="181" w:lineRule="exact"/>
        <w:rPr>
          <w:sz w:val="20"/>
          <w:szCs w:val="20"/>
          <w:color w:val="auto"/>
        </w:rPr>
      </w:pPr>
    </w:p>
    <w:p>
      <w:pPr>
        <w:jc w:val="both"/>
        <w:ind w:firstLine="1505"/>
        <w:spacing w:after="0" w:line="256" w:lineRule="auto"/>
        <w:tabs>
          <w:tab w:leader="none" w:pos="29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4" w:lineRule="exact"/>
        <w:rPr>
          <w:rFonts w:ascii="Arial" w:cs="Arial" w:eastAsia="Arial" w:hAnsi="Arial"/>
          <w:sz w:val="18"/>
          <w:szCs w:val="18"/>
          <w:color w:val="auto"/>
        </w:rPr>
      </w:pPr>
    </w:p>
    <w:p>
      <w:pPr>
        <w:jc w:val="both"/>
        <w:ind w:firstLine="1505"/>
        <w:spacing w:after="0" w:line="256" w:lineRule="auto"/>
        <w:tabs>
          <w:tab w:leader="none" w:pos="29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 and</w:t>
      </w:r>
    </w:p>
    <w:p>
      <w:pPr>
        <w:spacing w:after="0" w:line="175"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18"/>
          <w:szCs w:val="18"/>
          <w:color w:val="auto"/>
        </w:rPr>
        <w:t>(i) Investments made by Borrower or its Subsidiaries in Borrower or its Subsidiaries; provided that the amount of Investments by Borrower or Subsidiaries that are co-Borrowers or Guarantors in Subsidiaries that are not co-Borrowers or Guarantors, together with Transfers of assets by Borrower, co-Borrowers or Guarantors to Subsidiaries that are not co-Borrowers or Guarantors made in reliance on Section 7.1(g), shall not, in the aggregate, exceed Five Hundred Thousand Dollars ($500,000.00) per fiscal year;</w:t>
      </w:r>
    </w:p>
    <w:p>
      <w:pPr>
        <w:spacing w:after="0" w:line="181"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8"/>
          <w:szCs w:val="18"/>
          <w:color w:val="auto"/>
        </w:rPr>
        <w:t>(j) Investments in joint ventures, corporate collaborations or strategic alliances in the ordinary course of Borrower’s business permitted hereunder; provided that the aggregate amount for cash consideration for all such cash Investments do not exceed Five Hundred Thousand Dollars ($500,000.00) per fiscal year;</w:t>
      </w:r>
    </w:p>
    <w:p>
      <w:pPr>
        <w:spacing w:after="0" w:line="175" w:lineRule="exact"/>
        <w:rPr>
          <w:sz w:val="20"/>
          <w:szCs w:val="20"/>
          <w:color w:val="auto"/>
        </w:rPr>
      </w:pPr>
    </w:p>
    <w:p>
      <w:pPr>
        <w:ind w:left="3000" w:hanging="1495"/>
        <w:spacing w:after="0"/>
        <w:tabs>
          <w:tab w:leader="none" w:pos="3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Permitted Call Spread Agreements; and</w:t>
      </w:r>
    </w:p>
    <w:p>
      <w:pPr>
        <w:spacing w:after="0" w:line="22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7"/>
          <w:szCs w:val="17"/>
          <w:color w:val="auto"/>
        </w:rPr>
        <w:t>(l)</w:t>
      </w:r>
      <w:r>
        <w:rPr>
          <w:sz w:val="20"/>
          <w:szCs w:val="20"/>
          <w:color w:val="auto"/>
        </w:rPr>
        <w:tab/>
      </w:r>
      <w:r>
        <w:rPr>
          <w:rFonts w:ascii="Arial" w:cs="Arial" w:eastAsia="Arial" w:hAnsi="Arial"/>
          <w:sz w:val="17"/>
          <w:szCs w:val="17"/>
          <w:color w:val="auto"/>
        </w:rPr>
        <w:t>other Investments not exceed One Million Dollars ($1,000,000.00) in the aggregate during the term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92" w:lineRule="exact"/>
        <w:rPr>
          <w:sz w:val="20"/>
          <w:szCs w:val="20"/>
          <w:color w:val="auto"/>
        </w:rPr>
      </w:pPr>
    </w:p>
    <w:p>
      <w:pPr>
        <w:jc w:val="both"/>
        <w:ind w:firstLine="1498"/>
        <w:spacing w:after="0" w:line="21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Licenses</w:t>
      </w:r>
      <w:r>
        <w:rPr>
          <w:rFonts w:ascii="Arial" w:cs="Arial" w:eastAsia="Arial" w:hAnsi="Arial"/>
          <w:sz w:val="18"/>
          <w:szCs w:val="18"/>
          <w:color w:val="auto"/>
        </w:rPr>
        <w:t>” are: (A) licenses of over-the-counter software that is commercially available to the public; (B) non</w:t>
      </w:r>
      <w:r>
        <w:rPr>
          <w:rFonts w:ascii="MS PGothic" w:cs="MS PGothic" w:eastAsia="MS PGothic" w:hAnsi="MS PGothic"/>
          <w:sz w:val="18"/>
          <w:szCs w:val="18"/>
          <w:color w:val="auto"/>
        </w:rPr>
        <w:t>‑</w:t>
      </w:r>
      <w:r>
        <w:rPr>
          <w:rFonts w:ascii="Arial" w:cs="Arial" w:eastAsia="Arial" w:hAnsi="Arial"/>
          <w:sz w:val="18"/>
          <w:szCs w:val="18"/>
          <w:color w:val="auto"/>
        </w:rPr>
        <w:t xml:space="preserve">exclusive licenses for the use of the Intellectual Property of Borrower or any of its Subsidiaries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each such license described in clause (B), the license constitutes an arms</w:t>
      </w:r>
      <w:r>
        <w:rPr>
          <w:rFonts w:ascii="MS PGothic" w:cs="MS PGothic" w:eastAsia="MS PGothic" w:hAnsi="MS PGothic"/>
          <w:sz w:val="18"/>
          <w:szCs w:val="18"/>
          <w:color w:val="auto"/>
        </w:rPr>
        <w:t>‑</w:t>
      </w:r>
      <w:r>
        <w:rPr>
          <w:rFonts w:ascii="Arial" w:cs="Arial" w:eastAsia="Arial" w:hAnsi="Arial"/>
          <w:sz w:val="18"/>
          <w:szCs w:val="18"/>
          <w:color w:val="auto"/>
        </w:rPr>
        <w:t xml:space="preserve">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and (C) exclusive licenses for the use of the Intellectual Property of Borrower or any of its Subsidiaries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each such license described in this clause (C), the license (i) constitutes an arms</w:t>
      </w:r>
      <w:r>
        <w:rPr>
          <w:rFonts w:ascii="MS PGothic" w:cs="MS PGothic" w:eastAsia="MS PGothic" w:hAnsi="MS PGothic"/>
          <w:sz w:val="18"/>
          <w:szCs w:val="18"/>
          <w:color w:val="auto"/>
        </w:rPr>
        <w:t>‑</w:t>
      </w:r>
      <w:r>
        <w:rPr>
          <w:rFonts w:ascii="Arial" w:cs="Arial" w:eastAsia="Arial" w:hAnsi="Arial"/>
          <w:sz w:val="18"/>
          <w:szCs w:val="18"/>
          <w:color w:val="auto"/>
        </w:rPr>
        <w:t>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and (ii) is limited in territory with respect to a specific geographic country or region outside of the United States.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3000" w:hanging="1495"/>
        <w:spacing w:after="0"/>
        <w:tabs>
          <w:tab w:leader="none" w:pos="3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existing on the Effective Date and disclosed on the Perfection Certificate or arising under this Agreement</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other Loan Documents;</w:t>
      </w:r>
    </w:p>
    <w:p>
      <w:pPr>
        <w:spacing w:after="0" w:line="195" w:lineRule="exact"/>
        <w:rPr>
          <w:rFonts w:ascii="Arial" w:cs="Arial" w:eastAsia="Arial" w:hAnsi="Arial"/>
          <w:sz w:val="16"/>
          <w:szCs w:val="16"/>
          <w:color w:val="auto"/>
        </w:rPr>
      </w:pPr>
    </w:p>
    <w:p>
      <w:pPr>
        <w:ind w:firstLine="1505"/>
        <w:spacing w:after="0" w:line="277" w:lineRule="auto"/>
        <w:tabs>
          <w:tab w:leader="none" w:pos="29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solely to the extent that the ABL Lender is an Affiliate of SLR, Liens securing the ABL Obligations, so long as such Liens are subject to the terms of the Intercreditor Agreement;</w:t>
      </w:r>
    </w:p>
    <w:p>
      <w:pPr>
        <w:spacing w:after="0" w:line="156" w:lineRule="exact"/>
        <w:rPr>
          <w:rFonts w:ascii="Arial" w:cs="Arial" w:eastAsia="Arial" w:hAnsi="Arial"/>
          <w:sz w:val="18"/>
          <w:szCs w:val="18"/>
          <w:color w:val="auto"/>
        </w:rPr>
      </w:pPr>
    </w:p>
    <w:p>
      <w:pPr>
        <w:jc w:val="both"/>
        <w:ind w:firstLine="1505"/>
        <w:spacing w:after="0" w:line="249" w:lineRule="auto"/>
        <w:tabs>
          <w:tab w:leader="none" w:pos="29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by appropriate proceedings diligently conducted and for which Borrower maintains adequate reserves on Borrower’s Books in accordance with GAAP, provided that no notice of any such Lien has been filed or recorded under the Internal Revenue Code and the Treasury Regulations adopted thereunder;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both"/>
        <w:ind w:firstLine="1505"/>
        <w:spacing w:after="0" w:line="268" w:lineRule="auto"/>
        <w:tabs>
          <w:tab w:leader="none" w:pos="29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clauses (f) of the definition of “Permitted Indebtedness,” provided that, (i) such liens exist prior to the acquisition of, or attach substantially simultaneous with, or within 120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6" w:lineRule="exact"/>
        <w:rPr>
          <w:rFonts w:ascii="Arial" w:cs="Arial" w:eastAsia="Arial" w:hAnsi="Arial"/>
          <w:sz w:val="17"/>
          <w:szCs w:val="17"/>
          <w:color w:val="auto"/>
        </w:rPr>
      </w:pPr>
    </w:p>
    <w:p>
      <w:pPr>
        <w:jc w:val="both"/>
        <w:ind w:right="20" w:firstLine="1505"/>
        <w:spacing w:after="0" w:line="278" w:lineRule="auto"/>
        <w:tabs>
          <w:tab w:leader="none" w:pos="29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of carriers, warehousemen, landlords, suppliers, mechanics or other Persons that are possessory in nature arising in the ordinary course of business,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58" w:lineRule="exact"/>
        <w:rPr>
          <w:sz w:val="20"/>
          <w:szCs w:val="20"/>
          <w:color w:val="auto"/>
        </w:rPr>
      </w:pPr>
    </w:p>
    <w:p>
      <w:pPr>
        <w:jc w:val="both"/>
        <w:ind w:firstLine="1497"/>
        <w:spacing w:after="0" w:line="213" w:lineRule="exact"/>
        <w:rPr>
          <w:sz w:val="20"/>
          <w:szCs w:val="20"/>
          <w:color w:val="auto"/>
        </w:rPr>
      </w:pPr>
      <w:r>
        <w:rPr>
          <w:rFonts w:ascii="Arial" w:cs="Arial" w:eastAsia="Arial" w:hAnsi="Arial"/>
          <w:sz w:val="18"/>
          <w:szCs w:val="18"/>
          <w:color w:val="auto"/>
        </w:rPr>
        <w:t>(f) (i) Liens to secure payment of workers’ compensation, employment insurance, old</w:t>
      </w:r>
      <w:r>
        <w:rPr>
          <w:rFonts w:ascii="MS PGothic" w:cs="MS PGothic" w:eastAsia="MS PGothic" w:hAnsi="MS PGothic"/>
          <w:sz w:val="18"/>
          <w:szCs w:val="18"/>
          <w:color w:val="auto"/>
        </w:rPr>
        <w:t>‑</w:t>
      </w:r>
      <w:r>
        <w:rPr>
          <w:rFonts w:ascii="Arial" w:cs="Arial" w:eastAsia="Arial" w:hAnsi="Arial"/>
          <w:sz w:val="18"/>
          <w:szCs w:val="18"/>
          <w:color w:val="auto"/>
        </w:rPr>
        <w:t>age pensions, social security and other like obligations incurred in the ordinary course of business (other than Liens imposed by ERISA) and (ii) deposits in respect of letters of credit, bank guarantees or similar instruments issued for the account of Borrower or any Subsidiary in the ordinary course of business supporting obligations of the type set forth in clause (i) above;</w:t>
      </w:r>
    </w:p>
    <w:p>
      <w:pPr>
        <w:spacing w:after="0" w:line="191" w:lineRule="exact"/>
        <w:rPr>
          <w:sz w:val="20"/>
          <w:szCs w:val="20"/>
          <w:color w:val="auto"/>
        </w:rPr>
      </w:pPr>
    </w:p>
    <w:p>
      <w:pPr>
        <w:ind w:left="3000" w:hanging="1495"/>
        <w:spacing w:after="0"/>
        <w:tabs>
          <w:tab w:leader="none" w:pos="3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505"/>
        <w:spacing w:after="0" w:line="213" w:lineRule="exact"/>
        <w:tabs>
          <w:tab w:leader="none" w:pos="29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or any Subsidiary’s business (or, if referring to another Person, in the ordinary course of such Person’s business), and leases, subleases, non</w:t>
      </w:r>
      <w:r>
        <w:rPr>
          <w:rFonts w:ascii="MS PGothic" w:cs="MS PGothic" w:eastAsia="MS PGothic" w:hAnsi="MS PGothic"/>
          <w:sz w:val="16"/>
          <w:szCs w:val="16"/>
          <w:color w:val="auto"/>
        </w:rPr>
        <w:t>‑</w:t>
      </w:r>
      <w:r>
        <w:rPr>
          <w:rFonts w:ascii="Arial" w:cs="Arial" w:eastAsia="Arial" w:hAnsi="Arial"/>
          <w:sz w:val="16"/>
          <w:szCs w:val="16"/>
          <w:color w:val="auto"/>
        </w:rPr>
        <w:t>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90"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18"/>
          <w:szCs w:val="18"/>
          <w:color w:val="auto"/>
        </w:rPr>
        <w:t>(i) banker’s liens, rights of setoff and Liens in favor of financial institutions (including any restriction on the grant of security interest to any Person or other negative pledge requirements) incurred in the ordinary course of business arising in connection with Borrower’s deposit accounts or securities accounts held at such institutions or cash management services provided by such institutions provided such accounts are maintained in compliance with Section 6.6 hereof;</w:t>
      </w:r>
    </w:p>
    <w:p>
      <w:pPr>
        <w:spacing w:after="0" w:line="181" w:lineRule="exact"/>
        <w:rPr>
          <w:sz w:val="20"/>
          <w:szCs w:val="20"/>
          <w:color w:val="auto"/>
        </w:rPr>
      </w:pPr>
    </w:p>
    <w:p>
      <w:pPr>
        <w:jc w:val="both"/>
        <w:ind w:right="20" w:firstLine="1497"/>
        <w:spacing w:after="0" w:line="277" w:lineRule="auto"/>
        <w:rPr>
          <w:sz w:val="20"/>
          <w:szCs w:val="20"/>
          <w:color w:val="auto"/>
        </w:rPr>
      </w:pPr>
      <w:r>
        <w:rPr>
          <w:rFonts w:ascii="Arial" w:cs="Arial" w:eastAsia="Arial" w:hAnsi="Arial"/>
          <w:sz w:val="18"/>
          <w:szCs w:val="18"/>
          <w:color w:val="auto"/>
        </w:rPr>
        <w:t>(j) Liens arising from judgments, decrees or attachments in circumstances not constituting an Event of Default under Section 8.4 or 8.7; and</w:t>
      </w:r>
    </w:p>
    <w:p>
      <w:pPr>
        <w:spacing w:after="0" w:line="157" w:lineRule="exact"/>
        <w:rPr>
          <w:sz w:val="20"/>
          <w:szCs w:val="20"/>
          <w:color w:val="auto"/>
        </w:rPr>
      </w:pPr>
    </w:p>
    <w:p>
      <w:pPr>
        <w:ind w:left="3000" w:hanging="1495"/>
        <w:spacing w:after="0"/>
        <w:tabs>
          <w:tab w:leader="none" w:pos="3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21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8"/>
          <w:szCs w:val="18"/>
          <w:color w:val="auto"/>
        </w:rPr>
        <w:t>Security deposits under real property leases that are made in the ordinary course of business;</w:t>
      </w:r>
    </w:p>
    <w:p>
      <w:pPr>
        <w:spacing w:after="0" w:line="225" w:lineRule="exact"/>
        <w:rPr>
          <w:sz w:val="20"/>
          <w:szCs w:val="20"/>
          <w:color w:val="auto"/>
        </w:rPr>
      </w:pPr>
    </w:p>
    <w:p>
      <w:pPr>
        <w:jc w:val="both"/>
        <w:ind w:firstLine="1505"/>
        <w:spacing w:after="0" w:line="270" w:lineRule="auto"/>
        <w:tabs>
          <w:tab w:leader="none" w:pos="29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encumbrances on real property imposed by law or arising in the ordinary course of business, and other minor title imperfections with respect to real property that do not secure any monetary obligations and do not materially detract from the value of the affected property or interfere with the ordinary conduct of business of Borrower or any Subsidiary;</w:t>
      </w:r>
    </w:p>
    <w:p>
      <w:pPr>
        <w:spacing w:after="0" w:line="163" w:lineRule="exact"/>
        <w:rPr>
          <w:rFonts w:ascii="Arial" w:cs="Arial" w:eastAsia="Arial" w:hAnsi="Arial"/>
          <w:sz w:val="17"/>
          <w:szCs w:val="17"/>
          <w:color w:val="auto"/>
        </w:rPr>
      </w:pPr>
    </w:p>
    <w:p>
      <w:pPr>
        <w:ind w:left="3000" w:hanging="1495"/>
        <w:spacing w:after="0"/>
        <w:tabs>
          <w:tab w:leader="none" w:pos="3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Deposits to secure Indebtedness permitted under clauses (m), (n), (o) and (p) of the definition of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197" w:lineRule="exact"/>
        <w:rPr>
          <w:rFonts w:ascii="Arial" w:cs="Arial" w:eastAsia="Arial" w:hAnsi="Arial"/>
          <w:sz w:val="17"/>
          <w:szCs w:val="17"/>
          <w:color w:val="auto"/>
        </w:rPr>
      </w:pPr>
    </w:p>
    <w:p>
      <w:pPr>
        <w:ind w:left="3000" w:hanging="1495"/>
        <w:spacing w:after="0"/>
        <w:tabs>
          <w:tab w:leader="none" w:pos="3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on proceeds of insurance and unpaid premiums to secure Indebtedness permitted under clause (n) of the</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term “Permitted Indebtedness”;</w:t>
      </w:r>
    </w:p>
    <w:p>
      <w:pPr>
        <w:spacing w:after="0" w:line="209" w:lineRule="exact"/>
        <w:rPr>
          <w:rFonts w:ascii="Arial" w:cs="Arial" w:eastAsia="Arial" w:hAnsi="Arial"/>
          <w:sz w:val="16"/>
          <w:szCs w:val="16"/>
          <w:color w:val="auto"/>
        </w:rPr>
      </w:pPr>
    </w:p>
    <w:p>
      <w:pPr>
        <w:jc w:val="both"/>
        <w:ind w:firstLine="1505"/>
        <w:spacing w:after="0" w:line="249" w:lineRule="auto"/>
        <w:tabs>
          <w:tab w:leader="none" w:pos="2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the nature of deposits, or liens on deposit accounts, to secure (i) the performance of tenders, bids, trade and commercial contracts, licenses and leases, statutory obligations, surety bonds, performance bonds, bank guaranties and other obligations of a like nature incurred in the ordinary course of business or (ii) indemnification obligations relating to any disposition; provided that such Liens do no secure Indebtedness for borrowed money;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380" w:type="dxa"/>
            <w:vAlign w:val="bottom"/>
          </w:tcPr>
          <w:p>
            <w:pPr>
              <w:jc w:val="center"/>
              <w:ind w:left="750"/>
              <w:spacing w:after="0"/>
              <w:rPr>
                <w:sz w:val="20"/>
                <w:szCs w:val="20"/>
                <w:color w:val="auto"/>
              </w:rPr>
            </w:pPr>
            <w:r>
              <w:rPr>
                <w:rFonts w:ascii="Arial" w:cs="Arial" w:eastAsia="Arial" w:hAnsi="Arial"/>
                <w:sz w:val="18"/>
                <w:szCs w:val="18"/>
                <w:color w:val="auto"/>
                <w:w w:val="99"/>
              </w:rPr>
              <w:t>(q)</w:t>
            </w:r>
          </w:p>
        </w:tc>
        <w:tc>
          <w:tcPr>
            <w:tcW w:w="8860" w:type="dxa"/>
            <w:vAlign w:val="bottom"/>
          </w:tcPr>
          <w:p>
            <w:pPr>
              <w:ind w:left="620"/>
              <w:spacing w:after="0"/>
              <w:rPr>
                <w:sz w:val="20"/>
                <w:szCs w:val="20"/>
                <w:color w:val="auto"/>
              </w:rPr>
            </w:pPr>
            <w:r>
              <w:rPr>
                <w:rFonts w:ascii="Arial" w:cs="Arial" w:eastAsia="Arial" w:hAnsi="Arial"/>
                <w:sz w:val="18"/>
                <w:szCs w:val="18"/>
                <w:color w:val="auto"/>
              </w:rPr>
              <w:t>Liens on cash collateral securing Indebtedness permitted under clause (j) of the definition of Permitted</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Indebtedness;</w:t>
            </w:r>
          </w:p>
        </w:tc>
        <w:tc>
          <w:tcPr>
            <w:tcW w:w="8860" w:type="dxa"/>
            <w:vAlign w:val="bottom"/>
          </w:tcPr>
          <w:p>
            <w:pPr>
              <w:spacing w:after="0"/>
              <w:rPr>
                <w:sz w:val="20"/>
                <w:szCs w:val="20"/>
                <w:color w:val="auto"/>
              </w:rPr>
            </w:pPr>
          </w:p>
        </w:tc>
      </w:tr>
      <w:tr>
        <w:trPr>
          <w:trHeight w:val="432"/>
        </w:trPr>
        <w:tc>
          <w:tcPr>
            <w:tcW w:w="2380" w:type="dxa"/>
            <w:vAlign w:val="bottom"/>
          </w:tcPr>
          <w:p>
            <w:pPr>
              <w:jc w:val="center"/>
              <w:ind w:left="710"/>
              <w:spacing w:after="0"/>
              <w:rPr>
                <w:sz w:val="20"/>
                <w:szCs w:val="20"/>
                <w:color w:val="auto"/>
              </w:rPr>
            </w:pPr>
            <w:r>
              <w:rPr>
                <w:rFonts w:ascii="Arial" w:cs="Arial" w:eastAsia="Arial" w:hAnsi="Arial"/>
                <w:sz w:val="18"/>
                <w:szCs w:val="18"/>
                <w:color w:val="auto"/>
                <w:w w:val="99"/>
              </w:rPr>
              <w:t>(r)</w:t>
            </w:r>
          </w:p>
        </w:tc>
        <w:tc>
          <w:tcPr>
            <w:tcW w:w="8860" w:type="dxa"/>
            <w:vAlign w:val="bottom"/>
          </w:tcPr>
          <w:p>
            <w:pPr>
              <w:ind w:left="620"/>
              <w:spacing w:after="0"/>
              <w:rPr>
                <w:sz w:val="20"/>
                <w:szCs w:val="20"/>
                <w:color w:val="auto"/>
              </w:rPr>
            </w:pPr>
            <w:r>
              <w:rPr>
                <w:rFonts w:ascii="Arial" w:cs="Arial" w:eastAsia="Arial" w:hAnsi="Arial"/>
                <w:sz w:val="18"/>
                <w:szCs w:val="18"/>
                <w:color w:val="auto"/>
                <w:w w:val="91"/>
              </w:rPr>
              <w:t>Deposits as security for contested taxes or contested import or customs duties in the ordinary course of business;</w:t>
            </w:r>
          </w:p>
        </w:tc>
      </w:tr>
      <w:tr>
        <w:trPr>
          <w:trHeight w:val="391"/>
        </w:trPr>
        <w:tc>
          <w:tcPr>
            <w:tcW w:w="2380" w:type="dxa"/>
            <w:vAlign w:val="bottom"/>
          </w:tcPr>
          <w:p>
            <w:pPr>
              <w:jc w:val="center"/>
              <w:ind w:left="730"/>
              <w:spacing w:after="0"/>
              <w:rPr>
                <w:sz w:val="20"/>
                <w:szCs w:val="20"/>
                <w:color w:val="auto"/>
              </w:rPr>
            </w:pPr>
            <w:r>
              <w:rPr>
                <w:rFonts w:ascii="Arial" w:cs="Arial" w:eastAsia="Arial" w:hAnsi="Arial"/>
                <w:sz w:val="18"/>
                <w:szCs w:val="18"/>
                <w:color w:val="auto"/>
                <w:w w:val="95"/>
              </w:rPr>
              <w:t>(s)</w:t>
            </w:r>
          </w:p>
        </w:tc>
        <w:tc>
          <w:tcPr>
            <w:tcW w:w="8860" w:type="dxa"/>
            <w:vAlign w:val="bottom"/>
          </w:tcPr>
          <w:p>
            <w:pPr>
              <w:ind w:left="620"/>
              <w:spacing w:after="0"/>
              <w:rPr>
                <w:sz w:val="20"/>
                <w:szCs w:val="20"/>
                <w:color w:val="auto"/>
              </w:rPr>
            </w:pPr>
            <w:r>
              <w:rPr>
                <w:rFonts w:ascii="Arial" w:cs="Arial" w:eastAsia="Arial" w:hAnsi="Arial"/>
                <w:sz w:val="18"/>
                <w:szCs w:val="18"/>
                <w:color w:val="auto"/>
                <w:w w:val="91"/>
              </w:rPr>
              <w:t>Liens in favor of customs and revenue authorities arising as a matter of law to secure payment of customs duties</w:t>
            </w:r>
          </w:p>
        </w:tc>
      </w:tr>
      <w:tr>
        <w:trPr>
          <w:trHeight w:val="230"/>
        </w:trPr>
        <w:tc>
          <w:tcPr>
            <w:tcW w:w="11240" w:type="dxa"/>
            <w:vAlign w:val="bottom"/>
            <w:gridSpan w:val="2"/>
          </w:tcPr>
          <w:p>
            <w:pPr>
              <w:jc w:val="center"/>
              <w:ind w:right="7930"/>
              <w:spacing w:after="0"/>
              <w:rPr>
                <w:sz w:val="20"/>
                <w:szCs w:val="20"/>
                <w:color w:val="auto"/>
              </w:rPr>
            </w:pPr>
            <w:r>
              <w:rPr>
                <w:rFonts w:ascii="Arial" w:cs="Arial" w:eastAsia="Arial" w:hAnsi="Arial"/>
                <w:sz w:val="18"/>
                <w:szCs w:val="18"/>
                <w:color w:val="auto"/>
                <w:w w:val="93"/>
              </w:rPr>
              <w:t>in connection with the importation of goods;</w:t>
            </w:r>
          </w:p>
        </w:tc>
      </w:tr>
      <w:tr>
        <w:trPr>
          <w:trHeight w:val="404"/>
        </w:trPr>
        <w:tc>
          <w:tcPr>
            <w:tcW w:w="2380" w:type="dxa"/>
            <w:vAlign w:val="bottom"/>
          </w:tcPr>
          <w:p>
            <w:pPr>
              <w:jc w:val="center"/>
              <w:ind w:left="710"/>
              <w:spacing w:after="0"/>
              <w:rPr>
                <w:sz w:val="20"/>
                <w:szCs w:val="20"/>
                <w:color w:val="auto"/>
              </w:rPr>
            </w:pPr>
            <w:r>
              <w:rPr>
                <w:rFonts w:ascii="Arial" w:cs="Arial" w:eastAsia="Arial" w:hAnsi="Arial"/>
                <w:sz w:val="18"/>
                <w:szCs w:val="18"/>
                <w:color w:val="auto"/>
              </w:rPr>
              <w:t>(t)</w:t>
            </w:r>
          </w:p>
        </w:tc>
        <w:tc>
          <w:tcPr>
            <w:tcW w:w="8860" w:type="dxa"/>
            <w:vAlign w:val="bottom"/>
          </w:tcPr>
          <w:p>
            <w:pPr>
              <w:ind w:left="620"/>
              <w:spacing w:after="0"/>
              <w:rPr>
                <w:sz w:val="20"/>
                <w:szCs w:val="20"/>
                <w:color w:val="auto"/>
              </w:rPr>
            </w:pPr>
            <w:r>
              <w:rPr>
                <w:rFonts w:ascii="Arial" w:cs="Arial" w:eastAsia="Arial" w:hAnsi="Arial"/>
                <w:sz w:val="18"/>
                <w:szCs w:val="18"/>
                <w:color w:val="auto"/>
                <w:w w:val="96"/>
              </w:rPr>
              <w:t>Liens on cash collateral and deposits securing Indebtedness permitted under clause (m) of the definition of</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Permitted Indebtedness;</w:t>
            </w:r>
          </w:p>
        </w:tc>
        <w:tc>
          <w:tcPr>
            <w:tcW w:w="8860" w:type="dxa"/>
            <w:vAlign w:val="bottom"/>
          </w:tcPr>
          <w:p>
            <w:pPr>
              <w:spacing w:after="0"/>
              <w:rPr>
                <w:sz w:val="20"/>
                <w:szCs w:val="20"/>
                <w:color w:val="auto"/>
              </w:rPr>
            </w:pPr>
          </w:p>
        </w:tc>
      </w:tr>
    </w:tbl>
    <w:p>
      <w:pPr>
        <w:spacing w:after="0" w:line="188" w:lineRule="exact"/>
        <w:rPr>
          <w:sz w:val="20"/>
          <w:szCs w:val="20"/>
          <w:color w:val="auto"/>
        </w:rPr>
      </w:pPr>
    </w:p>
    <w:p>
      <w:pPr>
        <w:ind w:firstLine="1505"/>
        <w:spacing w:after="0" w:line="277" w:lineRule="auto"/>
        <w:tabs>
          <w:tab w:leader="none" w:pos="29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any agreement, grant or option to sell, transfer or dispose of any asset to the extent such sale, transfer or disposition is not prohibited by the Loan Documents;</w:t>
      </w:r>
    </w:p>
    <w:p>
      <w:pPr>
        <w:spacing w:after="0" w:line="156" w:lineRule="exact"/>
        <w:rPr>
          <w:rFonts w:ascii="Arial" w:cs="Arial" w:eastAsia="Arial" w:hAnsi="Arial"/>
          <w:sz w:val="18"/>
          <w:szCs w:val="18"/>
          <w:color w:val="auto"/>
        </w:rPr>
      </w:pPr>
    </w:p>
    <w:p>
      <w:pPr>
        <w:ind w:left="3000" w:hanging="1495"/>
        <w:spacing w:after="0"/>
        <w:tabs>
          <w:tab w:leader="none" w:pos="3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Liens securing obligations not exceeding One Million Dollars ($1,000,000.00) in the aggregate outstanding</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any time; and</w:t>
      </w:r>
    </w:p>
    <w:p>
      <w:pPr>
        <w:spacing w:after="0" w:line="195" w:lineRule="exact"/>
        <w:rPr>
          <w:rFonts w:ascii="Arial" w:cs="Arial" w:eastAsia="Arial" w:hAnsi="Arial"/>
          <w:sz w:val="16"/>
          <w:szCs w:val="16"/>
          <w:color w:val="auto"/>
        </w:rPr>
      </w:pPr>
    </w:p>
    <w:p>
      <w:pPr>
        <w:jc w:val="both"/>
        <w:ind w:firstLine="1505"/>
        <w:spacing w:after="0" w:line="256" w:lineRule="auto"/>
        <w:tabs>
          <w:tab w:leader="none" w:pos="29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clauses (a), (d), (o), (q) and (t) above,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Negative Pledges</w:t>
      </w:r>
      <w:r>
        <w:rPr>
          <w:rFonts w:ascii="Arial" w:cs="Arial" w:eastAsia="Arial" w:hAnsi="Arial"/>
          <w:sz w:val="18"/>
          <w:szCs w:val="18"/>
          <w:color w:val="auto"/>
        </w:rPr>
        <w:t>” means:</w:t>
      </w:r>
    </w:p>
    <w:p>
      <w:pPr>
        <w:spacing w:after="0" w:line="229" w:lineRule="exact"/>
        <w:rPr>
          <w:sz w:val="20"/>
          <w:szCs w:val="20"/>
          <w:color w:val="auto"/>
        </w:rPr>
      </w:pPr>
    </w:p>
    <w:p>
      <w:pPr>
        <w:ind w:firstLine="1505"/>
        <w:spacing w:after="0" w:line="324" w:lineRule="auto"/>
        <w:tabs>
          <w:tab w:leader="none" w:pos="29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prohibitions or limitations with regard to specific properties or assets encumbered by Permitted Liens pursuant to clause (d) of the “Permitted Liens” definition, if and only to the extent each such prohibition or limitation applies only to such properties or assets;</w:t>
      </w:r>
    </w:p>
    <w:p>
      <w:pPr>
        <w:spacing w:after="0" w:line="124" w:lineRule="exact"/>
        <w:rPr>
          <w:rFonts w:ascii="Arial" w:cs="Arial" w:eastAsia="Arial" w:hAnsi="Arial"/>
          <w:sz w:val="16"/>
          <w:szCs w:val="16"/>
          <w:color w:val="auto"/>
        </w:rPr>
      </w:pPr>
    </w:p>
    <w:p>
      <w:pPr>
        <w:ind w:left="3000" w:hanging="1495"/>
        <w:spacing w:after="0"/>
        <w:tabs>
          <w:tab w:leader="none" w:pos="3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prohibitions or limitations under the Loan Documents and the ABL Loan Documents;</w:t>
      </w:r>
    </w:p>
    <w:p>
      <w:pPr>
        <w:spacing w:after="0" w:line="225" w:lineRule="exact"/>
        <w:rPr>
          <w:rFonts w:ascii="Arial" w:cs="Arial" w:eastAsia="Arial" w:hAnsi="Arial"/>
          <w:sz w:val="18"/>
          <w:szCs w:val="18"/>
          <w:color w:val="auto"/>
        </w:rPr>
      </w:pPr>
    </w:p>
    <w:p>
      <w:pPr>
        <w:ind w:left="3000" w:hanging="1495"/>
        <w:spacing w:after="0"/>
        <w:tabs>
          <w:tab w:leader="none" w:pos="3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customary non-assignment provisions in any lease, license or other contract with respect to the assignment of</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contract;</w:t>
      </w:r>
    </w:p>
    <w:p>
      <w:pPr>
        <w:spacing w:after="0" w:line="195" w:lineRule="exact"/>
        <w:rPr>
          <w:rFonts w:ascii="Arial" w:cs="Arial" w:eastAsia="Arial" w:hAnsi="Arial"/>
          <w:sz w:val="16"/>
          <w:szCs w:val="16"/>
          <w:color w:val="auto"/>
        </w:rPr>
      </w:pPr>
    </w:p>
    <w:p>
      <w:pPr>
        <w:ind w:left="3000" w:hanging="1495"/>
        <w:spacing w:after="0"/>
        <w:tabs>
          <w:tab w:leader="none" w:pos="3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prohibitions or limitations imposed by Requirements of Law; and</w:t>
      </w:r>
    </w:p>
    <w:p>
      <w:pPr>
        <w:spacing w:after="0" w:line="225" w:lineRule="exact"/>
        <w:rPr>
          <w:rFonts w:ascii="Arial" w:cs="Arial" w:eastAsia="Arial" w:hAnsi="Arial"/>
          <w:sz w:val="18"/>
          <w:szCs w:val="18"/>
          <w:color w:val="auto"/>
        </w:rPr>
      </w:pPr>
    </w:p>
    <w:p>
      <w:pPr>
        <w:jc w:val="both"/>
        <w:ind w:firstLine="1505"/>
        <w:spacing w:after="0" w:line="248" w:lineRule="auto"/>
        <w:tabs>
          <w:tab w:leader="none" w:pos="29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customary prohibitions or limitations contained in any agreement relating to any Transfer permitted under Section 7.1 pending the consummation of such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prohibitions and/or limitations apply only to the property that is the subject of such Transfer and not to the proceeds to be received by Borrower or its Subsidiaries in connection with such Transfer.</w:t>
      </w:r>
    </w:p>
    <w:p>
      <w:pPr>
        <w:spacing w:after="0" w:line="191" w:lineRule="exact"/>
        <w:rPr>
          <w:sz w:val="20"/>
          <w:szCs w:val="20"/>
          <w:color w:val="auto"/>
        </w:rPr>
      </w:pPr>
    </w:p>
    <w:p>
      <w:pPr>
        <w:jc w:val="both"/>
        <w:ind w:right="20" w:firstLine="1498"/>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is defined in the Fee Letter.</w:t>
      </w:r>
    </w:p>
    <w:p>
      <w:pPr>
        <w:spacing w:after="0" w:line="21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69"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Revenue</w:t>
      </w:r>
      <w:r>
        <w:rPr>
          <w:rFonts w:ascii="Arial" w:cs="Arial" w:eastAsia="Arial" w:hAnsi="Arial"/>
          <w:sz w:val="18"/>
          <w:szCs w:val="18"/>
          <w:color w:val="auto"/>
        </w:rPr>
        <w:t>” means, as of the date of determination, the sum of “product revenue” and “service and other revenue” (each determined under GAAP) of Borrower and its Subsidiaries as such respective line items are reported on (x) for the first three fiscal quarters of any fiscal year, the most recently delivered financial statements (or deemed delivered) pursuant to Section 6.2(a)(ii) and (y) for the last fiscal quarter of any fiscal year, the most recently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right="20"/>
        <w:spacing w:after="0" w:line="261" w:lineRule="auto"/>
        <w:rPr>
          <w:sz w:val="20"/>
          <w:szCs w:val="20"/>
          <w:color w:val="auto"/>
        </w:rPr>
      </w:pPr>
      <w:r>
        <w:rPr>
          <w:rFonts w:ascii="Arial" w:cs="Arial" w:eastAsia="Arial" w:hAnsi="Arial"/>
          <w:sz w:val="18"/>
          <w:szCs w:val="18"/>
          <w:color w:val="auto"/>
        </w:rPr>
        <w:t>delivered financial statements (or deemed delivered) pursuant to Section 6.2(a)(iii) (in each case, excluding any one-time royalty payment or upfront fees, collaboration fees and other similar fees).</w:t>
      </w:r>
    </w:p>
    <w:p>
      <w:pPr>
        <w:spacing w:after="0" w:line="180"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Revenue Milestone I</w:t>
      </w:r>
      <w:r>
        <w:rPr>
          <w:rFonts w:ascii="Arial" w:cs="Arial" w:eastAsia="Arial" w:hAnsi="Arial"/>
          <w:sz w:val="18"/>
          <w:szCs w:val="18"/>
          <w:color w:val="auto"/>
        </w:rPr>
        <w:t>” is the achievement by Borrower, on or before June 30, 2024, of Product Revenue greater than or equal to [***], calculated on a trailing two-fiscal-quarter basis and based on the Product Revenue reported on the financial statements delivered (or deemed delivered) pursuant to Section 6.2.</w:t>
      </w:r>
    </w:p>
    <w:p>
      <w:pPr>
        <w:spacing w:after="0" w:line="190"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Revenue Milestone II</w:t>
      </w:r>
      <w:r>
        <w:rPr>
          <w:rFonts w:ascii="Arial" w:cs="Arial" w:eastAsia="Arial" w:hAnsi="Arial"/>
          <w:sz w:val="18"/>
          <w:szCs w:val="18"/>
          <w:color w:val="auto"/>
        </w:rPr>
        <w:t>” is the achievement by Borrower, on or before June 30, 2025, of Product Revenue greater than or equal to [***], calculated on a trailing two-fiscal-quarter basis and based on the Product Revenue reported on the financial statements delivered (or deemed delivered) pursuant to Section 6.2.</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1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Cash</w:t>
      </w:r>
      <w:r>
        <w:rPr>
          <w:rFonts w:ascii="Arial" w:cs="Arial" w:eastAsia="Arial" w:hAnsi="Arial"/>
          <w:sz w:val="18"/>
          <w:szCs w:val="18"/>
          <w:color w:val="auto"/>
        </w:rPr>
        <w:t>” means the amount of Borrower’s cash and Cash Equivalents held in accounts subject to a Control Agreement in favor of Collateral Agent.</w:t>
      </w:r>
    </w:p>
    <w:p>
      <w:pPr>
        <w:spacing w:after="0" w:line="16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Conditions</w:t>
      </w:r>
      <w:r>
        <w:rPr>
          <w:rFonts w:ascii="Arial" w:cs="Arial" w:eastAsia="Arial" w:hAnsi="Arial"/>
          <w:sz w:val="18"/>
          <w:szCs w:val="18"/>
          <w:color w:val="auto"/>
        </w:rPr>
        <w:t>” means, with respect to any redemption by the Borrower of any Permitted Convertible Debt, satisfaction of each of the following events: (a) no Default or Event of Default shall exist or result therefrom, and (b) both immediately before and after such redemption, Borrower’s Qualified Cash shall be no less than 150% of the outstanding Obligations at the time of such redemption.</w:t>
      </w:r>
    </w:p>
    <w:p>
      <w:pPr>
        <w:spacing w:after="0" w:line="169"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under the Code.</w:t>
      </w:r>
    </w:p>
    <w:p>
      <w:pPr>
        <w:spacing w:after="0" w:line="148" w:lineRule="exact"/>
        <w:rPr>
          <w:sz w:val="20"/>
          <w:szCs w:val="20"/>
          <w:color w:val="auto"/>
        </w:rPr>
      </w:pPr>
    </w:p>
    <w:p>
      <w:pPr>
        <w:jc w:val="both"/>
        <w:ind w:firstLine="149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Registrations</w:t>
      </w:r>
      <w:r>
        <w:rPr>
          <w:rFonts w:ascii="Arial" w:cs="Arial" w:eastAsia="Arial" w:hAnsi="Arial"/>
          <w:sz w:val="18"/>
          <w:szCs w:val="18"/>
          <w:color w:val="auto"/>
        </w:rPr>
        <w:t>” means all Permits and exemptions issued or allowed by a Regulatory Authority (including, without limitation medical device pre-market approval applications, medical device pre-market notifications, de novo classification requests, investigational device exemptions registrations and other comparable authorizations, CE Marks, pricing and reimbursement approvals, labeling approvals or their foreign equivalent, and wholesale distributor permits), including all supplements or amendments thereto, held by, or applied by contract to, Borrower or any of its Subsidiaries, that are required for the research, development, manufacture, distribution, marketing, storage, transportation, use and sale of any Property or products of Borrower or any such Subsidiary.</w:t>
      </w:r>
    </w:p>
    <w:p>
      <w:pPr>
        <w:spacing w:after="0" w:line="180" w:lineRule="exact"/>
        <w:rPr>
          <w:sz w:val="20"/>
          <w:szCs w:val="20"/>
          <w:color w:val="auto"/>
        </w:rPr>
      </w:pPr>
    </w:p>
    <w:p>
      <w:pPr>
        <w:jc w:val="both"/>
        <w:ind w:firstLine="1498"/>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Action</w:t>
      </w:r>
      <w:r>
        <w:rPr>
          <w:rFonts w:ascii="Arial" w:cs="Arial" w:eastAsia="Arial" w:hAnsi="Arial"/>
          <w:sz w:val="17"/>
          <w:szCs w:val="17"/>
          <w:color w:val="auto"/>
        </w:rPr>
        <w:t>” means an administrative, regulatory, or judicial enforcement action, proceeding, investigation or inspection, FDA Form-483 notice of inspectional observation, warning letter, untitled letter, other notice of violation letter, recall, seizure, Section 305 notice or other similar written communication, inspectional finding, injunction or consent decree, issued by the applicable Governmental Authority.</w:t>
      </w:r>
    </w:p>
    <w:p>
      <w:pPr>
        <w:spacing w:after="0" w:line="153"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90" w:lineRule="exact"/>
        <w:rPr>
          <w:sz w:val="20"/>
          <w:szCs w:val="20"/>
          <w:color w:val="auto"/>
        </w:rPr>
      </w:pPr>
    </w:p>
    <w:p>
      <w:pPr>
        <w:jc w:val="both"/>
        <w:ind w:firstLine="154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(i) for so long as all of the Persons that are Lenders on the Effective Date (each an “</w:t>
      </w:r>
      <w:r>
        <w:rPr>
          <w:rFonts w:ascii="Arial" w:cs="Arial" w:eastAsia="Arial" w:hAnsi="Arial"/>
          <w:sz w:val="18"/>
          <w:szCs w:val="18"/>
          <w:b w:val="1"/>
          <w:bCs w:val="1"/>
          <w:color w:val="auto"/>
        </w:rPr>
        <w:t>Original Lender</w:t>
      </w:r>
      <w:r>
        <w:rPr>
          <w:rFonts w:ascii="Arial" w:cs="Arial" w:eastAsia="Arial" w:hAnsi="Arial"/>
          <w:sz w:val="18"/>
          <w:szCs w:val="18"/>
          <w:color w:val="auto"/>
        </w:rPr>
        <w:t>”) have not assigned or transferred any of their interests in their Term Loan other than to an Affiliate of such Lender, Lenders holding one hundred percent (100%) of the aggregate outstanding principal balance of the Term Loan, or (ii) at any time from and after any Original Lender has assigned or transferred any interest in its Term Loan, Lenders holding at least fifty one percent (51%) of the aggregate outstanding principal balance of the Term Loan and, in respect of this clause (ii), (A) each Original Lender that has not assigned or transferred any portion of its Term Loan, and (B) each assignee or transferee of an Original Lender’s interest in the Term Loan, but only to the extent that such assignee or transferee is an Affiliate or Approved Fund of such Original Lender.</w:t>
      </w:r>
    </w:p>
    <w:p>
      <w:pPr>
        <w:spacing w:after="0" w:line="181"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final and non-appealable determination of a court or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both"/>
        <w:ind w:right="20"/>
        <w:spacing w:after="0" w:line="261" w:lineRule="auto"/>
        <w:rPr>
          <w:sz w:val="20"/>
          <w:szCs w:val="20"/>
          <w:color w:val="auto"/>
        </w:rPr>
      </w:pPr>
      <w:r>
        <w:rPr>
          <w:rFonts w:ascii="Arial" w:cs="Arial" w:eastAsia="Arial" w:hAnsi="Arial"/>
          <w:sz w:val="18"/>
          <w:szCs w:val="18"/>
          <w:color w:val="auto"/>
        </w:rPr>
        <w:t>other Governmental Authority, in each case applicable to or binding upon such Person or any of its property or to which such Person or any of its property is subject.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Effective Date and ending on August 22, 2024.</w:t>
      </w:r>
    </w:p>
    <w:p>
      <w:pPr>
        <w:spacing w:after="0" w:line="21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Upsize Conditions</w:t>
      </w:r>
      <w:r>
        <w:rPr>
          <w:rFonts w:ascii="Arial" w:cs="Arial" w:eastAsia="Arial" w:hAnsi="Arial"/>
          <w:sz w:val="18"/>
          <w:szCs w:val="18"/>
          <w:color w:val="auto"/>
        </w:rPr>
        <w:t>” are satisfaction of each of the following: (a) no Default or Event of Default shall have occurred and is continuing and (b) on or before August 15, 2025, Borrower shall have provided evidence to Collateral Agent satisfactory to Collateral Agent that Borrower has achieved the Product Revenue Milestone II.</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the Collateral Agent and the Lenders.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is any “securities account” as defined in the Code with such additions to such term as may hereafter be made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under the Code.</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Administrator</w:t>
      </w:r>
      <w:r>
        <w:rPr>
          <w:rFonts w:ascii="Arial" w:cs="Arial" w:eastAsia="Arial" w:hAnsi="Arial"/>
          <w:sz w:val="17"/>
          <w:szCs w:val="17"/>
          <w:color w:val="auto"/>
        </w:rPr>
        <w:t>” means the Federal Reserve Bank of New York (or a successor administrator of the secured overnight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financing rate).</w:t>
      </w:r>
    </w:p>
    <w:p>
      <w:pPr>
        <w:spacing w:after="0" w:line="193"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Person, that (a) the fair value of such Person’s consolidated assets (including goodwill) exceeds the fair value of such Person’s liabilities, (b) such Person is not left with unreasonably small capital giving effect to the transactions contemplated by this Agreement and the other Loan Documents, and (c) such Person is able to pay its debts (including trade debts) as they mature in the ordinary course.</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Account</w:t>
      </w:r>
      <w:r>
        <w:rPr>
          <w:rFonts w:ascii="Arial" w:cs="Arial" w:eastAsia="Arial" w:hAnsi="Arial"/>
          <w:sz w:val="18"/>
          <w:szCs w:val="18"/>
          <w:color w:val="auto"/>
        </w:rPr>
        <w:t>” is defined in Section 3.5(b).</w:t>
      </w:r>
    </w:p>
    <w:p>
      <w:pPr>
        <w:spacing w:after="0" w:line="21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69" w:lineRule="exact"/>
        <w:rPr>
          <w:sz w:val="20"/>
          <w:szCs w:val="20"/>
          <w:color w:val="auto"/>
        </w:rPr>
      </w:pPr>
    </w:p>
    <w:p>
      <w:pPr>
        <w:jc w:val="both"/>
        <w:ind w:firstLine="149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6"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76" w:lineRule="exact"/>
        <w:rPr>
          <w:sz w:val="20"/>
          <w:szCs w:val="20"/>
          <w:color w:val="auto"/>
        </w:rPr>
      </w:pPr>
    </w:p>
    <w:p>
      <w:pPr>
        <w:jc w:val="both"/>
        <w:ind w:firstLine="737"/>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SOFR</w:t>
      </w:r>
      <w:r>
        <w:rPr>
          <w:rFonts w:ascii="Arial" w:cs="Arial" w:eastAsia="Arial" w:hAnsi="Arial"/>
          <w:sz w:val="17"/>
          <w:szCs w:val="17"/>
          <w:color w:val="auto"/>
        </w:rPr>
        <w:t>” means the greater of (x) the Term SOFR Reference Rate for a one-month tenor on the first day of the applicable interest period (which, with respect to the initial interest period commencing on the Effective Date and ending on the first Payment Date occurring thereafter, shall be the Effective Date) (such day, the “</w:t>
      </w:r>
      <w:r>
        <w:rPr>
          <w:rFonts w:ascii="Arial" w:cs="Arial" w:eastAsia="Arial" w:hAnsi="Arial"/>
          <w:sz w:val="17"/>
          <w:szCs w:val="17"/>
          <w:b w:val="1"/>
          <w:bCs w:val="1"/>
          <w:color w:val="auto"/>
        </w:rPr>
        <w:t>Periodic Term SOFR Determination Day</w:t>
      </w:r>
      <w:r>
        <w:rPr>
          <w:rFonts w:ascii="Arial" w:cs="Arial" w:eastAsia="Arial" w:hAnsi="Arial"/>
          <w:sz w:val="17"/>
          <w:szCs w:val="17"/>
          <w:color w:val="auto"/>
        </w:rPr>
        <w:t>”), as such rate is published by the Term SOFR Administrator; provided, however, that if as of 5:00 p.m. (New York City time) on any Periodic Term SOFR Determination Day the Term SOFR Reference Rate for such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(y) 2.75% per annum.</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both"/>
        <w:ind w:right="20" w:firstLine="73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Administrator</w:t>
      </w:r>
      <w:r>
        <w:rPr>
          <w:rFonts w:ascii="Arial" w:cs="Arial" w:eastAsia="Arial" w:hAnsi="Arial"/>
          <w:sz w:val="18"/>
          <w:szCs w:val="18"/>
          <w:color w:val="auto"/>
        </w:rPr>
        <w:t>” means CME Group Benchmark Administration Limited (CBA) (or a successor administrator of the Term SOFR Reference Rate selected by the Collateral Agent in its reasonable discretion).</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Reference Rate</w:t>
      </w:r>
      <w:r>
        <w:rPr>
          <w:rFonts w:ascii="Arial" w:cs="Arial" w:eastAsia="Arial" w:hAnsi="Arial"/>
          <w:sz w:val="18"/>
          <w:szCs w:val="18"/>
          <w:color w:val="auto"/>
        </w:rPr>
        <w:t>” means the forward-looking term rate based on SOFR.</w:t>
      </w:r>
    </w:p>
    <w:p>
      <w:pPr>
        <w:spacing w:after="0" w:line="22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Conditions</w:t>
      </w:r>
      <w:r>
        <w:rPr>
          <w:rFonts w:ascii="Arial" w:cs="Arial" w:eastAsia="Arial" w:hAnsi="Arial"/>
          <w:sz w:val="18"/>
          <w:szCs w:val="18"/>
          <w:color w:val="auto"/>
        </w:rPr>
        <w:t>” are satisfaction of each of the following: (a) the Second Upsize Conditions, (b) Borrower shall have delivered to Collateral Agent written notice requesting Term C Loans and (c) each Lender shall have received credit committee approval (in such credit committee’s sole discretion).</w:t>
      </w:r>
    </w:p>
    <w:p>
      <w:pPr>
        <w:spacing w:after="0" w:line="190"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commencing on the date on which the Third Draw Conditions have been satisfied and ending on the date that is one Business Day prior to the Maturity Date.</w:t>
      </w:r>
    </w:p>
    <w:p>
      <w:pPr>
        <w:spacing w:after="0" w:line="162"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69" w:lineRule="exact"/>
        <w:rPr>
          <w:sz w:val="20"/>
          <w:szCs w:val="20"/>
          <w:color w:val="auto"/>
        </w:rPr>
      </w:pPr>
    </w:p>
    <w:p>
      <w:pPr>
        <w:jc w:val="both"/>
        <w:ind w:firstLine="1498"/>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TRICARE</w:t>
      </w:r>
      <w:r>
        <w:rPr>
          <w:rFonts w:ascii="Arial" w:cs="Arial" w:eastAsia="Arial" w:hAnsi="Arial"/>
          <w:sz w:val="16"/>
          <w:szCs w:val="16"/>
          <w:color w:val="auto"/>
        </w:rPr>
        <w:t>” means, collectively, the program of medical benefits covering former and active members of the uniformed services and certain of their dependents, financed and administered by the United States Department of Defense, Health and Human Services and Transportation, and all Requirements of Law pertaining to such program, in each case as the same may be amended, supplemented or otherwise modified from time to time.</w:t>
      </w:r>
    </w:p>
    <w:p>
      <w:pPr>
        <w:spacing w:after="0" w:line="136"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Unqualified Opinion</w:t>
      </w:r>
      <w:r>
        <w:rPr>
          <w:rFonts w:ascii="Arial" w:cs="Arial" w:eastAsia="Arial" w:hAnsi="Arial"/>
          <w:sz w:val="18"/>
          <w:szCs w:val="18"/>
          <w:color w:val="auto"/>
        </w:rPr>
        <w:t>” means an opinion on financial statements from an independent certified public accounting firm acceptable to Collateral Agent in its reasonable discretion which opinion shall not include any qualifications or any going concern limitations other than customary qualifications related to debt maturities within one year of the applicable maturity date.</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Transaction</w:t>
      </w:r>
      <w:r>
        <w:rPr>
          <w:rFonts w:ascii="Arial" w:cs="Arial" w:eastAsia="Arial" w:hAnsi="Arial"/>
          <w:sz w:val="18"/>
          <w:szCs w:val="18"/>
          <w:color w:val="auto"/>
        </w:rPr>
        <w:t>” has the meaning assigned to such term in the definition of “Permitted Call Spread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to Borrower by such Lender and accrued and unpaid interest thereon and any other amounts due hereunder as and when due in accordance with this Agreement.</w:t>
      </w:r>
    </w:p>
    <w:p>
      <w:pPr>
        <w:spacing w:after="0" w:line="17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Loans</w:t>
      </w:r>
      <w:r>
        <w:rPr>
          <w:rFonts w:ascii="Arial" w:cs="Arial" w:eastAsia="Arial" w:hAnsi="Arial"/>
          <w:sz w:val="16"/>
          <w:szCs w:val="16"/>
          <w:color w:val="auto"/>
        </w:rPr>
        <w:t>.</w:t>
      </w:r>
    </w:p>
    <w:p>
      <w:pPr>
        <w:spacing w:after="0" w:line="229" w:lineRule="exact"/>
        <w:rPr>
          <w:sz w:val="20"/>
          <w:szCs w:val="20"/>
          <w:color w:val="auto"/>
        </w:rPr>
      </w:pPr>
    </w:p>
    <w:p>
      <w:pPr>
        <w:ind w:left="3000" w:hanging="1495"/>
        <w:spacing w:after="0"/>
        <w:tabs>
          <w:tab w:leader="none" w:pos="30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12" w:lineRule="exact"/>
        <w:rPr>
          <w:sz w:val="20"/>
          <w:szCs w:val="20"/>
          <w:color w:val="auto"/>
        </w:rPr>
      </w:pPr>
    </w:p>
    <w:p>
      <w:pPr>
        <w:jc w:val="both"/>
        <w:ind w:left="280" w:firstLine="2246"/>
        <w:spacing w:after="0" w:line="213" w:lineRule="exact"/>
        <w:rPr>
          <w:sz w:val="20"/>
          <w:szCs w:val="20"/>
          <w:color w:val="auto"/>
        </w:rPr>
      </w:pPr>
      <w:r>
        <w:rPr>
          <w:rFonts w:ascii="Arial" w:cs="Arial" w:eastAsia="Arial" w:hAnsi="Arial"/>
          <w:sz w:val="18"/>
          <w:szCs w:val="18"/>
          <w:color w:val="auto"/>
        </w:rPr>
        <w:t xml:space="preserve">(i) Subject to the terms and conditions of this Agreement, the Lenders agree, severally and not jointly, to make term loans to Borrower on the Effective Date in an aggregate principal amount of One Hundred Million Dollars ($100,000,000.00)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color w:val="auto"/>
        </w:rPr>
        <w:t>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 Loans</w:t>
      </w:r>
      <w:r>
        <w:rPr>
          <w:rFonts w:ascii="Arial" w:cs="Arial" w:eastAsia="Arial" w:hAnsi="Arial"/>
          <w:sz w:val="18"/>
          <w:szCs w:val="18"/>
          <w:color w:val="auto"/>
        </w:rPr>
        <w:t>”). After repayment, no Term A Loan may be re</w:t>
      </w:r>
      <w:r>
        <w:rPr>
          <w:rFonts w:ascii="MS PGothic" w:cs="MS PGothic" w:eastAsia="MS PGothic" w:hAnsi="MS PGothic"/>
          <w:sz w:val="18"/>
          <w:szCs w:val="18"/>
          <w:color w:val="auto"/>
        </w:rPr>
        <w:t>‑</w:t>
      </w:r>
      <w:r>
        <w:rPr>
          <w:rFonts w:ascii="Arial" w:cs="Arial" w:eastAsia="Arial" w:hAnsi="Arial"/>
          <w:sz w:val="18"/>
          <w:szCs w:val="18"/>
          <w:color w:val="auto"/>
        </w:rPr>
        <w:t>borrowed.</w:t>
      </w:r>
    </w:p>
    <w:p>
      <w:pPr>
        <w:spacing w:after="0" w:line="191" w:lineRule="exact"/>
        <w:rPr>
          <w:sz w:val="20"/>
          <w:szCs w:val="20"/>
          <w:color w:val="auto"/>
        </w:rPr>
      </w:pPr>
    </w:p>
    <w:p>
      <w:pPr>
        <w:jc w:val="both"/>
        <w:ind w:left="280" w:firstLine="2246"/>
        <w:spacing w:after="0" w:line="249" w:lineRule="auto"/>
        <w:rPr>
          <w:sz w:val="20"/>
          <w:szCs w:val="20"/>
          <w:color w:val="auto"/>
        </w:rPr>
      </w:pPr>
      <w:r>
        <w:rPr>
          <w:rFonts w:ascii="Arial" w:cs="Arial" w:eastAsia="Arial" w:hAnsi="Arial"/>
          <w:sz w:val="18"/>
          <w:szCs w:val="18"/>
          <w:color w:val="auto"/>
        </w:rPr>
        <w:t>(ii) Subject to the terms and conditions of this Agreement, the Lenders agree, severally and not jointly, during the Second Draw Period, to make term loans to Borrower in an aggregate principal amount of up to One Hundred Million Dollars ($100,000,000.00) in minimum increments of Twenty Million Dollars ($20,000,000.00) according to each Lender’s Term B Loan Commitment as set forth on Schedule 1.1 hereto (such</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right="20"/>
        <w:spacing w:after="0" w:line="219" w:lineRule="exact"/>
        <w:rPr>
          <w:sz w:val="20"/>
          <w:szCs w:val="20"/>
          <w:color w:val="auto"/>
        </w:rPr>
      </w:pPr>
      <w:r>
        <w:rPr>
          <w:rFonts w:ascii="Arial" w:cs="Arial" w:eastAsia="Arial" w:hAnsi="Arial"/>
          <w:sz w:val="18"/>
          <w:szCs w:val="18"/>
          <w:color w:val="auto"/>
        </w:rPr>
        <w:t>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After repayment, no Term B Loan may be re</w:t>
      </w:r>
      <w:r>
        <w:rPr>
          <w:rFonts w:ascii="MS PGothic" w:cs="MS PGothic" w:eastAsia="MS PGothic" w:hAnsi="MS PGothic"/>
          <w:sz w:val="18"/>
          <w:szCs w:val="18"/>
          <w:color w:val="auto"/>
        </w:rPr>
        <w:t>‑</w:t>
      </w:r>
      <w:r>
        <w:rPr>
          <w:rFonts w:ascii="Arial" w:cs="Arial" w:eastAsia="Arial" w:hAnsi="Arial"/>
          <w:sz w:val="18"/>
          <w:szCs w:val="18"/>
          <w:color w:val="auto"/>
        </w:rPr>
        <w:t>borrowed.</w:t>
      </w:r>
    </w:p>
    <w:p>
      <w:pPr>
        <w:spacing w:after="0" w:line="202" w:lineRule="exact"/>
        <w:rPr>
          <w:sz w:val="20"/>
          <w:szCs w:val="20"/>
          <w:color w:val="auto"/>
        </w:rPr>
      </w:pPr>
    </w:p>
    <w:p>
      <w:pPr>
        <w:jc w:val="both"/>
        <w:ind w:firstLine="2246"/>
        <w:spacing w:after="0" w:line="209" w:lineRule="exact"/>
        <w:rPr>
          <w:sz w:val="20"/>
          <w:szCs w:val="20"/>
          <w:color w:val="auto"/>
        </w:rPr>
      </w:pPr>
      <w:r>
        <w:rPr>
          <w:rFonts w:ascii="Arial" w:cs="Arial" w:eastAsia="Arial" w:hAnsi="Arial"/>
          <w:sz w:val="18"/>
          <w:szCs w:val="18"/>
          <w:color w:val="auto"/>
        </w:rPr>
        <w:t>(iii) Subject to the terms and conditions of this Agreement, and conditioned on approval by the Lenders’ investment committee in its sole and unfettered discretion, Borrower may request, during the Third Draw Period, additional term loans in an aggregate principal amount of up to Fifty Million Dollars ($50,000,000.00) (such term loans are hereinafter referred to singly as a “</w:t>
      </w:r>
      <w:r>
        <w:rPr>
          <w:rFonts w:ascii="Arial" w:cs="Arial" w:eastAsia="Arial" w:hAnsi="Arial"/>
          <w:sz w:val="18"/>
          <w:szCs w:val="18"/>
          <w:b w:val="1"/>
          <w:bCs w:val="1"/>
          <w:color w:val="auto"/>
        </w:rPr>
        <w:t>Term C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C Loans</w:t>
      </w:r>
      <w:r>
        <w:rPr>
          <w:rFonts w:ascii="Arial" w:cs="Arial" w:eastAsia="Arial" w:hAnsi="Arial"/>
          <w:sz w:val="18"/>
          <w:szCs w:val="18"/>
          <w:color w:val="auto"/>
        </w:rPr>
        <w:t>”; each Term A Loan, Term B Loan or Term C Loan is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the Term A Loans, the Term B Loans and the Term C Loans are hereinafter referred to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 After repayment, no Term C Loan may be re</w:t>
      </w:r>
      <w:r>
        <w:rPr>
          <w:rFonts w:ascii="MS PGothic" w:cs="MS PGothic" w:eastAsia="MS PGothic" w:hAnsi="MS PGothic"/>
          <w:sz w:val="18"/>
          <w:szCs w:val="18"/>
          <w:color w:val="auto"/>
        </w:rPr>
        <w:t>‑</w:t>
      </w:r>
      <w:r>
        <w:rPr>
          <w:rFonts w:ascii="Arial" w:cs="Arial" w:eastAsia="Arial" w:hAnsi="Arial"/>
          <w:sz w:val="18"/>
          <w:szCs w:val="18"/>
          <w:color w:val="auto"/>
        </w:rPr>
        <w:t>borrowed.</w:t>
      </w:r>
    </w:p>
    <w:p>
      <w:pPr>
        <w:spacing w:after="0" w:line="206" w:lineRule="exact"/>
        <w:rPr>
          <w:sz w:val="20"/>
          <w:szCs w:val="20"/>
          <w:color w:val="auto"/>
        </w:rPr>
      </w:pPr>
    </w:p>
    <w:p>
      <w:pPr>
        <w:jc w:val="both"/>
        <w:ind w:firstLine="2246"/>
        <w:spacing w:after="0" w:line="245" w:lineRule="auto"/>
        <w:rPr>
          <w:sz w:val="20"/>
          <w:szCs w:val="20"/>
          <w:color w:val="auto"/>
        </w:rPr>
      </w:pPr>
      <w:r>
        <w:rPr>
          <w:rFonts w:ascii="Arial" w:cs="Arial" w:eastAsia="Arial" w:hAnsi="Arial"/>
          <w:sz w:val="18"/>
          <w:szCs w:val="18"/>
          <w:color w:val="auto"/>
        </w:rPr>
        <w:t>(iv) Notwithstanding anything to the contrary herein or in any Loan Document, in no event shall the aggregate principal amount of Term Loans and ABL Loans outstanding exceed (and no Lender shall be obligated to fund any Term Loans if the funding of such Term Loan would cause the aggregate principal amount of Term Loans and ABL Loans outstanding to exceed) (x) prior to satisfaction of the Initial Upsize Conditions, Two Hundred Million Dollars ($200,000,000.00) and (y) upon satisfaction of the Initial Upsize Conditions but prior to the satisfaction of the Second Upsize Condition, Two Hundred Fifty Million Dollars ($250,000,000.00).</w:t>
      </w:r>
    </w:p>
    <w:p>
      <w:pPr>
        <w:spacing w:after="0" w:line="186" w:lineRule="exact"/>
        <w:rPr>
          <w:sz w:val="20"/>
          <w:szCs w:val="20"/>
          <w:color w:val="auto"/>
        </w:rPr>
      </w:pPr>
    </w:p>
    <w:p>
      <w:pPr>
        <w:jc w:val="both"/>
        <w:ind w:left="-280" w:firstLine="1505"/>
        <w:spacing w:after="0" w:line="258" w:lineRule="auto"/>
        <w:tabs>
          <w:tab w:leader="none" w:pos="271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w:t>
      </w:r>
      <w:r>
        <w:rPr>
          <w:rFonts w:ascii="Arial" w:cs="Arial" w:eastAsia="Arial" w:hAnsi="Arial"/>
          <w:sz w:val="11"/>
          <w:szCs w:val="11"/>
          <w:color w:val="auto"/>
        </w:rPr>
        <w:t>st</w:t>
      </w:r>
      <w:r>
        <w:rPr>
          <w:rFonts w:ascii="Arial" w:cs="Arial" w:eastAsia="Arial" w:hAnsi="Arial"/>
          <w:sz w:val="17"/>
          <w:szCs w:val="17"/>
          <w:color w:val="auto"/>
        </w:rPr>
        <w:t>) Payment Date following the Funding Date of each Term Loan, and continuing on the Payment Date of each successive month thereafter through and including the Payment Date immediately preceding the Amortization Date. Commencing on the Amortization Date, and continuing on the Payment Date of each month thereafter, Borrower shall (i) make monthly payments of interest, to each Lender in accordance with its Pro Rata Share, as calculated by Collateral Agent (which calculations shall be deemed correct absent manifest error) based upon the effective rate of interest applicable to the Term Loan, as determined in Section 2.3(a) plus (ii) make consecutive equal monthly payments of principal to each Lender in accordance with its Pro Rata Share, as calculated by Collateral Agent (which calculations shall be deemed correct absent manifest error) based upon: (A) the respective principal amounts of such Lender’s Term Loans outstanding, and (B) a repayment schedule equal to the number of months remaining from the Amortization Date through the Maturity Date. All unpaid principal and accrued and unpaid interest with respect to each such Term Loan is due and payable in full on the Maturity Date. The Term Loans may only be prepaid in accordance with Sections 2.2(c) and 2.2(d).</w:t>
      </w:r>
    </w:p>
    <w:p>
      <w:pPr>
        <w:spacing w:after="0" w:line="180" w:lineRule="exact"/>
        <w:rPr>
          <w:rFonts w:ascii="Arial" w:cs="Arial" w:eastAsia="Arial" w:hAnsi="Arial"/>
          <w:sz w:val="17"/>
          <w:szCs w:val="17"/>
          <w:color w:val="auto"/>
        </w:rPr>
      </w:pPr>
    </w:p>
    <w:p>
      <w:pPr>
        <w:jc w:val="both"/>
        <w:ind w:left="-280" w:firstLine="1505"/>
        <w:spacing w:after="0" w:line="258" w:lineRule="auto"/>
        <w:tabs>
          <w:tab w:leader="none" w:pos="271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If the Term Loans are accelerated (including, but not limited to, upon the occurrence of a bankruptcy or insolvency event (including the acceleration of claims by operation of law)), Borrower shall immediately pay to Lenders, payable to each Lender in accordance with its respective Pro Rata Share, an amount equal to the sum of: (i) all outstanding principal of the Term Loans plus accrued and unpaid interest thereon through the prepayment date, (ii) any fees payable under the Fee Letter by reason of such prepayment, (iii) the Prepayment Premium, plus (iv) all other Obligations that are due and payable, including Lenders’ Expenses and interest at the Default Rate with respect to any past due amounts. Notwithstanding (but without duplication with) the foregoing, on the Maturity Date, if any fees payable under the Fee Letter by reason of such prepayments had not previously been paid in full in connection with the prepayment of the Term Loans in full, Borrower shall pay to each Lender in accordance with the terms of the Fee Letter. The Prepayment Premium shall also be payable in the event the Obligations (and/or this Agreement) are satisfied or released by foreclosure (whether by power of judicial proceeding), deed in lieu of foreclosure or by any other means. EACH BORROWER AND GUARANTOR EXPRESSLY WAIVES (TO THE FULLEST EXTENT IT MAY LAWFULLY DO SO) THE PROVISIONS OF ANY PRESENT OR FUTURE STATUTE OR LAW THAT PROHIBITS OR MAY PROHIBIT THE COLLECTION OF THE FOREGOING PREPAYMENT PREMIUM IN CONNECTION WITH ANY SUCH ACCELERATION.</w:t>
      </w:r>
    </w:p>
    <w:p>
      <w:pPr>
        <w:spacing w:after="0" w:line="178" w:lineRule="exact"/>
        <w:rPr>
          <w:rFonts w:ascii="Arial" w:cs="Arial" w:eastAsia="Arial" w:hAnsi="Arial"/>
          <w:sz w:val="17"/>
          <w:szCs w:val="17"/>
          <w:color w:val="auto"/>
        </w:rPr>
      </w:pPr>
    </w:p>
    <w:p>
      <w:pPr>
        <w:jc w:val="both"/>
        <w:ind w:left="-280" w:firstLine="1505"/>
        <w:spacing w:after="0" w:line="244" w:lineRule="auto"/>
        <w:tabs>
          <w:tab w:leader="none" w:pos="271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r>
        <w:rPr>
          <w:rFonts w:ascii="Arial" w:cs="Arial" w:eastAsia="Arial" w:hAnsi="Arial"/>
          <w:sz w:val="18"/>
          <w:szCs w:val="18"/>
          <w:color w:val="auto"/>
        </w:rPr>
        <w:t>. Borrower shall have the option to prepay all, but not less than all of the outstanding principal balance of the Term Loans advanced by the Lenders under this Agreement, provided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 the sum of (A) the outstanding principal of the Term Loans plus accrued and unpaid interest thereon through the prepayment date, (B) any fees payable under the Fee Letter by reason of such prepayment, (C) the Prepayment Premium relating to the prepaid outstanding principal, plus (D) all other Obligations that are due and payable on such prepayment date, including any</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52" w:name="page53"/>
    <w:bookmarkEnd w:id="52"/>
    <w:p>
      <w:pPr>
        <w:jc w:val="both"/>
        <w:spacing w:after="0" w:line="249" w:lineRule="auto"/>
        <w:rPr>
          <w:sz w:val="20"/>
          <w:szCs w:val="20"/>
          <w:color w:val="auto"/>
        </w:rPr>
      </w:pPr>
      <w:r>
        <w:rPr>
          <w:rFonts w:ascii="Arial" w:cs="Arial" w:eastAsia="Arial" w:hAnsi="Arial"/>
          <w:sz w:val="18"/>
          <w:szCs w:val="18"/>
          <w:color w:val="auto"/>
        </w:rPr>
        <w:t>Lenders’ Expenses and interest at the Default Rate (if any) with respect to any past due amounts. Notwithstanding the foregoing, any notice of a prepayment delivered by Borrower may state that such notice is conditioned upon the effectiveness of other credit facilities or other transactions or events specified therein, in which case such notice may be revoked by Borrower (by notice to the Collateral Agent on or prior to the specified effective date) if such condition is not satisfied.</w:t>
      </w:r>
    </w:p>
    <w:p>
      <w:pPr>
        <w:spacing w:after="0" w:line="17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Term Loans</w:t>
      </w:r>
      <w:r>
        <w:rPr>
          <w:rFonts w:ascii="Arial" w:cs="Arial" w:eastAsia="Arial" w:hAnsi="Arial"/>
          <w:sz w:val="16"/>
          <w:szCs w:val="16"/>
          <w:color w:val="auto"/>
        </w:rPr>
        <w:t>.</w:t>
      </w:r>
    </w:p>
    <w:p>
      <w:pPr>
        <w:spacing w:after="0" w:line="229" w:lineRule="exact"/>
        <w:rPr>
          <w:sz w:val="20"/>
          <w:szCs w:val="20"/>
          <w:color w:val="auto"/>
        </w:rPr>
      </w:pPr>
    </w:p>
    <w:p>
      <w:pPr>
        <w:jc w:val="both"/>
        <w:ind w:firstLine="1505"/>
        <w:spacing w:after="0" w:line="243" w:lineRule="auto"/>
        <w:tabs>
          <w:tab w:leader="none" w:pos="29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2.3(b), the principal amount outstanding under the Term Loans shall accrue interest at a floating per annum rate equal to Term SOFR plus the Applicable Rate, which aggregate interest rate shall be determined by Collateral Agent pursuant to the definition of Term SOFR, which interest shall be payable monthly in arrears 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spacing w:after="0" w:line="187" w:lineRule="exact"/>
        <w:rPr>
          <w:rFonts w:ascii="Arial" w:cs="Arial" w:eastAsia="Arial" w:hAnsi="Arial"/>
          <w:sz w:val="18"/>
          <w:szCs w:val="18"/>
          <w:color w:val="auto"/>
        </w:rPr>
      </w:pPr>
    </w:p>
    <w:p>
      <w:pPr>
        <w:jc w:val="both"/>
        <w:ind w:firstLine="1505"/>
        <w:spacing w:after="0" w:line="268" w:lineRule="auto"/>
        <w:tabs>
          <w:tab w:leader="none" w:pos="299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all Obligations shall accrue interest at a fixed per annum rate equal to the rate that is otherwise applicable thereto plus four percentage points (4.00%)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Payment or acceptance of the increased interest rate provided in this Section 2.3(b) is not a permitted alternative to timely payment and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waiver of any Event of Default or otherwise prejudice or limit any rights or remedies of Collateral Agent.</w:t>
      </w:r>
    </w:p>
    <w:p>
      <w:pPr>
        <w:spacing w:after="0" w:line="179" w:lineRule="exact"/>
        <w:rPr>
          <w:rFonts w:ascii="Arial" w:cs="Arial" w:eastAsia="Arial" w:hAnsi="Arial"/>
          <w:sz w:val="17"/>
          <w:szCs w:val="17"/>
          <w:color w:val="auto"/>
        </w:rPr>
      </w:pPr>
    </w:p>
    <w:p>
      <w:pPr>
        <w:ind w:left="3000" w:hanging="1495"/>
        <w:spacing w:after="0" w:line="196" w:lineRule="exact"/>
        <w:tabs>
          <w:tab w:leader="none" w:pos="30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360</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Day Year</w:t>
      </w:r>
      <w:r>
        <w:rPr>
          <w:rFonts w:ascii="Arial" w:cs="Arial" w:eastAsia="Arial" w:hAnsi="Arial"/>
          <w:sz w:val="17"/>
          <w:szCs w:val="17"/>
          <w:color w:val="auto"/>
        </w:rPr>
        <w:t>.  Interest shall be computed on the basis of a three hundred sixty (360) day year for the actual</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number of days elapsed.</w:t>
      </w:r>
    </w:p>
    <w:p>
      <w:pPr>
        <w:spacing w:after="0" w:line="195" w:lineRule="exact"/>
        <w:rPr>
          <w:rFonts w:ascii="Arial" w:cs="Arial" w:eastAsia="Arial" w:hAnsi="Arial"/>
          <w:sz w:val="17"/>
          <w:szCs w:val="17"/>
          <w:color w:val="auto"/>
        </w:rPr>
      </w:pPr>
    </w:p>
    <w:p>
      <w:pPr>
        <w:jc w:val="both"/>
        <w:ind w:firstLine="1505"/>
        <w:spacing w:after="0" w:line="216" w:lineRule="exact"/>
        <w:tabs>
          <w:tab w:leader="none" w:pos="29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w:t>
      </w:r>
      <w:r>
        <w:rPr>
          <w:rFonts w:ascii="MS PGothic" w:cs="MS PGothic" w:eastAsia="MS PGothic" w:hAnsi="MS PGothic"/>
          <w:sz w:val="18"/>
          <w:szCs w:val="18"/>
          <w:color w:val="auto"/>
        </w:rPr>
        <w:t>‑</w:t>
      </w:r>
      <w:r>
        <w:rPr>
          <w:rFonts w:ascii="Arial" w:cs="Arial" w:eastAsia="Arial" w:hAnsi="Arial"/>
          <w:sz w:val="18"/>
          <w:szCs w:val="18"/>
          <w:color w:val="auto"/>
        </w:rPr>
        <w:t>off.</w:t>
      </w:r>
    </w:p>
    <w:p>
      <w:pPr>
        <w:spacing w:after="0" w:line="190" w:lineRule="exact"/>
        <w:rPr>
          <w:rFonts w:ascii="Arial" w:cs="Arial" w:eastAsia="Arial" w:hAnsi="Arial"/>
          <w:sz w:val="18"/>
          <w:szCs w:val="18"/>
          <w:color w:val="auto"/>
        </w:rPr>
      </w:pPr>
    </w:p>
    <w:p>
      <w:pPr>
        <w:jc w:val="both"/>
        <w:ind w:firstLine="1505"/>
        <w:spacing w:after="0" w:line="210" w:lineRule="exact"/>
        <w:tabs>
          <w:tab w:leader="none" w:pos="299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Person’s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w:t>
      </w:r>
      <w:r>
        <w:rPr>
          <w:rFonts w:ascii="MS PGothic" w:cs="MS PGothic" w:eastAsia="MS PGothic" w:hAnsi="MS PGothic"/>
          <w:sz w:val="17"/>
          <w:szCs w:val="17"/>
          <w:color w:val="auto"/>
        </w:rPr>
        <w:t>‑</w:t>
      </w:r>
      <w:r>
        <w:rPr>
          <w:rFonts w:ascii="Arial" w:cs="Arial" w:eastAsia="Arial" w:hAnsi="Arial"/>
          <w:sz w:val="17"/>
          <w:szCs w:val="17"/>
          <w:color w:val="auto"/>
        </w:rPr>
        <w:t>off, recoupment or counterclaim, in lawful money of the United States and in immediately available funds. Collateral Agent may at its discretion and with prior notice of at least one (1) Business Day, initiate debit entries to Borrower’s account as authorized on the ACH Letter (i) on each payment date of all Obligations then due and owing, (ii) at any time any payment due and owing with respect to Lender Expenses, and (iii) upon an Event of Default, any other Obligations outstanding.</w:t>
      </w:r>
    </w:p>
    <w:p>
      <w:pPr>
        <w:spacing w:after="0" w:line="188"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SOFR Conforming Changes</w:t>
      </w:r>
      <w:r>
        <w:rPr>
          <w:rFonts w:ascii="Arial" w:cs="Arial" w:eastAsia="Arial" w:hAnsi="Arial"/>
          <w:sz w:val="18"/>
          <w:szCs w:val="18"/>
          <w:color w:val="auto"/>
        </w:rPr>
        <w:t>. In connection with the use or administration of Term SOFR,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Collateral Agent will promptly notify Borrower and the Lenders of the effectiveness of any Conforming Changes in connection with the use or administration of Term SOFR.</w:t>
      </w:r>
    </w:p>
    <w:p>
      <w:pPr>
        <w:spacing w:after="0" w:line="178"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8"/>
          <w:szCs w:val="18"/>
          <w:b w:val="1"/>
          <w:bCs w:val="1"/>
          <w:color w:val="auto"/>
        </w:rPr>
        <w:t xml:space="preserve">2.4 Fees. </w:t>
      </w:r>
      <w:r>
        <w:rPr>
          <w:rFonts w:ascii="Arial" w:cs="Arial" w:eastAsia="Arial" w:hAnsi="Arial"/>
          <w:sz w:val="18"/>
          <w:szCs w:val="18"/>
          <w:color w:val="auto"/>
        </w:rPr>
        <w:t>Borrower shall pay to Collateral Agent and/or Lenders (as applicable) the following fees, which shall be deemed fully earned</w:t>
      </w:r>
      <w:r>
        <w:rPr>
          <w:rFonts w:ascii="Arial" w:cs="Arial" w:eastAsia="Arial" w:hAnsi="Arial"/>
          <w:sz w:val="18"/>
          <w:szCs w:val="18"/>
          <w:b w:val="1"/>
          <w:bCs w:val="1"/>
          <w:color w:val="auto"/>
        </w:rPr>
        <w:t xml:space="preserve"> </w:t>
      </w:r>
      <w:r>
        <w:rPr>
          <w:rFonts w:ascii="Arial" w:cs="Arial" w:eastAsia="Arial" w:hAnsi="Arial"/>
          <w:sz w:val="18"/>
          <w:szCs w:val="18"/>
          <w:color w:val="auto"/>
        </w:rPr>
        <w:t>and non-refundable upon payment: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firstLine="1505"/>
        <w:spacing w:after="0" w:line="261" w:lineRule="auto"/>
        <w:tabs>
          <w:tab w:leader="none" w:pos="29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Fee Letter</w:t>
      </w:r>
      <w:r>
        <w:rPr>
          <w:rFonts w:ascii="Arial" w:cs="Arial" w:eastAsia="Arial" w:hAnsi="Arial"/>
          <w:sz w:val="18"/>
          <w:szCs w:val="18"/>
          <w:color w:val="auto"/>
        </w:rPr>
        <w:t>. When due and payable under the terms of the Fee Letter, to Collateral Agent and each Lender, as applicable, the fees set forth in the Fee Letter.</w:t>
      </w:r>
    </w:p>
    <w:p>
      <w:pPr>
        <w:spacing w:after="0" w:line="184" w:lineRule="exact"/>
        <w:rPr>
          <w:rFonts w:ascii="Arial" w:cs="Arial" w:eastAsia="Arial" w:hAnsi="Arial"/>
          <w:sz w:val="18"/>
          <w:szCs w:val="18"/>
          <w:color w:val="auto"/>
        </w:rPr>
      </w:pPr>
    </w:p>
    <w:p>
      <w:pPr>
        <w:ind w:left="3000" w:hanging="1495"/>
        <w:spacing w:after="0"/>
        <w:tabs>
          <w:tab w:leader="none" w:pos="30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firstLine="1505"/>
        <w:spacing w:after="0" w:line="261" w:lineRule="auto"/>
        <w:tabs>
          <w:tab w:leader="none" w:pos="29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reimbursable Lenders’ Expenses (including reasonable attorneys’ fees and expenses for documentation and negotiation of this Agreement) incurred through and after the Effective Date, when due.</w:t>
      </w:r>
    </w:p>
    <w:p>
      <w:pPr>
        <w:spacing w:after="0" w:line="180"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2.5 Taxes; Increased Costs. </w:t>
      </w:r>
      <w:r>
        <w:rPr>
          <w:rFonts w:ascii="Arial" w:cs="Arial" w:eastAsia="Arial" w:hAnsi="Arial"/>
          <w:sz w:val="18"/>
          <w:szCs w:val="18"/>
          <w:color w:val="auto"/>
        </w:rPr>
        <w:t>Borrower, Collateral Agent and the Lenders each hereby agree to the terms and conditions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attached hereto.</w:t>
      </w:r>
    </w:p>
    <w:p>
      <w:pPr>
        <w:spacing w:after="0" w:line="16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6"/>
          <w:szCs w:val="16"/>
          <w:b w:val="1"/>
          <w:bCs w:val="1"/>
          <w:color w:val="auto"/>
        </w:rPr>
        <w:t xml:space="preserve">2.6 Secured Promissory Notes. </w:t>
      </w:r>
      <w:r>
        <w:rPr>
          <w:rFonts w:ascii="Arial" w:cs="Arial" w:eastAsia="Arial" w:hAnsi="Arial"/>
          <w:sz w:val="16"/>
          <w:szCs w:val="16"/>
          <w:color w:val="auto"/>
        </w:rPr>
        <w:t>If requested by a Lender, the Term Loans shall be evidenced by a Secured Promissory Note or notes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form attached as Exhibit H hereto (each a “</w:t>
      </w:r>
      <w:r>
        <w:rPr>
          <w:rFonts w:ascii="Arial" w:cs="Arial" w:eastAsia="Arial" w:hAnsi="Arial"/>
          <w:sz w:val="16"/>
          <w:szCs w:val="16"/>
          <w:b w:val="1"/>
          <w:bCs w:val="1"/>
          <w:color w:val="auto"/>
        </w:rPr>
        <w:t>Secured Promissory Note</w:t>
      </w:r>
      <w:r>
        <w:rPr>
          <w:rFonts w:ascii="Arial" w:cs="Arial" w:eastAsia="Arial" w:hAnsi="Arial"/>
          <w:sz w:val="16"/>
          <w:szCs w:val="16"/>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absent manifest error,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3.1 Conditions Precedent to Effective Date and Term A Loan. </w:t>
      </w:r>
      <w:r>
        <w:rPr>
          <w:rFonts w:ascii="Arial" w:cs="Arial" w:eastAsia="Arial" w:hAnsi="Arial"/>
          <w:sz w:val="18"/>
          <w:szCs w:val="18"/>
          <w:color w:val="auto"/>
        </w:rPr>
        <w:t>This Agreement becoming effective, and each Lender’s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 Term A Loan, is subject to the 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1" w:lineRule="exact"/>
        <w:rPr>
          <w:sz w:val="20"/>
          <w:szCs w:val="20"/>
          <w:color w:val="auto"/>
        </w:rPr>
      </w:pPr>
    </w:p>
    <w:p>
      <w:pPr>
        <w:ind w:left="3000" w:hanging="1495"/>
        <w:spacing w:after="0"/>
        <w:tabs>
          <w:tab w:leader="none" w:pos="3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12" w:lineRule="exact"/>
        <w:rPr>
          <w:sz w:val="20"/>
          <w:szCs w:val="20"/>
          <w:color w:val="auto"/>
        </w:rPr>
      </w:pPr>
    </w:p>
    <w:p>
      <w:pPr>
        <w:ind w:left="1500"/>
        <w:spacing w:after="0"/>
        <w:tabs>
          <w:tab w:leader="none" w:pos="3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 duly executed Intellectual Property Security Agreement dated as of the Effective Date;</w:t>
      </w:r>
    </w:p>
    <w:p>
      <w:pPr>
        <w:spacing w:after="0" w:line="225" w:lineRule="exact"/>
        <w:rPr>
          <w:sz w:val="20"/>
          <w:szCs w:val="20"/>
          <w:color w:val="auto"/>
        </w:rPr>
      </w:pPr>
    </w:p>
    <w:p>
      <w:pPr>
        <w:ind w:left="3000" w:hanging="1495"/>
        <w:spacing w:after="0"/>
        <w:tabs>
          <w:tab w:leader="none" w:pos="3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11" w:lineRule="exact"/>
        <w:rPr>
          <w:rFonts w:ascii="Arial" w:cs="Arial" w:eastAsia="Arial" w:hAnsi="Arial"/>
          <w:sz w:val="18"/>
          <w:szCs w:val="18"/>
          <w:color w:val="auto"/>
        </w:rPr>
      </w:pPr>
    </w:p>
    <w:p>
      <w:pPr>
        <w:ind w:left="3000" w:hanging="1495"/>
        <w:spacing w:after="0"/>
        <w:tabs>
          <w:tab w:leader="none" w:pos="3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11" w:lineRule="exact"/>
        <w:rPr>
          <w:rFonts w:ascii="Arial" w:cs="Arial" w:eastAsia="Arial" w:hAnsi="Arial"/>
          <w:sz w:val="18"/>
          <w:szCs w:val="18"/>
          <w:color w:val="auto"/>
        </w:rPr>
      </w:pPr>
    </w:p>
    <w:p>
      <w:pPr>
        <w:ind w:left="3000" w:hanging="1495"/>
        <w:spacing w:after="0"/>
        <w:tabs>
          <w:tab w:leader="none" w:pos="3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duly executed Fee Letter;</w:t>
      </w:r>
    </w:p>
    <w:p>
      <w:pPr>
        <w:spacing w:after="0" w:line="212" w:lineRule="exact"/>
        <w:rPr>
          <w:sz w:val="20"/>
          <w:szCs w:val="20"/>
          <w:color w:val="auto"/>
        </w:rPr>
      </w:pPr>
    </w:p>
    <w:p>
      <w:pPr>
        <w:ind w:firstLine="1497"/>
        <w:spacing w:after="0" w:line="277" w:lineRule="auto"/>
        <w:rPr>
          <w:sz w:val="20"/>
          <w:szCs w:val="20"/>
          <w:color w:val="auto"/>
        </w:rPr>
      </w:pPr>
      <w:r>
        <w:rPr>
          <w:rFonts w:ascii="Arial" w:cs="Arial" w:eastAsia="Arial" w:hAnsi="Arial"/>
          <w:sz w:val="18"/>
          <w:szCs w:val="18"/>
          <w:color w:val="auto"/>
        </w:rPr>
        <w:t>(f) a payoff letter in form and substance satisfactory to Collateral Agent and the Lenders evidencing the repayment in full and release of liens with respect to the Existing Loan Agreement;</w:t>
      </w:r>
    </w:p>
    <w:p>
      <w:pPr>
        <w:spacing w:after="0" w:line="157" w:lineRule="exact"/>
        <w:rPr>
          <w:sz w:val="20"/>
          <w:szCs w:val="20"/>
          <w:color w:val="auto"/>
        </w:rPr>
      </w:pPr>
    </w:p>
    <w:p>
      <w:pPr>
        <w:ind w:firstLine="1505"/>
        <w:spacing w:after="0" w:line="261" w:lineRule="auto"/>
        <w:tabs>
          <w:tab w:leader="none" w:pos="29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duly executed copies of the ABL Credit Agreement, Intercreditor Agreement and the other ABL Loan Documents, each dated as of the Effective Date;</w:t>
      </w:r>
    </w:p>
    <w:p>
      <w:pPr>
        <w:spacing w:after="0" w:line="184" w:lineRule="exact"/>
        <w:rPr>
          <w:rFonts w:ascii="Arial" w:cs="Arial" w:eastAsia="Arial" w:hAnsi="Arial"/>
          <w:sz w:val="18"/>
          <w:szCs w:val="18"/>
          <w:color w:val="auto"/>
        </w:rPr>
      </w:pPr>
    </w:p>
    <w:p>
      <w:pPr>
        <w:jc w:val="both"/>
        <w:ind w:firstLine="1505"/>
        <w:spacing w:after="0" w:line="248" w:lineRule="auto"/>
        <w:tabs>
          <w:tab w:leader="none" w:pos="29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where failure to be so qualified could result in a Material Adverse Change, each as of a date no earlier than thirty (30) days prior to the Effective Date;</w:t>
      </w:r>
    </w:p>
    <w:p>
      <w:pPr>
        <w:spacing w:after="0" w:line="223"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18"/>
          <w:szCs w:val="18"/>
          <w:color w:val="auto"/>
        </w:rPr>
        <w:t>(i) a certificate of Borrower in substantially the form of Exhibit F hereto executed by the Secretary of Borrower with appropriate insertions and attachments, including with respect to (i) the Operating Documents of Borrower (which Certificate of Incorporation of Borrower shall be certified by the Secretary of State of the State of Delaware) and (ii) the resolutions adopted by Borrower’s board of directors for the purpose of approving the transactions contemplated by the Loan Documents;</w:t>
      </w:r>
    </w:p>
    <w:p>
      <w:pPr>
        <w:spacing w:after="0" w:line="194"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7"/>
          <w:szCs w:val="17"/>
          <w:color w:val="auto"/>
        </w:rPr>
        <w:t>(j) 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77" w:lineRule="exact"/>
        <w:rPr>
          <w:sz w:val="20"/>
          <w:szCs w:val="20"/>
          <w:color w:val="auto"/>
        </w:rPr>
      </w:pPr>
    </w:p>
    <w:p>
      <w:pPr>
        <w:jc w:val="both"/>
        <w:ind w:firstLine="1505"/>
        <w:spacing w:after="0" w:line="243" w:lineRule="auto"/>
        <w:tabs>
          <w:tab w:leader="none" w:pos="29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UCC financing statements and similar documents required to be filed in order to create in favor of Collateral Agent a first priority and exclusive (except for Permitted Liens) perfected security interest in the Collateral (to the extent that such a security interest may be perfected by a filing under the UCC or Applicable Law), shall have been (or will be simultaneous with the closing) properly filed in each office in each jurisdiction required;</w:t>
      </w:r>
    </w:p>
    <w:p>
      <w:pPr>
        <w:spacing w:after="0" w:line="201"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18"/>
          <w:szCs w:val="18"/>
          <w:color w:val="auto"/>
        </w:rPr>
        <w:t>(l) subject to Section 3.5(c), 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Secured Parties; and</w:t>
      </w:r>
    </w:p>
    <w:p>
      <w:pPr>
        <w:spacing w:after="0" w:line="195" w:lineRule="exact"/>
        <w:rPr>
          <w:sz w:val="20"/>
          <w:szCs w:val="20"/>
          <w:color w:val="auto"/>
        </w:rPr>
      </w:pPr>
    </w:p>
    <w:p>
      <w:pPr>
        <w:ind w:left="3000" w:hanging="1495"/>
        <w:spacing w:after="0"/>
        <w:tabs>
          <w:tab w:leader="none" w:pos="3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the closing fee payable under the terms of the Fee Letter.</w:t>
      </w:r>
    </w:p>
    <w:p>
      <w:pPr>
        <w:sectPr>
          <w:pgSz w:w="11900" w:h="16838" w:orient="portrait"/>
          <w:cols w:equalWidth="0" w:num="1">
            <w:col w:w="11240"/>
          </w:cols>
          <w:pgMar w:left="320" w:top="125" w:right="339" w:bottom="1440" w:gutter="0" w:footer="0" w:header="0"/>
        </w:sectPr>
      </w:pPr>
    </w:p>
    <w:p>
      <w:pPr>
        <w:spacing w:after="0" w:line="208"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b w:val="1"/>
          <w:bCs w:val="1"/>
          <w:color w:val="auto"/>
        </w:rPr>
        <w:t xml:space="preserve">3.2 Conditions Precedent to each Funding Date. </w:t>
      </w:r>
      <w:r>
        <w:rPr>
          <w:rFonts w:ascii="Arial" w:cs="Arial" w:eastAsia="Arial" w:hAnsi="Arial"/>
          <w:sz w:val="16"/>
          <w:szCs w:val="16"/>
          <w:color w:val="auto"/>
        </w:rPr>
        <w:t>Effective Date, is subject to the condition precedent that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firstLine="50"/>
        <w:spacing w:after="0" w:line="282" w:lineRule="auto"/>
        <w:rPr>
          <w:sz w:val="20"/>
          <w:szCs w:val="20"/>
          <w:color w:val="auto"/>
        </w:rPr>
      </w:pPr>
      <w:r>
        <w:rPr>
          <w:rFonts w:ascii="Arial" w:cs="Arial" w:eastAsia="Arial" w:hAnsi="Arial"/>
          <w:sz w:val="16"/>
          <w:szCs w:val="16"/>
          <w:color w:val="auto"/>
        </w:rPr>
        <w:t>Each Lender’s obligation to make all Term Loans, including the Term A Loans on the Agent and each Lender shall consent to or shall have received, in form and substance</w:t>
      </w:r>
    </w:p>
    <w:p>
      <w:pPr>
        <w:spacing w:after="0" w:line="1" w:lineRule="exact"/>
        <w:rPr>
          <w:sz w:val="20"/>
          <w:szCs w:val="20"/>
          <w:color w:val="auto"/>
        </w:rPr>
      </w:pPr>
    </w:p>
    <w:p>
      <w:pPr>
        <w:sectPr>
          <w:pgSz w:w="11900" w:h="16838" w:orient="portrait"/>
          <w:cols w:equalWidth="0" w:num="2">
            <w:col w:w="4900" w:space="60"/>
            <w:col w:w="6280"/>
          </w:cols>
          <w:pgMar w:left="320" w:top="125" w:right="339" w:bottom="1440" w:gutter="0" w:footer="0" w:header="0"/>
          <w:type w:val="continuous"/>
        </w:sectPr>
      </w:pPr>
    </w:p>
    <w:p>
      <w:pPr>
        <w:spacing w:after="0" w:line="245" w:lineRule="auto"/>
        <w:rPr>
          <w:sz w:val="20"/>
          <w:szCs w:val="20"/>
          <w:color w:val="auto"/>
        </w:rPr>
      </w:pPr>
      <w:r>
        <w:rPr>
          <w:rFonts w:ascii="Arial" w:cs="Arial" w:eastAsia="Arial" w:hAnsi="Arial"/>
          <w:sz w:val="18"/>
          <w:szCs w:val="18"/>
          <w:color w:val="auto"/>
        </w:rPr>
        <w:t>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3000" w:hanging="1495"/>
        <w:spacing w:after="0"/>
        <w:tabs>
          <w:tab w:leader="none" w:pos="3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receipt by Collateral Agent of an executed Loan Payment Request Form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w:t>
      </w:r>
    </w:p>
    <w:p>
      <w:pPr>
        <w:spacing w:after="0" w:line="248" w:lineRule="exact"/>
        <w:rPr>
          <w:rFonts w:ascii="Arial" w:cs="Arial" w:eastAsia="Arial" w:hAnsi="Arial"/>
          <w:sz w:val="16"/>
          <w:szCs w:val="16"/>
          <w:color w:val="auto"/>
        </w:rPr>
      </w:pPr>
    </w:p>
    <w:p>
      <w:pPr>
        <w:jc w:val="both"/>
        <w:ind w:firstLine="1505"/>
        <w:spacing w:after="0" w:line="245" w:lineRule="auto"/>
        <w:tabs>
          <w:tab w:leader="none" w:pos="29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representations and warranties in Section 5 hereof shall be true, accurate and complete in all material respects on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85" w:lineRule="exact"/>
        <w:rPr>
          <w:rFonts w:ascii="Arial" w:cs="Arial" w:eastAsia="Arial" w:hAnsi="Arial"/>
          <w:sz w:val="18"/>
          <w:szCs w:val="18"/>
          <w:color w:val="auto"/>
        </w:rPr>
      </w:pPr>
    </w:p>
    <w:p>
      <w:pPr>
        <w:ind w:left="3000" w:hanging="1495"/>
        <w:spacing w:after="0"/>
        <w:tabs>
          <w:tab w:leader="none" w:pos="3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such Lender’s reasonable discretion, there has not been any Material Adverse Change;</w:t>
      </w:r>
    </w:p>
    <w:p>
      <w:pPr>
        <w:spacing w:after="0" w:line="211" w:lineRule="exact"/>
        <w:rPr>
          <w:rFonts w:ascii="Arial" w:cs="Arial" w:eastAsia="Arial" w:hAnsi="Arial"/>
          <w:sz w:val="18"/>
          <w:szCs w:val="18"/>
          <w:color w:val="auto"/>
        </w:rPr>
      </w:pPr>
    </w:p>
    <w:p>
      <w:pPr>
        <w:ind w:left="3000" w:hanging="1495"/>
        <w:spacing w:after="0"/>
        <w:tabs>
          <w:tab w:leader="none" w:pos="3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shall exist; and</w:t>
      </w:r>
    </w:p>
    <w:p>
      <w:pPr>
        <w:spacing w:after="0" w:line="225" w:lineRule="exact"/>
        <w:rPr>
          <w:rFonts w:ascii="Arial" w:cs="Arial" w:eastAsia="Arial" w:hAnsi="Arial"/>
          <w:sz w:val="18"/>
          <w:szCs w:val="18"/>
          <w:color w:val="auto"/>
        </w:rPr>
      </w:pPr>
    </w:p>
    <w:p>
      <w:pPr>
        <w:ind w:firstLine="1505"/>
        <w:spacing w:after="0" w:line="261" w:lineRule="auto"/>
        <w:tabs>
          <w:tab w:leader="none" w:pos="29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2.4 hereof (including payment of the fees payable under the terms of the Fee Letter).</w:t>
      </w:r>
    </w:p>
    <w:p>
      <w:pPr>
        <w:spacing w:after="0" w:line="16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Collateral Agent and the Lenders each item required to be delivered to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under this Agreement as a condition precedent to any Term Loan. Borrower expressly agrees that any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jc w:val="both"/>
        <w:ind w:firstLine="749"/>
        <w:spacing w:after="0" w:line="262" w:lineRule="auto"/>
        <w:rPr>
          <w:sz w:val="20"/>
          <w:szCs w:val="20"/>
          <w:color w:val="auto"/>
        </w:rPr>
      </w:pPr>
      <w:r>
        <w:rPr>
          <w:rFonts w:ascii="Arial" w:cs="Arial" w:eastAsia="Arial" w:hAnsi="Arial"/>
          <w:sz w:val="17"/>
          <w:szCs w:val="17"/>
          <w:b w:val="1"/>
          <w:bCs w:val="1"/>
          <w:color w:val="auto"/>
        </w:rPr>
        <w:t xml:space="preserve">3.4 Procedures for Borrowing. </w:t>
      </w:r>
      <w:r>
        <w:rPr>
          <w:rFonts w:ascii="Arial" w:cs="Arial" w:eastAsia="Arial" w:hAnsi="Arial"/>
          <w:sz w:val="17"/>
          <w:szCs w:val="17"/>
          <w:color w:val="auto"/>
        </w:rPr>
        <w:t>Subject to the prior satisfaction of all other applicable conditions to the making of a Term Loan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to obtain a Term Loan, Borrower shall notify the Lenders (which notice shall be irrevocable) by electronic mail, facsimile, or telephone by 2:00 P.M. New York City time three (3)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 On the Funding Date of any Term Loan, each Lender shall credit and/or transfer (as applicable) to the Designated Deposit Account, an amount equal to its Term Loan Commitment in respect of such Term Loan.</w:t>
      </w:r>
    </w:p>
    <w:p>
      <w:pPr>
        <w:spacing w:after="0" w:line="16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3.5 Post-Closing Obligations</w:t>
      </w:r>
      <w:r>
        <w:rPr>
          <w:rFonts w:ascii="Arial" w:cs="Arial" w:eastAsia="Arial" w:hAnsi="Arial"/>
          <w:sz w:val="18"/>
          <w:szCs w:val="18"/>
          <w:color w:val="auto"/>
        </w:rPr>
        <w:t>. Notwithstanding any provision herein or in any other Loan Document to the contrary, to the extent not</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delivered on or prior to the Effective Date, Borrower shall:</w:t>
      </w:r>
    </w:p>
    <w:p>
      <w:pPr>
        <w:spacing w:after="0" w:line="152" w:lineRule="exact"/>
        <w:rPr>
          <w:sz w:val="20"/>
          <w:szCs w:val="20"/>
          <w:color w:val="auto"/>
        </w:rPr>
      </w:pPr>
    </w:p>
    <w:p>
      <w:pPr>
        <w:jc w:val="both"/>
        <w:ind w:firstLine="1505"/>
        <w:spacing w:after="0" w:line="248" w:lineRule="auto"/>
        <w:tabs>
          <w:tab w:leader="none" w:pos="29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before three (3) Business Days following the Effective Date (or such later date as Collateral Agent may agree in writing), Borrower shall deliver to Collateral Agent duly executed Control Agreements with respect to any Collateral Accounts (other than Excluded Accounts) maintained by Borrower or any of its Subsidiaries in accordance with the terms hereunder.</w:t>
      </w:r>
    </w:p>
    <w:p>
      <w:pPr>
        <w:spacing w:after="0" w:line="195" w:lineRule="exact"/>
        <w:rPr>
          <w:rFonts w:ascii="Arial" w:cs="Arial" w:eastAsia="Arial" w:hAnsi="Arial"/>
          <w:sz w:val="18"/>
          <w:szCs w:val="18"/>
          <w:color w:val="auto"/>
        </w:rPr>
      </w:pPr>
    </w:p>
    <w:p>
      <w:pPr>
        <w:jc w:val="both"/>
        <w:ind w:firstLine="1505"/>
        <w:spacing w:after="0" w:line="249" w:lineRule="auto"/>
        <w:tabs>
          <w:tab w:leader="none" w:pos="29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before thirty (30) days following the Effective Date (or such later date as Collateral Agent may agree in writing), Borrower shall deliver to Collateral Agent evidence in form and substance acceptable to Collateral Agent that the Borrower’s Collateral MMA Deposit Account (Account No. *******572) maintained at Silicon Valley Bank (the “</w:t>
      </w:r>
      <w:r>
        <w:rPr>
          <w:rFonts w:ascii="Arial" w:cs="Arial" w:eastAsia="Arial" w:hAnsi="Arial"/>
          <w:sz w:val="18"/>
          <w:szCs w:val="18"/>
          <w:b w:val="1"/>
          <w:bCs w:val="1"/>
          <w:color w:val="auto"/>
        </w:rPr>
        <w:t>Specified Account</w:t>
      </w:r>
      <w:r>
        <w:rPr>
          <w:rFonts w:ascii="Arial" w:cs="Arial" w:eastAsia="Arial" w:hAnsi="Arial"/>
          <w:sz w:val="18"/>
          <w:szCs w:val="18"/>
          <w:color w:val="auto"/>
        </w:rPr>
        <w:t>”) shall have been closed and that the funds held therein shall have been transferred to a Collateral Account.</w:t>
      </w:r>
    </w:p>
    <w:p>
      <w:pPr>
        <w:spacing w:after="0" w:line="180" w:lineRule="exact"/>
        <w:rPr>
          <w:rFonts w:ascii="Arial" w:cs="Arial" w:eastAsia="Arial" w:hAnsi="Arial"/>
          <w:sz w:val="18"/>
          <w:szCs w:val="18"/>
          <w:color w:val="auto"/>
        </w:rPr>
      </w:pPr>
    </w:p>
    <w:p>
      <w:pPr>
        <w:jc w:val="both"/>
        <w:ind w:firstLine="1505"/>
        <w:spacing w:after="0" w:line="249" w:lineRule="auto"/>
        <w:tabs>
          <w:tab w:leader="none" w:pos="29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before sixty (60) days following the Effective Date (or such later date as Collateral Agent may agree in writing), Borrower shall deliver to Collateral Agent fully executed landlord or bailee waivers/collateral access agreements with respect to the following locations: (i) 3052 Orchard Drive, San Jose, CA, 95134; (ii) 1585 Sunflower Ave., Costa Mesa, CA 92626; and (iii) 7045 Troy Hill Drive, Suite 300, Elkridge, MD 21075.</w:t>
      </w:r>
    </w:p>
    <w:p>
      <w:pPr>
        <w:spacing w:after="0" w:line="180" w:lineRule="exact"/>
        <w:rPr>
          <w:rFonts w:ascii="Arial" w:cs="Arial" w:eastAsia="Arial" w:hAnsi="Arial"/>
          <w:sz w:val="18"/>
          <w:szCs w:val="18"/>
          <w:color w:val="auto"/>
        </w:rPr>
      </w:pPr>
    </w:p>
    <w:p>
      <w:pPr>
        <w:jc w:val="both"/>
        <w:ind w:firstLine="1505"/>
        <w:spacing w:after="0" w:line="256" w:lineRule="auto"/>
        <w:tabs>
          <w:tab w:leader="none" w:pos="29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not delivered on the Effective Date, on or before thirty (30) days following the Effective Date (or such later date as Collateral Agent may agree in writing), Borrower shall deliver to Collateral Agent insurance certificates and endorsements required under Section 3.1(l).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Collateral Agent, for the ratable benefit of the Secured Parties, to secure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performance in full of all of the Obligations, a continuing first priority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If Borrower shall acquire any commercial tort claim (as defined in the Code), Borrower shall grant to Collateral Agent, for the ratable benefit of the Secured Parties, a first priority security interest therein and in the proceeds and products and supporting obligations (as defined in the Code) thereof, all upon the terms of this Agreement, with such writing to be in form and substance reasonably satisfactory to Collateral Agent.</w:t>
      </w:r>
    </w:p>
    <w:p>
      <w:pPr>
        <w:spacing w:after="0" w:line="17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Term Loans has terminated, Collateral Agent shall, at the sole cost and expense of Borrower, release its Liens in the Collateral and all rights therein shall revert to Borrower.</w:t>
      </w:r>
    </w:p>
    <w:p>
      <w:pPr>
        <w:spacing w:after="0" w:line="17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4.2 Authorization to File Financing Statements. </w:t>
      </w:r>
      <w:r>
        <w:rPr>
          <w:rFonts w:ascii="Arial" w:cs="Arial" w:eastAsia="Arial" w:hAnsi="Arial"/>
          <w:sz w:val="18"/>
          <w:szCs w:val="18"/>
          <w:color w:val="auto"/>
        </w:rPr>
        <w:t>Borrower hereby authorizes Collateral Agent to file financing statements or take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action required to perfect Collateral Agent’s security interests in the Collateral</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8"/>
          <w:szCs w:val="18"/>
          <w:color w:val="auto"/>
        </w:rPr>
        <w:t>(held for the ratable benefit of the Secured Parties), without notice to Borrower, with all appropriate jurisdictions to perfect or protect Collateral Agent’s interest or rights under the Loan Documents. Such financing statements may include an indication that the financing statement covers “all assets or all personal property” in accordance with Section 9-504 of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REPRESENTATIONS AND WARRANTIES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and each of its Subsidiaries is duly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before or after the Effective Date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For the avoidance of doubt, Collateral Agent and Lenders agree that the Borrower may from time to time update certain information in the Perfection Certificates after the Effective Date to the extent permitted by one or more specific provisions in this Agreement. Borrower represents and warrants that all the information set forth on the Perfection Certificates pertaining to Borrower and each of its Subsidiaries is accurate and complete, in all non-ministerial respects.</w:t>
      </w:r>
    </w:p>
    <w:p>
      <w:pPr>
        <w:spacing w:after="0" w:line="178"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 or (v) constitute an event of default under any Material Agreement by which Borrower, any of its Subsidiaries or any of their respective properties, is bound. Neither Borrower nor any of its Subsidiaries is in default under any Material Agreement to which it is a party or by which it or any of its assets is bound in which such default could reasonably be expected to have a Material Adverse Change.</w:t>
      </w:r>
    </w:p>
    <w:p>
      <w:pPr>
        <w:spacing w:after="0" w:line="15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p>
    <w:p>
      <w:pPr>
        <w:spacing w:after="0" w:line="229" w:lineRule="exact"/>
        <w:rPr>
          <w:sz w:val="20"/>
          <w:szCs w:val="20"/>
          <w:color w:val="auto"/>
        </w:rPr>
      </w:pPr>
    </w:p>
    <w:p>
      <w:pPr>
        <w:jc w:val="both"/>
        <w:ind w:firstLine="1505"/>
        <w:spacing w:after="0" w:line="241" w:lineRule="auto"/>
        <w:tabs>
          <w:tab w:leader="none" w:pos="29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(or Compliance Certificate or such other updates permitted by this Agreement) delivered to Collateral Agent in connection herewith in respect of which Borrower or such Subsidiary has given Collateral Agent notice and taken such actions as are necessary to give Collateral Agent a perfected security interest therein as required under this Agreement. The Accounts are bona fide, existing obligations of the Account Debtors.</w:t>
      </w:r>
    </w:p>
    <w:p>
      <w:pPr>
        <w:spacing w:after="0" w:line="205" w:lineRule="exact"/>
        <w:rPr>
          <w:rFonts w:ascii="Arial" w:cs="Arial" w:eastAsia="Arial" w:hAnsi="Arial"/>
          <w:sz w:val="18"/>
          <w:szCs w:val="18"/>
          <w:color w:val="auto"/>
        </w:rPr>
      </w:pPr>
    </w:p>
    <w:p>
      <w:pPr>
        <w:ind w:firstLine="1505"/>
        <w:spacing w:after="0" w:line="291" w:lineRule="auto"/>
        <w:tabs>
          <w:tab w:leader="none" w:pos="29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security interest granted herein is a first priority perfected (to the extent required hereunder) security interest in the Collateral, subject only to involuntary Permitted Liens that, under applicable law, have priority over Collateral Agent’s Lien.</w:t>
      </w:r>
    </w:p>
    <w:p>
      <w:pPr>
        <w:spacing w:after="0" w:line="146" w:lineRule="exact"/>
        <w:rPr>
          <w:rFonts w:ascii="Arial" w:cs="Arial" w:eastAsia="Arial" w:hAnsi="Arial"/>
          <w:sz w:val="17"/>
          <w:szCs w:val="17"/>
          <w:color w:val="auto"/>
        </w:rPr>
      </w:pPr>
    </w:p>
    <w:p>
      <w:pPr>
        <w:jc w:val="both"/>
        <w:ind w:firstLine="1505"/>
        <w:spacing w:after="0" w:line="256" w:lineRule="auto"/>
        <w:tabs>
          <w:tab w:leader="none" w:pos="29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(other than such immaterial Collateral not in excess of One Million Dollars ($1,000,000.00)), and (ii) no such third party bailee possesses components of the Collateral in excess of One Million Dollars ($1,000,000.00).</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ind w:firstLine="1505"/>
        <w:spacing w:after="0" w:line="261" w:lineRule="auto"/>
        <w:tabs>
          <w:tab w:leader="none" w:pos="29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Inventory (to the extent that have passed inspection and accepted by Borrower or its Subsidiaries) and Equipment is in all material respects of good and marketable quality, free from material defects.</w:t>
      </w:r>
    </w:p>
    <w:p>
      <w:pPr>
        <w:spacing w:after="0" w:line="184" w:lineRule="exact"/>
        <w:rPr>
          <w:rFonts w:ascii="Arial" w:cs="Arial" w:eastAsia="Arial" w:hAnsi="Arial"/>
          <w:sz w:val="18"/>
          <w:szCs w:val="18"/>
          <w:color w:val="auto"/>
        </w:rPr>
      </w:pPr>
    </w:p>
    <w:p>
      <w:pPr>
        <w:jc w:val="both"/>
        <w:ind w:firstLine="1505"/>
        <w:spacing w:after="0" w:line="245" w:lineRule="auto"/>
        <w:tabs>
          <w:tab w:leader="none" w:pos="29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free and clear of all Liens other than Permitted Liens and over the counter software that is commercially available to the public. Except as noted on the Perfection Certificate (which, upon the consummation of a transaction not prohibited by this Agreement, may be updated to reflect such transaction), public reports filed with the SEC or such other updates permitted by this Agreement, neither Borrower nor any of its Subsidiaries is a party to, nor is bound by, any material license or other Material Agreement.</w:t>
      </w:r>
    </w:p>
    <w:p>
      <w:pPr>
        <w:spacing w:after="0" w:line="18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7"/>
          <w:szCs w:val="17"/>
          <w:color w:val="auto"/>
        </w:rPr>
        <w:t>(f) None of Borrower or any of its Subsidiaries has used any software or other materials that are subject to an open-source or similar license (including the General Public License, Lesser General Public License, Mozilla Public License, or Affero License) (collectively, “</w:t>
      </w:r>
      <w:r>
        <w:rPr>
          <w:rFonts w:ascii="Arial" w:cs="Arial" w:eastAsia="Arial" w:hAnsi="Arial"/>
          <w:sz w:val="17"/>
          <w:szCs w:val="17"/>
          <w:b w:val="1"/>
          <w:bCs w:val="1"/>
          <w:color w:val="auto"/>
        </w:rPr>
        <w:t>Open Source Licenses</w:t>
      </w:r>
      <w:r>
        <w:rPr>
          <w:rFonts w:ascii="Arial" w:cs="Arial" w:eastAsia="Arial" w:hAnsi="Arial"/>
          <w:sz w:val="17"/>
          <w:szCs w:val="17"/>
          <w:color w:val="auto"/>
        </w:rPr>
        <w:t>”) in a manner that would cause any software or other materials owned by Borrower or used in Borrower’s products to have to be</w:t>
      </w:r>
    </w:p>
    <w:p>
      <w:pPr>
        <w:spacing w:after="0" w:line="2"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distributed to third parties at no charge or a minimal charge, (ii) licensed to third parties for the purpose of creating modifications or derivative works, or</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the terms of such Open Source License.</w:t>
      </w:r>
    </w:p>
    <w:p>
      <w:pPr>
        <w:spacing w:after="0" w:line="2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on the Perfection Certificate or with respect to which Borrower has provided notice as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there are no actions, suits, investigations, or proceedings pending or, to the Knowledge of the Responsible Officers, threatened in writing by or against Borrower or any of its Subsidiaries involving more than One Million Dollars ($1,000,000.00).</w:t>
      </w:r>
    </w:p>
    <w:p>
      <w:pPr>
        <w:spacing w:after="0" w:line="19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5.4 No Material Adverse Change; Financial Statements. </w:t>
      </w:r>
      <w:r>
        <w:rPr>
          <w:rFonts w:ascii="Arial" w:cs="Arial" w:eastAsia="Arial" w:hAnsi="Arial"/>
          <w:sz w:val="18"/>
          <w:szCs w:val="18"/>
          <w:color w:val="auto"/>
        </w:rPr>
        <w:t>All consolidated financial statements for Borrower and its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delivered to Collateral Agent fairly present, in conformity with GAAP, and in all material respects the consolidated financial condition of Borrower and its consolidated Subsidiaries, and the consolidated results of operations of Borrower and its consolidated Subsidiaries as of and for the dates presented. Since December 31, 2021, there has not been a Material Adverse Change.</w:t>
      </w:r>
    </w:p>
    <w:p>
      <w:pPr>
        <w:spacing w:after="0" w:line="17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Borrower is Solvent. Borrower and each of its Subsidiaries, when taken as a whole, is Solvent.</w:t>
      </w:r>
    </w:p>
    <w:p>
      <w:pPr>
        <w:spacing w:after="0" w:line="21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Neither Borrower nor any of its Subsidiaries is an “investment company” or a company “controlled”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material applicable laws. Borrower and each of its Subsidiaries has obtained all material consents, approvals and authorizations of, made all declarations or filings with, and given all notices to, all Governmental Authorities that are necessary to continue their respective businesses as currently conducted.</w:t>
      </w:r>
    </w:p>
    <w:p>
      <w:pPr>
        <w:spacing w:after="0" w:line="190"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w:t>
      </w:r>
      <w:r>
        <w:rPr>
          <w:rFonts w:ascii="MS PGothic" w:cs="MS PGothic" w:eastAsia="MS PGothic" w:hAnsi="MS PGothic"/>
          <w:sz w:val="18"/>
          <w:szCs w:val="18"/>
          <w:color w:val="auto"/>
        </w:rPr>
        <w:t>‑</w:t>
      </w:r>
      <w:r>
        <w:rPr>
          <w:rFonts w:ascii="Arial" w:cs="Arial" w:eastAsia="Arial" w:hAnsi="Arial"/>
          <w:sz w:val="18"/>
          <w:szCs w:val="18"/>
          <w:color w:val="auto"/>
        </w:rPr>
        <w:t>Terrorism Law, (ii) engaging in or conspiring to engage in any transaction that evades or avoids, or has the purpose of evading or avoiding or attempts to violate, any of the prohibitions set forth in any Anti</w:t>
      </w:r>
      <w:r>
        <w:rPr>
          <w:rFonts w:ascii="MS PGothic" w:cs="MS PGothic" w:eastAsia="MS PGothic" w:hAnsi="MS PGothic"/>
          <w:sz w:val="18"/>
          <w:szCs w:val="18"/>
          <w:color w:val="auto"/>
        </w:rPr>
        <w:t>‑</w:t>
      </w:r>
      <w:r>
        <w:rPr>
          <w:rFonts w:ascii="Arial" w:cs="Arial" w:eastAsia="Arial" w:hAnsi="Arial"/>
          <w:sz w:val="18"/>
          <w:szCs w:val="18"/>
          <w:color w:val="auto"/>
        </w:rPr>
        <w:t>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Permitted Investments.</w:t>
      </w:r>
    </w:p>
    <w:p>
      <w:pPr>
        <w:spacing w:after="0" w:line="17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b w:val="1"/>
          <w:bCs w:val="1"/>
          <w:color w:val="auto"/>
        </w:rPr>
        <w:t xml:space="preserve">5.8 Tax Returns and Payments; Pension Contributions. </w:t>
      </w:r>
      <w:r>
        <w:rPr>
          <w:rFonts w:ascii="Arial" w:cs="Arial" w:eastAsia="Arial" w:hAnsi="Arial"/>
          <w:sz w:val="17"/>
          <w:szCs w:val="17"/>
          <w:color w:val="auto"/>
        </w:rPr>
        <w:t>Except as disclosed on the Perfection Certificate or with respect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has provided notice as required hereunder, Borrower and each of its Subsidiaries have timely filed all required income and other material tax returns and reports (or extensions thereof), and Borrower and each of its Subsidiaries have timely paid all foreign, federal, state, and local Taxes, assessments, deposits and contributions owed by Borrower and such Subsidiaries in an amount greater than (i) with respect to any state (or local) sales or use taxes (including any value-added tax), One Million Dollars ($1,000,000) and (ii) with respect to all other Taxes, in the aggregate, Two Hundred Fifty Thousand Dollars ($250,000.00),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 by appropriate proceedings promptly and diligently instituted and conducted; and (b) maintains adequate reserves or other appropriate provisions on its books in accordance with GAAP, and provided, further, that such action would not involve, in the reasonable judgment of Collateral Agent, any risk of the sale, forfeiture or loss of any material portion of the Collateral. Except as disclosed on the Perfection Certificate or with respect to which Borrower has provided notice as required hereunder, neither Borrower nor any of its Subsidiaries is aware of any claims or adjustments proposed for any of Borrower’s or such Subsidiary’s prior Tax years which could result in additional Taxes greater than (i) with respect to any state (or local) sales or use taxes (including any value-added tax), One Million Dollars ($1,000,000) and (ii) with respect to all other Taxes, in the aggregate, Two Hundred Fifty Thousand Dollars ($250,000.00) becoming due and payable by Borrower or its Subsidiaries. Borrower and each of its Subsidiaries have paid all amounts necessary to fund in all material respects all present pension, profit sharing and deferred compensation plans in accordance with their terms, and neither Borrower nor any of its Subsidiaries has withdrawn from participation in, has permitted partial or complete termination of, or has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9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b w:val="1"/>
          <w:bCs w:val="1"/>
          <w:color w:val="auto"/>
        </w:rPr>
        <w:t xml:space="preserve">5.9 Use of Proceeds. </w:t>
      </w:r>
      <w:r>
        <w:rPr>
          <w:rFonts w:ascii="Arial" w:cs="Arial" w:eastAsia="Arial" w:hAnsi="Arial"/>
          <w:sz w:val="17"/>
          <w:szCs w:val="17"/>
          <w:color w:val="auto"/>
        </w:rPr>
        <w:t>Borrower shall use the proceeds of the Term Loans to repay in full all outstanding Indebtedness under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Loan Agreement, as working capital and to fund its general business requirements, and not for personal, family, household or agricultural purposes.</w:t>
      </w:r>
    </w:p>
    <w:p>
      <w:pPr>
        <w:spacing w:after="0" w:line="139"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6"/>
          <w:szCs w:val="16"/>
          <w:b w:val="1"/>
          <w:bCs w:val="1"/>
          <w:color w:val="auto"/>
        </w:rPr>
        <w:t xml:space="preserve">5.10 Full Disclosure. </w:t>
      </w:r>
      <w:r>
        <w:rPr>
          <w:rFonts w:ascii="Arial" w:cs="Arial" w:eastAsia="Arial" w:hAnsi="Arial"/>
          <w:sz w:val="16"/>
          <w:szCs w:val="16"/>
          <w:color w:val="auto"/>
        </w:rPr>
        <w:t>No written representation, warranty or other statement of Borrower or any of its Subsidiaries in any certificate 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statement, when taken as a whole, given to Collateral Agent or any Lender in connection with the Loan Documents, as of the date such representation, warranty, or other statement was made, taken together with all such written certificates and written statements given to Collateral Agent or any Lender in connection with the Loan Documents, and together with public reports filed by Borrower with the SEC, contains any untrue statement of a material fact or omits to state a material fact necessary to make the statements contained in the certificates or statements not materially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5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 xml:space="preserve">5.11 Regulatory Matters. </w:t>
      </w:r>
      <w:r>
        <w:rPr>
          <w:rFonts w:ascii="Arial" w:cs="Arial" w:eastAsia="Arial" w:hAnsi="Arial"/>
          <w:sz w:val="18"/>
          <w:szCs w:val="18"/>
          <w:color w:val="auto"/>
        </w:rPr>
        <w:t>In each case, except as disclosed on the Perfection Certificate or with respect to which Borrower has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as required hereunder:</w:t>
      </w:r>
    </w:p>
    <w:p>
      <w:pPr>
        <w:spacing w:after="0" w:line="152" w:lineRule="exact"/>
        <w:rPr>
          <w:sz w:val="20"/>
          <w:szCs w:val="20"/>
          <w:color w:val="auto"/>
        </w:rPr>
      </w:pPr>
    </w:p>
    <w:p>
      <w:pPr>
        <w:jc w:val="both"/>
        <w:ind w:firstLine="1505"/>
        <w:spacing w:after="0" w:line="263" w:lineRule="auto"/>
        <w:tabs>
          <w:tab w:leader="none" w:pos="299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Healthcare Permits</w:t>
      </w:r>
      <w:r>
        <w:rPr>
          <w:rFonts w:ascii="Arial" w:cs="Arial" w:eastAsia="Arial" w:hAnsi="Arial"/>
          <w:sz w:val="17"/>
          <w:szCs w:val="17"/>
          <w:color w:val="auto"/>
        </w:rPr>
        <w:t>. Borrower has (i) each Healthcare Permit from, and has made all required declarations and filings with, all applicable Governmental Authorities, and all courts and other tribunals applicable to its assets, business or operations, except for the failure to so maintain or make would not reasonably be expected to result in a Material Adverse Change, and (ii) no Knowledge that any Governmental Authority is considering limiting, suspending or revoking any such Healthcare Permit. All such Healthcare Permits are valid and in full force and effect, and Borrower is in material compliance with the terms and conditions of all such Healthcare Permits.</w:t>
      </w:r>
    </w:p>
    <w:p>
      <w:pPr>
        <w:spacing w:after="0" w:line="184" w:lineRule="exact"/>
        <w:rPr>
          <w:rFonts w:ascii="Arial" w:cs="Arial" w:eastAsia="Arial" w:hAnsi="Arial"/>
          <w:sz w:val="17"/>
          <w:szCs w:val="17"/>
          <w:color w:val="auto"/>
        </w:rPr>
      </w:pPr>
    </w:p>
    <w:p>
      <w:pPr>
        <w:ind w:right="20" w:firstLine="1505"/>
        <w:spacing w:after="0" w:line="261" w:lineRule="auto"/>
        <w:tabs>
          <w:tab w:leader="none" w:pos="29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Medicare and Medicaid</w:t>
      </w:r>
      <w:r>
        <w:rPr>
          <w:rFonts w:ascii="Arial" w:cs="Arial" w:eastAsia="Arial" w:hAnsi="Arial"/>
          <w:sz w:val="18"/>
          <w:szCs w:val="18"/>
          <w:color w:val="auto"/>
        </w:rPr>
        <w:t>. Borrower does not bill, receive reimbursement from or otherwise participate as a provider or supplier in the Medicare or Medicaid program.</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3000" w:hanging="1495"/>
        <w:spacing w:after="0"/>
        <w:tabs>
          <w:tab w:leader="none" w:pos="300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 Violation of Healthcare Laws</w:t>
      </w:r>
      <w:r>
        <w:rPr>
          <w:rFonts w:ascii="Arial" w:cs="Arial" w:eastAsia="Arial" w:hAnsi="Arial"/>
          <w:sz w:val="16"/>
          <w:szCs w:val="16"/>
          <w:color w:val="auto"/>
        </w:rPr>
        <w:t>. Borrower is not and, during the past three (3) years, has not been in material</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violation of any Healthcare Laws.</w:t>
      </w:r>
    </w:p>
    <w:p>
      <w:pPr>
        <w:spacing w:after="0" w:line="209" w:lineRule="exact"/>
        <w:rPr>
          <w:rFonts w:ascii="Arial" w:cs="Arial" w:eastAsia="Arial" w:hAnsi="Arial"/>
          <w:sz w:val="16"/>
          <w:szCs w:val="16"/>
          <w:color w:val="auto"/>
        </w:rPr>
      </w:pPr>
    </w:p>
    <w:p>
      <w:pPr>
        <w:jc w:val="both"/>
        <w:ind w:firstLine="1505"/>
        <w:spacing w:after="0" w:line="263" w:lineRule="auto"/>
        <w:tabs>
          <w:tab w:leader="none" w:pos="299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Healthcare Proceedings</w:t>
      </w:r>
      <w:r>
        <w:rPr>
          <w:rFonts w:ascii="Arial" w:cs="Arial" w:eastAsia="Arial" w:hAnsi="Arial"/>
          <w:sz w:val="17"/>
          <w:szCs w:val="17"/>
          <w:color w:val="auto"/>
        </w:rPr>
        <w:t>. Borrower is not subject to any Healthcare Proceeding or, to Borrower’s Knowledge, investigation by any Governmental Authority relating to any actual or alleged non-compliance with any Healthcare Law in any material respect. To Borrower’s Knowledge, there are no facts, circumstances or conditions that would reasonably be expected to form the basis for any such Healthcare Proceeding against Borrower or any Subsidiary of Borrower. There currently exist no material restrictions, deficiencies, required plans of correction or other such remedial measures with respect to any Healthcare Permit of Borrower or any Subsidiary of Borrower.</w:t>
      </w:r>
    </w:p>
    <w:p>
      <w:pPr>
        <w:spacing w:after="0" w:line="170" w:lineRule="exact"/>
        <w:rPr>
          <w:rFonts w:ascii="Arial" w:cs="Arial" w:eastAsia="Arial" w:hAnsi="Arial"/>
          <w:sz w:val="17"/>
          <w:szCs w:val="17"/>
          <w:color w:val="auto"/>
        </w:rPr>
      </w:pPr>
    </w:p>
    <w:p>
      <w:pPr>
        <w:jc w:val="both"/>
        <w:ind w:firstLine="1505"/>
        <w:spacing w:after="0" w:line="245" w:lineRule="auto"/>
        <w:tabs>
          <w:tab w:leader="none" w:pos="29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Material Statements</w:t>
      </w:r>
      <w:r>
        <w:rPr>
          <w:rFonts w:ascii="Arial" w:cs="Arial" w:eastAsia="Arial" w:hAnsi="Arial"/>
          <w:sz w:val="18"/>
          <w:szCs w:val="18"/>
          <w:color w:val="auto"/>
        </w:rPr>
        <w:t>. Neither Borrower, nor any Subsidiary of Borrower, nor, to Borrower’s Knowledge any officer, affiliate, employee or agent of Borrower or any Subsidiary of Borrower,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would reasonably be expected to constitute a violation of any Healthcare Law.</w:t>
      </w:r>
    </w:p>
    <w:p>
      <w:pPr>
        <w:spacing w:after="0" w:line="199"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Prohibited Transactions</w:t>
      </w:r>
      <w:r>
        <w:rPr>
          <w:rFonts w:ascii="Arial" w:cs="Arial" w:eastAsia="Arial" w:hAnsi="Arial"/>
          <w:sz w:val="17"/>
          <w:szCs w:val="17"/>
          <w:color w:val="auto"/>
        </w:rPr>
        <w:t>. Neither Borrower, nor any Subsidiary of Borrower, nor, to Borrower’s Knowledge, any officer, affiliate, employee or agent of Borrower or any Subsidiary of Borrower, directly or indirectly, has (i) offered or paid or solicited or received any remuneration, in cash or in kind, or made any financial arrangements, in violation of any Healthcare Law; (ii) given or agreed to give, or is aware that there has been made or that there is any agreement to make, any gift or gratuitous payment of any kind, nature or description (whether in money, property or services) in violation of any Healthcare Law; (iii) made or agreed to make, or is aware that there has been made or that there is any agreement to make, any contribution, payment or gift of funds or property to, or for the private use of, any governmental official, employee or agent where either the contribution, payment or gift or the purpose of such contribution, payment or gift is or was in violation of any Healthcare Law; (iv) established or maintained any unrecorded fund or asset for any purpose or made any misleading, false or artificial entries on any of its books or records for any reason in violation of any Healthcare Law; or (v) made, or agreed to make, or is aware that there has been made or that there is any agreement to make, any payment to any person with the intention or understanding that any part of such payment would be in violation of any Healthcare Law. To the Knowledge of Borrower, no person has filed or has threatened to file against Borrower or any of its Subsidiaries an action under any federal or state whistleblower statute, including under the False Claims Act of 1863 (31 U.S.C. § 3729 et seq.).</w:t>
      </w:r>
    </w:p>
    <w:p>
      <w:pPr>
        <w:spacing w:after="0" w:line="188" w:lineRule="exact"/>
        <w:rPr>
          <w:sz w:val="20"/>
          <w:szCs w:val="20"/>
          <w:color w:val="auto"/>
        </w:rPr>
      </w:pPr>
    </w:p>
    <w:p>
      <w:pPr>
        <w:jc w:val="both"/>
        <w:ind w:firstLine="1505"/>
        <w:spacing w:after="0" w:line="271" w:lineRule="auto"/>
        <w:tabs>
          <w:tab w:leader="none" w:pos="29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Exclusion</w:t>
      </w:r>
      <w:r>
        <w:rPr>
          <w:rFonts w:ascii="Arial" w:cs="Arial" w:eastAsia="Arial" w:hAnsi="Arial"/>
          <w:sz w:val="16"/>
          <w:szCs w:val="16"/>
          <w:color w:val="auto"/>
        </w:rPr>
        <w:t>. Neither Borrower, nor any Subsidiary of Borrower, nor any owner, officer, director, partner, agent, managing employee or Person with a “direct or indirect ownership interest” (as that phrase is defined in 42 C.F.R. § 420.201) in Borrower or any Subsidiary of Borrower has been (or, to Borrower’s Knowledge, has been threatened to be) (i) excluded from Medicare or Medicaid pursuant to 42 U.S.C.</w:t>
      </w:r>
    </w:p>
    <w:p>
      <w:pPr>
        <w:ind w:left="160" w:hanging="152"/>
        <w:spacing w:after="0"/>
        <w:tabs>
          <w:tab w:leader="none" w:pos="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1320a-7 and related regulations, or (ii) “suspended” or “debarred” from selling products to the U.S. government or its agencies pursuant to the Federal</w:t>
      </w:r>
    </w:p>
    <w:p>
      <w:pPr>
        <w:spacing w:after="0" w:line="30"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Acquisition Regulation, relating to debarment and suspension applicable to federal government agencies generally (42 C.F.R. Subpart 9.4), or other applicable laws or regulations.</w:t>
      </w:r>
    </w:p>
    <w:p>
      <w:pPr>
        <w:spacing w:after="0" w:line="184" w:lineRule="exact"/>
        <w:rPr>
          <w:sz w:val="20"/>
          <w:szCs w:val="20"/>
          <w:color w:val="auto"/>
        </w:rPr>
      </w:pPr>
    </w:p>
    <w:p>
      <w:pPr>
        <w:jc w:val="both"/>
        <w:ind w:firstLine="1505"/>
        <w:spacing w:after="0" w:line="249" w:lineRule="auto"/>
        <w:tabs>
          <w:tab w:leader="none" w:pos="29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Corporate Integrity Agreement</w:t>
      </w:r>
      <w:r>
        <w:rPr>
          <w:rFonts w:ascii="Arial" w:cs="Arial" w:eastAsia="Arial" w:hAnsi="Arial"/>
          <w:sz w:val="18"/>
          <w:szCs w:val="18"/>
          <w:color w:val="auto"/>
        </w:rPr>
        <w:t>. Neither Borrower, nor any Subsidiary of Borrower, nor any owner, officer, director, partner, agent, managing employee or Person with a “direct or indirect ownership interest” (as that phrase is defined in 42 C.F.R. §1001.1001) in Borrower or any Subsidiary of Borrower is a party to, or bound by, any order, individual integrity agreement, corporate integrity agreement, corporate compliance agreement, deferred prosecution agreement, or other formal or informal agreement with any Governmental Authority concerning compliance with Healthcare Laws.</w:t>
      </w:r>
    </w:p>
    <w:p>
      <w:pPr>
        <w:spacing w:after="0" w:line="165"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(i)</w:t>
            </w:r>
          </w:p>
        </w:tc>
        <w:tc>
          <w:tcPr>
            <w:tcW w:w="6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Regulatory Compliance.</w:t>
            </w:r>
          </w:p>
        </w:tc>
        <w:tc>
          <w:tcPr>
            <w:tcW w:w="5840" w:type="dxa"/>
            <w:vAlign w:val="bottom"/>
          </w:tcPr>
          <w:p>
            <w:pPr>
              <w:spacing w:after="0"/>
              <w:rPr>
                <w:sz w:val="18"/>
                <w:szCs w:val="18"/>
                <w:color w:val="auto"/>
              </w:rPr>
            </w:pPr>
          </w:p>
        </w:tc>
      </w:tr>
      <w:tr>
        <w:trPr>
          <w:trHeight w:val="439"/>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w:t>
            </w:r>
          </w:p>
        </w:tc>
        <w:tc>
          <w:tcPr>
            <w:tcW w:w="660" w:type="dxa"/>
            <w:vAlign w:val="bottom"/>
          </w:tcPr>
          <w:p>
            <w:pPr>
              <w:spacing w:after="0"/>
              <w:rPr>
                <w:sz w:val="24"/>
                <w:szCs w:val="24"/>
                <w:color w:val="auto"/>
              </w:rPr>
            </w:pPr>
          </w:p>
        </w:tc>
        <w:tc>
          <w:tcPr>
            <w:tcW w:w="5840" w:type="dxa"/>
            <w:vAlign w:val="bottom"/>
          </w:tcPr>
          <w:p>
            <w:pPr>
              <w:ind w:left="620"/>
              <w:spacing w:after="0"/>
              <w:rPr>
                <w:sz w:val="20"/>
                <w:szCs w:val="20"/>
                <w:color w:val="auto"/>
              </w:rPr>
            </w:pPr>
            <w:r>
              <w:rPr>
                <w:rFonts w:ascii="Arial" w:cs="Arial" w:eastAsia="Arial" w:hAnsi="Arial"/>
                <w:sz w:val="18"/>
                <w:szCs w:val="18"/>
                <w:color w:val="auto"/>
                <w:w w:val="90"/>
              </w:rPr>
              <w:t>Borrower is and, during the past three (3) years, has been in compliance</w:t>
            </w:r>
          </w:p>
        </w:tc>
      </w:tr>
    </w:tbl>
    <w:p>
      <w:pPr>
        <w:jc w:val="both"/>
        <w:spacing w:after="0" w:line="243" w:lineRule="auto"/>
        <w:rPr>
          <w:sz w:val="20"/>
          <w:szCs w:val="20"/>
          <w:color w:val="auto"/>
        </w:rPr>
      </w:pPr>
      <w:r>
        <w:rPr>
          <w:rFonts w:ascii="Arial" w:cs="Arial" w:eastAsia="Arial" w:hAnsi="Arial"/>
          <w:sz w:val="18"/>
          <w:szCs w:val="18"/>
          <w:color w:val="auto"/>
        </w:rPr>
        <w:t>in all material respects with all applicable Healthcare Laws. Borrower has, and it and its products are in conformance in all material respects with, all Registrations that are required to conduct its business as currently conducted, or as proposed to be conducted. To Borrower’s Knowledge, no Regulatory Authority is considering limiting, suspending, or revoking such Registrations or requiring material changes to the marketing classification or labeling, where such changes would</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18"/>
          <w:szCs w:val="18"/>
          <w:color w:val="auto"/>
        </w:rPr>
        <w:t>reasonably be expected to result in a Material Adverse Change on any product of Borrower. To the Knowledge of Borrower, any third party that is a manufacturer, supplier, distributor or contractor for Borrower is in material compliance, and has been (to the extent applicable) in material compliance for the previous five (5) years, with all Registrations required by relevant Regulatory Authorities and all applicable Healthcare Laws that reasonably pertain to product components of, accessories to, or products regulated medical devices and marketed or distributed by Borrower. To Borrower’s Knowledge, there are no facts that furnish any reasonable basis for any Regulatory Action by that Regulatory Authority that would reasonably be expected to result in a Material Adverse Change on Borrower or any product of Borrower.</w:t>
      </w:r>
    </w:p>
    <w:p>
      <w:pPr>
        <w:spacing w:after="0" w:line="185" w:lineRule="exact"/>
        <w:rPr>
          <w:sz w:val="20"/>
          <w:szCs w:val="20"/>
          <w:color w:val="auto"/>
        </w:rPr>
      </w:pPr>
    </w:p>
    <w:p>
      <w:pPr>
        <w:jc w:val="both"/>
        <w:ind w:firstLine="2995"/>
        <w:spacing w:after="0" w:line="245" w:lineRule="auto"/>
        <w:rPr>
          <w:sz w:val="20"/>
          <w:szCs w:val="20"/>
          <w:color w:val="auto"/>
        </w:rPr>
      </w:pPr>
      <w:r>
        <w:rPr>
          <w:rFonts w:ascii="Arial" w:cs="Arial" w:eastAsia="Arial" w:hAnsi="Arial"/>
          <w:sz w:val="18"/>
          <w:szCs w:val="18"/>
          <w:color w:val="auto"/>
        </w:rPr>
        <w:t>(ii) All products designed, developed, investigated, manufactured, prepared, assembled, packaged, tested, labeled, distributed, promoted, sold or marketed by or on behalf of Borrower that are subject to the jurisdiction of any Regulatory Authority have been and are being, to the Knowledge of Borrower, designed, developed, investigated, manufactured, prepared, assembled, packaged, tested, labeled, distributed, promoted, sold and marketed in compliance in all material respects with all applicable Healthcare Laws and, to the Knowledge of Borrower, have been (to the extent applicable) for the previous five (5) years.</w:t>
      </w:r>
    </w:p>
    <w:p>
      <w:pPr>
        <w:spacing w:after="0" w:line="186" w:lineRule="exact"/>
        <w:rPr>
          <w:sz w:val="20"/>
          <w:szCs w:val="20"/>
          <w:color w:val="auto"/>
        </w:rPr>
      </w:pPr>
    </w:p>
    <w:p>
      <w:pPr>
        <w:jc w:val="both"/>
        <w:ind w:firstLine="2995"/>
        <w:spacing w:after="0" w:line="249" w:lineRule="auto"/>
        <w:rPr>
          <w:sz w:val="20"/>
          <w:szCs w:val="20"/>
          <w:color w:val="auto"/>
        </w:rPr>
      </w:pPr>
      <w:r>
        <w:rPr>
          <w:rFonts w:ascii="Arial" w:cs="Arial" w:eastAsia="Arial" w:hAnsi="Arial"/>
          <w:sz w:val="18"/>
          <w:szCs w:val="18"/>
          <w:color w:val="auto"/>
        </w:rPr>
        <w:t>(iii) As of the Effective Date, Borrower is not subject to any obligation arising under a Regulatory Action, and, to Borrower’s Knowledge, no such obligation has been threatened. There is no Regulatory Action or, to Borrower’s Knowledge, any other civil, criminal or administrative action, suit, demand, claim, complaint, hearing, investigation, demand letter, proceeding or request for information pending against Borrower or an officer, director, or employee of Borrower. To Borrower’s Knowledge, Borrower does not have any material outstanding liability (whether actual or contingent) for failure to comply with any applicable Healthcare Laws.</w:t>
      </w:r>
    </w:p>
    <w:p>
      <w:pPr>
        <w:spacing w:after="0" w:line="182" w:lineRule="exact"/>
        <w:rPr>
          <w:sz w:val="20"/>
          <w:szCs w:val="20"/>
          <w:color w:val="auto"/>
        </w:rPr>
      </w:pPr>
    </w:p>
    <w:p>
      <w:pPr>
        <w:jc w:val="both"/>
        <w:ind w:firstLine="2995"/>
        <w:spacing w:after="0" w:line="261" w:lineRule="auto"/>
        <w:rPr>
          <w:sz w:val="20"/>
          <w:szCs w:val="20"/>
          <w:color w:val="auto"/>
        </w:rPr>
      </w:pPr>
      <w:r>
        <w:rPr>
          <w:rFonts w:ascii="Arial" w:cs="Arial" w:eastAsia="Arial" w:hAnsi="Arial"/>
          <w:sz w:val="18"/>
          <w:szCs w:val="18"/>
          <w:color w:val="auto"/>
        </w:rPr>
        <w:t>(iv) As of the Effective Date, no Loan Party is undergoing any inspection by any Regulatory Authority related to any activities or products of Borrower that are subject to any Healthcare Laws.</w:t>
      </w:r>
    </w:p>
    <w:p>
      <w:pPr>
        <w:spacing w:after="0" w:line="184"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8"/>
          <w:szCs w:val="18"/>
          <w:color w:val="auto"/>
        </w:rPr>
        <w:t>Borrower has not received any written notice from any Regulatory</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Authority alleging material noncompliance with any applicable Healthcare Law. No product has been seized, withdrawn, recalled, detained, or subject to a suspension of research, manufacturing, distribution or commercialization activity. No proceedings seeking the withdrawal, recall, revocation, suspension, import detention, or seizure of any product are pending or, to Borrower’s Knowledge, threatened against Borrower, and to the Knowledge of Borrower, there are no reasonable grounds for the same.</w:t>
      </w:r>
    </w:p>
    <w:p>
      <w:pPr>
        <w:spacing w:after="0" w:line="189" w:lineRule="exact"/>
        <w:rPr>
          <w:sz w:val="20"/>
          <w:szCs w:val="20"/>
          <w:color w:val="auto"/>
        </w:rPr>
      </w:pPr>
    </w:p>
    <w:p>
      <w:pPr>
        <w:jc w:val="both"/>
        <w:ind w:firstLine="2995"/>
        <w:spacing w:after="0" w:line="259" w:lineRule="auto"/>
        <w:rPr>
          <w:sz w:val="20"/>
          <w:szCs w:val="20"/>
          <w:color w:val="auto"/>
        </w:rPr>
      </w:pPr>
      <w:r>
        <w:rPr>
          <w:rFonts w:ascii="Arial" w:cs="Arial" w:eastAsia="Arial" w:hAnsi="Arial"/>
          <w:sz w:val="17"/>
          <w:szCs w:val="17"/>
          <w:color w:val="auto"/>
        </w:rPr>
        <w:t>(vi) Clinical or preclinical studies, tests or trials that have been or are being conducted by or on behalf of, or sponsored by, Borrower or any Subsidiary, or in which Borrower’s or any Subsidiary’s products or product candidates have participated, and which have been or will be submitted to the FDA or other Governmental Authorities in connection with applications for Governmental Approvals, were and, if still pending, are being conducted in compliance in all material respects with all applicable Healthcare Laws. No investigational device exemption or other allowance to commence a clinical trial filed with or submitted to the FDA or other Governmental Authority by or on behalf of Borrower or any Subsidiary has been terminated or suspended, and neither the FDA nor any applicable Governmental Authority has commenced, or to the Knowledge of Borrower, threatened to initiate, any action to place a clinical hold order on, or otherwise terminate, delay or suspend, any proposed or ongoing clinical investigation conducted or proposed to be conducted by or on behalf of Borrower or any Subsidiary.</w:t>
      </w:r>
    </w:p>
    <w:p>
      <w:pPr>
        <w:spacing w:after="0" w:line="189" w:lineRule="exact"/>
        <w:rPr>
          <w:sz w:val="20"/>
          <w:szCs w:val="20"/>
          <w:color w:val="auto"/>
        </w:rPr>
      </w:pPr>
    </w:p>
    <w:p>
      <w:pPr>
        <w:jc w:val="both"/>
        <w:ind w:firstLine="2995"/>
        <w:spacing w:after="0" w:line="261" w:lineRule="auto"/>
        <w:rPr>
          <w:sz w:val="20"/>
          <w:szCs w:val="20"/>
          <w:color w:val="auto"/>
        </w:rPr>
      </w:pPr>
      <w:r>
        <w:rPr>
          <w:rFonts w:ascii="Arial" w:cs="Arial" w:eastAsia="Arial" w:hAnsi="Arial"/>
          <w:sz w:val="17"/>
          <w:szCs w:val="17"/>
          <w:color w:val="auto"/>
        </w:rPr>
        <w:t>(vii) Borrower and each Subsidiary has obtained and maintained all Governmental Approvals, including any Governmental Approvals required pursuant to any applicable Healthcare Laws, and all of such Governmental Approvals are in full force and effect, except where failures to possess or maintain the same, could not, whether individually or in the aggregate, reasonably be expected to have a Material Adverse Change. Borrower and each Subsidiary has fulfilled and performed all of its material obligations with respect to the Governmental Approvals, and, to the Knowledge of Borrower, no event has occurred which allows, or after notice or lapse of time would allow, revocation or termination thereof or result in any other impairment of the rights of the holder of any such Governmental Approval, except where such revocations, terminations or impairments could not, whether individually or in the aggregate, reasonably be expected to have a Material Adverse Change.</w:t>
      </w:r>
    </w:p>
    <w:p>
      <w:pPr>
        <w:spacing w:after="0" w:line="172" w:lineRule="exact"/>
        <w:rPr>
          <w:sz w:val="20"/>
          <w:szCs w:val="20"/>
          <w:color w:val="auto"/>
        </w:rPr>
      </w:pPr>
    </w:p>
    <w:p>
      <w:pPr>
        <w:jc w:val="both"/>
        <w:ind w:firstLine="2995"/>
        <w:spacing w:after="0" w:line="261" w:lineRule="auto"/>
        <w:rPr>
          <w:sz w:val="20"/>
          <w:szCs w:val="20"/>
          <w:color w:val="auto"/>
        </w:rPr>
      </w:pPr>
      <w:r>
        <w:rPr>
          <w:rFonts w:ascii="Arial" w:cs="Arial" w:eastAsia="Arial" w:hAnsi="Arial"/>
          <w:sz w:val="18"/>
          <w:szCs w:val="18"/>
          <w:color w:val="auto"/>
        </w:rPr>
        <w:t>(viii) There have been no recalls, field notifications, field corrections, market withdrawals or replacements, warnings, “dear doctor” letters, investigator notices, safety alerts or other notice of action</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both"/>
        <w:spacing w:after="0" w:line="268" w:lineRule="auto"/>
        <w:rPr>
          <w:sz w:val="20"/>
          <w:szCs w:val="20"/>
          <w:color w:val="auto"/>
        </w:rPr>
      </w:pPr>
      <w:r>
        <w:rPr>
          <w:rFonts w:ascii="Arial" w:cs="Arial" w:eastAsia="Arial" w:hAnsi="Arial"/>
          <w:sz w:val="17"/>
          <w:szCs w:val="17"/>
          <w:color w:val="auto"/>
        </w:rPr>
        <w:t>relating to an alleged lack of safety, efficacy, or regulatory compliance of any of Borrower’s or its Subsidiaries’ products (collectively, “</w:t>
      </w:r>
      <w:r>
        <w:rPr>
          <w:rFonts w:ascii="Arial" w:cs="Arial" w:eastAsia="Arial" w:hAnsi="Arial"/>
          <w:sz w:val="17"/>
          <w:szCs w:val="17"/>
          <w:u w:val="single" w:color="auto"/>
          <w:color w:val="auto"/>
        </w:rPr>
        <w:t>Safety Notices</w:t>
      </w:r>
      <w:r>
        <w:rPr>
          <w:rFonts w:ascii="Arial" w:cs="Arial" w:eastAsia="Arial" w:hAnsi="Arial"/>
          <w:sz w:val="17"/>
          <w:szCs w:val="17"/>
          <w:color w:val="auto"/>
        </w:rPr>
        <w:t>”) within the past three years, and to the Knowledge of Borrower, there are no facts or circumstances that would be reasonably likely to result in (i) a material Safety Notice with respect to any of Borrower’s or its Subsidiaries’ products, (ii) a material adverse change in labeling of any of Borrower’s or its Subsidiaries’ products; or (iii) a termination or suspension of marketing or testing of Borrower’s or its Subsidiaries’ products.</w:t>
      </w:r>
    </w:p>
    <w:p>
      <w:pPr>
        <w:spacing w:after="0" w:line="16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 xml:space="preserve">Environmental Matters. </w:t>
      </w:r>
      <w:r>
        <w:rPr>
          <w:rFonts w:ascii="Arial" w:cs="Arial" w:eastAsia="Arial" w:hAnsi="Arial"/>
          <w:sz w:val="16"/>
          <w:szCs w:val="16"/>
          <w:color w:val="auto"/>
        </w:rPr>
        <w:t>Except as disclosed on Schedule 5.12 of the ABL Credit Agreement, Borrower has no Knowledge:</w:t>
      </w:r>
    </w:p>
    <w:p>
      <w:pPr>
        <w:spacing w:after="0" w:line="229" w:lineRule="exact"/>
        <w:rPr>
          <w:sz w:val="20"/>
          <w:szCs w:val="20"/>
          <w:color w:val="auto"/>
        </w:rPr>
      </w:pPr>
    </w:p>
    <w:p>
      <w:pPr>
        <w:ind w:right="20" w:firstLine="1505"/>
        <w:spacing w:after="0" w:line="261" w:lineRule="auto"/>
        <w:tabs>
          <w:tab w:leader="none" w:pos="18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violations of any Environmental Laws on any of the real property on which Borrower maintains operations or has its personal Property, or on which any Collateral is located;</w:t>
      </w:r>
    </w:p>
    <w:p>
      <w:pPr>
        <w:spacing w:after="0" w:line="170"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any claims or actions pending or threatened, or claims or actions in the past during Borrower’s period of ownership, against Borrower or any of such real property by any governmental entity or agency or by any other Person or entity relating to Hazardous Substances or pursuant to any Environmental Laws;</w:t>
      </w:r>
    </w:p>
    <w:p>
      <w:pPr>
        <w:spacing w:after="0" w:line="174" w:lineRule="exact"/>
        <w:rPr>
          <w:rFonts w:ascii="Arial" w:cs="Arial" w:eastAsia="Arial" w:hAnsi="Arial"/>
          <w:sz w:val="18"/>
          <w:szCs w:val="18"/>
          <w:color w:val="auto"/>
        </w:rPr>
      </w:pPr>
    </w:p>
    <w:p>
      <w:pPr>
        <w:ind w:left="1860" w:hanging="355"/>
        <w:spacing w:after="0"/>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presence of any Hazardous Substances on any of such real property;</w:t>
      </w:r>
    </w:p>
    <w:p>
      <w:pPr>
        <w:spacing w:after="0" w:line="211" w:lineRule="exact"/>
        <w:rPr>
          <w:rFonts w:ascii="Arial" w:cs="Arial" w:eastAsia="Arial" w:hAnsi="Arial"/>
          <w:sz w:val="18"/>
          <w:szCs w:val="18"/>
          <w:color w:val="auto"/>
        </w:rPr>
      </w:pPr>
    </w:p>
    <w:p>
      <w:pPr>
        <w:ind w:right="20" w:firstLine="1505"/>
        <w:spacing w:after="0" w:line="308" w:lineRule="auto"/>
        <w:tabs>
          <w:tab w:leader="none" w:pos="18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of any such real property ever having been used by Borrower or, to Borrower’s Knowledge, any other Person, to refine, produce, store, handle, transfer, process, transport or dispose of Hazardous Substances other than in full compliance with Environmental Laws;</w:t>
      </w:r>
    </w:p>
    <w:p>
      <w:pPr>
        <w:spacing w:after="0" w:line="132" w:lineRule="exact"/>
        <w:rPr>
          <w:rFonts w:ascii="Arial" w:cs="Arial" w:eastAsia="Arial" w:hAnsi="Arial"/>
          <w:sz w:val="17"/>
          <w:szCs w:val="17"/>
          <w:color w:val="auto"/>
        </w:rPr>
      </w:pPr>
    </w:p>
    <w:p>
      <w:pPr>
        <w:ind w:firstLine="1505"/>
        <w:spacing w:after="0" w:line="261" w:lineRule="auto"/>
        <w:tabs>
          <w:tab w:leader="none" w:pos="18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storage tanks (including petroleum or heating oil storage tanks), underground or above ground, present on or under any of such real property, or that have been on or under any such real property but removed therefrom;</w:t>
      </w:r>
    </w:p>
    <w:p>
      <w:pPr>
        <w:spacing w:after="0" w:line="184" w:lineRule="exact"/>
        <w:rPr>
          <w:rFonts w:ascii="Arial" w:cs="Arial" w:eastAsia="Arial" w:hAnsi="Arial"/>
          <w:sz w:val="18"/>
          <w:szCs w:val="18"/>
          <w:color w:val="auto"/>
        </w:rPr>
      </w:pPr>
    </w:p>
    <w:p>
      <w:pPr>
        <w:ind w:right="40" w:firstLine="1505"/>
        <w:spacing w:after="0" w:line="261" w:lineRule="auto"/>
        <w:tabs>
          <w:tab w:leader="none" w:pos="18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any on-site spills, releases, discharges, disposal or storage of Hazardous Substances that have occurred or are presently occurring on any of such real property; or</w:t>
      </w:r>
    </w:p>
    <w:p>
      <w:pPr>
        <w:spacing w:after="0" w:line="170" w:lineRule="exact"/>
        <w:rPr>
          <w:rFonts w:ascii="Arial" w:cs="Arial" w:eastAsia="Arial" w:hAnsi="Arial"/>
          <w:sz w:val="18"/>
          <w:szCs w:val="18"/>
          <w:color w:val="auto"/>
        </w:rPr>
      </w:pPr>
    </w:p>
    <w:p>
      <w:pPr>
        <w:ind w:right="20" w:firstLine="1505"/>
        <w:spacing w:after="0" w:line="277" w:lineRule="auto"/>
        <w:tabs>
          <w:tab w:leader="none" w:pos="18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any spills, releases, discharges, disposal or storage of Hazardous Substances that have occurred or are presently occurring on any other real property as a result of the conduct, action or activities of Borrower.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AFFIRMATIVE COVENANTS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216" w:lineRule="exact"/>
        <w:rPr>
          <w:sz w:val="20"/>
          <w:szCs w:val="20"/>
          <w:color w:val="auto"/>
        </w:rPr>
      </w:pPr>
    </w:p>
    <w:p>
      <w:pPr>
        <w:jc w:val="both"/>
        <w:ind w:firstLine="1505"/>
        <w:spacing w:after="0" w:line="256" w:lineRule="auto"/>
        <w:tabs>
          <w:tab w:leader="none" w:pos="18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Borrower agrees to comply in all material respects with all Applicable Laws, including without limitation, all applicable Healthcare Laws, and all orders of any Federal, state or local legislative, administrative or judicial body or official,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contest any acts, rules, regulations, orders and directions of such bodies or officials in any reasonable manner.</w:t>
      </w:r>
    </w:p>
    <w:p>
      <w:pPr>
        <w:spacing w:after="0" w:line="174" w:lineRule="exact"/>
        <w:rPr>
          <w:rFonts w:ascii="Arial" w:cs="Arial" w:eastAsia="Arial" w:hAnsi="Arial"/>
          <w:sz w:val="18"/>
          <w:szCs w:val="18"/>
          <w:color w:val="auto"/>
        </w:rPr>
      </w:pPr>
    </w:p>
    <w:p>
      <w:pPr>
        <w:jc w:val="both"/>
        <w:ind w:firstLine="1505"/>
        <w:spacing w:after="0" w:line="276" w:lineRule="auto"/>
        <w:tabs>
          <w:tab w:leader="none" w:pos="1857" w:val="left"/>
        </w:tabs>
        <w:numPr>
          <w:ilvl w:val="1"/>
          <w:numId w:val="53"/>
        </w:numPr>
        <w:rPr>
          <w:rFonts w:ascii="Arial" w:cs="Arial" w:eastAsia="Arial" w:hAnsi="Arial"/>
          <w:sz w:val="16"/>
          <w:szCs w:val="16"/>
          <w:color w:val="auto"/>
        </w:rPr>
      </w:pPr>
      <w:r>
        <w:rPr>
          <w:rFonts w:ascii="Arial" w:cs="Arial" w:eastAsia="Arial" w:hAnsi="Arial"/>
          <w:sz w:val="16"/>
          <w:szCs w:val="16"/>
          <w:color w:val="auto"/>
        </w:rPr>
        <w:t>Without limiting the generality of the foregoing, Borrower agrees to comply with all Environmental Laws, applicable to the ownership (to the extent Borrower owns any real property) and/or use of Borrower’s real property and operation of its business, if the failure to so comply could reasonably be expected to have a Material Adverse Change. Borrower shall not be deemed to have breached any provision of this Section 6.1(b) if</w:t>
      </w:r>
    </w:p>
    <w:p>
      <w:pPr>
        <w:jc w:val="both"/>
        <w:ind w:firstLine="8"/>
        <w:spacing w:after="0" w:line="241" w:lineRule="auto"/>
        <w:tabs>
          <w:tab w:leader="none" w:pos="2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to comply with the requirements of this Section 6.1(b) resulted from good-faith error or innocent omission, (ii) Borrower promptly commences and diligently pursues a cure of such breach and (iii) such failure is cured within thirty (30) days following Borrower’s receipt of notice from Collateral Agent of such failure, or if such breach cannot in good faith be cured within thirty (30) days following Borrower’s receipt of such notice, then such breach is cured within a reasonable time frame based on the extent and nature of the breach and the necessary remediation, and in conformity with any applicable consent order, consensual agreement and Applicable Law.</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both"/>
        <w:ind w:firstLine="1505"/>
        <w:spacing w:after="0" w:line="303" w:lineRule="auto"/>
        <w:tabs>
          <w:tab w:leader="none" w:pos="1857" w:val="left"/>
        </w:tabs>
        <w:numPr>
          <w:ilvl w:val="0"/>
          <w:numId w:val="55"/>
        </w:numPr>
        <w:rPr>
          <w:rFonts w:ascii="Arial" w:cs="Arial" w:eastAsia="Arial" w:hAnsi="Arial"/>
          <w:sz w:val="16"/>
          <w:szCs w:val="16"/>
          <w:color w:val="auto"/>
        </w:rPr>
      </w:pPr>
      <w:r>
        <w:rPr>
          <w:rFonts w:ascii="Arial" w:cs="Arial" w:eastAsia="Arial" w:hAnsi="Arial"/>
          <w:sz w:val="16"/>
          <w:szCs w:val="16"/>
          <w:color w:val="auto"/>
        </w:rPr>
        <w:t>Borrower and each of Borrower’s Subsidiaries shall (i) obtain, maintain and preserve, and cause each of its Subsidiaries to obtain, maintain and preserve, and take all necessary action to timely renew, all material Healthcare Permits which are necessary or useful in the proper conduct of its business; and (ii) keep and maintain all records required to be maintained by any Governmental Authority or otherwise under any Healthcare Law.</w:t>
      </w:r>
    </w:p>
    <w:p>
      <w:pPr>
        <w:spacing w:after="0" w:line="140" w:lineRule="exact"/>
        <w:rPr>
          <w:rFonts w:ascii="Arial" w:cs="Arial" w:eastAsia="Arial" w:hAnsi="Arial"/>
          <w:sz w:val="16"/>
          <w:szCs w:val="16"/>
          <w:color w:val="auto"/>
        </w:rPr>
      </w:pPr>
    </w:p>
    <w:p>
      <w:pPr>
        <w:ind w:right="20" w:firstLine="1505"/>
        <w:spacing w:after="0" w:line="261" w:lineRule="auto"/>
        <w:tabs>
          <w:tab w:leader="none" w:pos="18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Borrower and each of Borrower’s Subsidiaries shall maintain a corporate and health care regulatory compliance program to the extent required under Requirements of Law.</w:t>
      </w:r>
    </w:p>
    <w:p>
      <w:pPr>
        <w:spacing w:after="0" w:line="18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and Certificates; Notices.</w:t>
      </w:r>
    </w:p>
    <w:p>
      <w:pPr>
        <w:spacing w:after="0" w:line="216" w:lineRule="exact"/>
        <w:rPr>
          <w:sz w:val="20"/>
          <w:szCs w:val="20"/>
          <w:color w:val="auto"/>
        </w:rPr>
      </w:pPr>
    </w:p>
    <w:p>
      <w:pPr>
        <w:ind w:left="3000" w:hanging="1495"/>
        <w:spacing w:after="0"/>
        <w:tabs>
          <w:tab w:leader="none" w:pos="3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12" w:lineRule="exact"/>
        <w:rPr>
          <w:sz w:val="20"/>
          <w:szCs w:val="20"/>
          <w:color w:val="auto"/>
        </w:rPr>
      </w:pPr>
    </w:p>
    <w:p>
      <w:pPr>
        <w:jc w:val="both"/>
        <w:ind w:firstLine="2528"/>
        <w:spacing w:after="0" w:line="263" w:lineRule="auto"/>
        <w:rPr>
          <w:sz w:val="20"/>
          <w:szCs w:val="20"/>
          <w:color w:val="auto"/>
        </w:rPr>
      </w:pPr>
      <w:r>
        <w:rPr>
          <w:rFonts w:ascii="Arial" w:cs="Arial" w:eastAsia="Arial" w:hAnsi="Arial"/>
          <w:sz w:val="17"/>
          <w:szCs w:val="17"/>
          <w:color w:val="auto"/>
        </w:rPr>
        <w:t>(i) as soon as available, but no later than thirty (30) days after the last day of each month, a company prepared consolidated balance sheet, income statement and cash flow statement, subject to year-end adjustments and the absence of footnotes, covering the consolidated operations of Borrower and its consolidated Subsidiaries for such month certified by a Responsible Officer or the Designated Signatory and in a form reasonably acceptable to the Collateral Agent; provided that such monthly financial statements may exclude stock-based compensation, receivable for stock exercises, the reclassification of debt and prepaid expenses (long-term versus short-term), capitalized freight and excess and obsolete inventory and such other customary items that historically have not been included in Borrower’s monthly financial statements;</w:t>
      </w:r>
    </w:p>
    <w:p>
      <w:pPr>
        <w:spacing w:after="0" w:line="173" w:lineRule="exact"/>
        <w:rPr>
          <w:sz w:val="20"/>
          <w:szCs w:val="20"/>
          <w:color w:val="auto"/>
        </w:rPr>
      </w:pPr>
    </w:p>
    <w:p>
      <w:pPr>
        <w:jc w:val="both"/>
        <w:ind w:firstLine="2528"/>
        <w:spacing w:after="0" w:line="249" w:lineRule="auto"/>
        <w:rPr>
          <w:sz w:val="20"/>
          <w:szCs w:val="20"/>
          <w:color w:val="auto"/>
        </w:rPr>
      </w:pPr>
      <w:r>
        <w:rPr>
          <w:rFonts w:ascii="Arial" w:cs="Arial" w:eastAsia="Arial" w:hAnsi="Arial"/>
          <w:sz w:val="18"/>
          <w:szCs w:val="18"/>
          <w:color w:val="auto"/>
        </w:rPr>
        <w:t>(ii) as soon as available, but no later than forty-five (45) days after the last day of each of Borrower’s first three fiscal quarters, a company prepared consolidated and, if prepared by Borrower, consolidating balance sheet, income statement and cash flow statement covering the consolidated operations of Borrower and its consolidated Subsidiaries for such fiscal quarter certified by a Responsible Officer or the Designated Signatory and in a form reasonably acceptable to the Collateral Agent;</w:t>
      </w:r>
    </w:p>
    <w:p>
      <w:pPr>
        <w:spacing w:after="0" w:line="181" w:lineRule="exact"/>
        <w:rPr>
          <w:sz w:val="20"/>
          <w:szCs w:val="20"/>
          <w:color w:val="auto"/>
        </w:rPr>
      </w:pPr>
    </w:p>
    <w:p>
      <w:pPr>
        <w:jc w:val="both"/>
        <w:ind w:firstLine="2528"/>
        <w:spacing w:after="0" w:line="249" w:lineRule="auto"/>
        <w:rPr>
          <w:sz w:val="20"/>
          <w:szCs w:val="20"/>
          <w:color w:val="auto"/>
        </w:rPr>
      </w:pPr>
      <w:r>
        <w:rPr>
          <w:rFonts w:ascii="Arial" w:cs="Arial" w:eastAsia="Arial" w:hAnsi="Arial"/>
          <w:sz w:val="18"/>
          <w:szCs w:val="18"/>
          <w:color w:val="auto"/>
        </w:rPr>
        <w:t>(iii) 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on the financial statements;</w:t>
      </w:r>
    </w:p>
    <w:p>
      <w:pPr>
        <w:spacing w:after="0" w:line="194" w:lineRule="exact"/>
        <w:rPr>
          <w:sz w:val="20"/>
          <w:szCs w:val="20"/>
          <w:color w:val="auto"/>
        </w:rPr>
      </w:pPr>
    </w:p>
    <w:p>
      <w:pPr>
        <w:jc w:val="both"/>
        <w:ind w:firstLine="2528"/>
        <w:spacing w:after="0" w:line="249" w:lineRule="auto"/>
        <w:rPr>
          <w:sz w:val="20"/>
          <w:szCs w:val="20"/>
          <w:color w:val="auto"/>
        </w:rPr>
      </w:pPr>
      <w:r>
        <w:rPr>
          <w:rFonts w:ascii="Arial" w:cs="Arial" w:eastAsia="Arial" w:hAnsi="Arial"/>
          <w:sz w:val="18"/>
          <w:szCs w:val="18"/>
          <w:color w:val="auto"/>
        </w:rPr>
        <w:t>(iv) as soon as available after approval thereof by Borrower’s board of directors, but no later than February 15 of such year, an Annual Plan with respect to each fiscal year of Borrower, commencing with the fiscal year ending December 31, 2023; provided that, any revisions to such Annual Plan as are approved by Borrower’s board of directors shall be delivered to Collateral Agent and the Lenders no later than seven (7) days after such approval;</w:t>
      </w:r>
    </w:p>
    <w:p>
      <w:pPr>
        <w:spacing w:after="0" w:line="181" w:lineRule="exact"/>
        <w:rPr>
          <w:sz w:val="20"/>
          <w:szCs w:val="20"/>
          <w:color w:val="auto"/>
        </w:rPr>
      </w:pPr>
    </w:p>
    <w:p>
      <w:pPr>
        <w:jc w:val="both"/>
        <w:ind w:firstLine="2528"/>
        <w:spacing w:after="0" w:line="243" w:lineRule="auto"/>
        <w:rPr>
          <w:sz w:val="20"/>
          <w:szCs w:val="20"/>
          <w:color w:val="auto"/>
        </w:rPr>
      </w:pPr>
      <w:r>
        <w:rPr>
          <w:rFonts w:ascii="Arial" w:cs="Arial" w:eastAsia="Arial" w:hAnsi="Arial"/>
          <w:sz w:val="18"/>
          <w:szCs w:val="18"/>
          <w:color w:val="auto"/>
        </w:rPr>
        <w:t xml:space="preserve">(v) within five (5) Business Days of delivery, copies of all non-ministerial material statements, reports and notices made available generally to Borrower’s security holders or holders of Permitted Convertible Debt (other than materials provided to members of Borrower’s board of directors solely in their capacities as directors and not security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foregoing may be subject to such exclusions and redactions as Borrower deems reasonably necessary, in the exercise of its good faith judgment, in order to (1) preserve the confidentiality of highly sensitive information, (2) prevent impairment of the attorney client privilege or (3) conflict of interest with Lenders for new financing;</w:t>
      </w:r>
    </w:p>
    <w:p>
      <w:pPr>
        <w:sectPr>
          <w:pgSz w:w="11900" w:h="16838" w:orient="portrait"/>
          <w:cols w:equalWidth="0" w:num="1">
            <w:col w:w="11240"/>
          </w:cols>
          <w:pgMar w:left="320" w:top="125" w:right="339" w:bottom="1440" w:gutter="0" w:footer="0" w:header="0"/>
        </w:sectPr>
      </w:pPr>
    </w:p>
    <w:p>
      <w:pPr>
        <w:spacing w:after="0" w:line="20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(vi)</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Securities and Exchange Commission;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within five (5) days of filing, all reports on Form 10 K, 10 Q and 8 K filed with the</w:t>
      </w:r>
    </w:p>
    <w:p>
      <w:pPr>
        <w:spacing w:after="0" w:line="395" w:lineRule="exact"/>
        <w:rPr>
          <w:sz w:val="20"/>
          <w:szCs w:val="20"/>
          <w:color w:val="auto"/>
        </w:rPr>
      </w:pPr>
    </w:p>
    <w:p>
      <w:pPr>
        <w:sectPr>
          <w:pgSz w:w="11900" w:h="16838" w:orient="portrait"/>
          <w:cols w:equalWidth="0" w:num="2">
            <w:col w:w="4060" w:space="720"/>
            <w:col w:w="6460"/>
          </w:cols>
          <w:pgMar w:left="320" w:top="125" w:right="339" w:bottom="1440" w:gutter="0" w:footer="0" w:header="0"/>
          <w:type w:val="continuous"/>
        </w:sectPr>
      </w:pPr>
    </w:p>
    <w:p>
      <w:pPr>
        <w:spacing w:after="0" w:line="1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solely during the period that neither the Collateral Agent or any Lender is an Affiliate of</w:t>
      </w:r>
    </w:p>
    <w:p>
      <w:pPr>
        <w:spacing w:after="0" w:line="45"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jc w:val="both"/>
        <w:spacing w:after="0"/>
        <w:rPr>
          <w:sz w:val="20"/>
          <w:szCs w:val="20"/>
          <w:color w:val="auto"/>
        </w:rPr>
      </w:pPr>
      <w:r>
        <w:rPr>
          <w:rFonts w:ascii="Arial" w:cs="Arial" w:eastAsia="Arial" w:hAnsi="Arial"/>
          <w:sz w:val="18"/>
          <w:szCs w:val="18"/>
          <w:color w:val="auto"/>
        </w:rPr>
        <w:t>the ABL Lender, promptly, upon receipt or delivery thereof, as applicable, (1) copies of all amendments, waivers, consents, supplements, or other modifications to any ABL Loan Document (but in any event not less than five (5) Business Days prior to the execution thereof (or such later date as Collateral Agent may agree)) and (2) copies of all material notices received from or delivered to the ABL Lender;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jc w:val="both"/>
        <w:ind w:firstLine="2528"/>
        <w:spacing w:after="0" w:line="216" w:lineRule="exact"/>
        <w:rPr>
          <w:sz w:val="20"/>
          <w:szCs w:val="20"/>
          <w:color w:val="auto"/>
        </w:rPr>
      </w:pPr>
      <w:r>
        <w:rPr>
          <w:rFonts w:ascii="Arial" w:cs="Arial" w:eastAsia="Arial" w:hAnsi="Arial"/>
          <w:sz w:val="18"/>
          <w:szCs w:val="18"/>
          <w:color w:val="auto"/>
        </w:rPr>
        <w:t>(viii) as soon as available, but no later than thirty (30) days after the last day of each month, copies of the month</w:t>
      </w:r>
      <w:r>
        <w:rPr>
          <w:rFonts w:ascii="MS PGothic" w:cs="MS PGothic" w:eastAsia="MS PGothic" w:hAnsi="MS PGothic"/>
          <w:sz w:val="18"/>
          <w:szCs w:val="18"/>
          <w:color w:val="auto"/>
        </w:rPr>
        <w:t>‑</w:t>
      </w:r>
      <w:r>
        <w:rPr>
          <w:rFonts w:ascii="Arial" w:cs="Arial" w:eastAsia="Arial" w:hAnsi="Arial"/>
          <w:sz w:val="18"/>
          <w:szCs w:val="18"/>
          <w:color w:val="auto"/>
        </w:rPr>
        <w:t>end account statements for each Collateral Account maintained by Borrower or its Subsidiaries, which statements may be provided to Collateral Agent and each Lender by Borrower or directly from the applicable institution(s);</w:t>
      </w:r>
    </w:p>
    <w:p>
      <w:pPr>
        <w:spacing w:after="0" w:line="190" w:lineRule="exact"/>
        <w:rPr>
          <w:sz w:val="20"/>
          <w:szCs w:val="20"/>
          <w:color w:val="auto"/>
        </w:rPr>
      </w:pPr>
    </w:p>
    <w:p>
      <w:pPr>
        <w:jc w:val="both"/>
        <w:ind w:firstLine="2528"/>
        <w:spacing w:after="0" w:line="249" w:lineRule="auto"/>
        <w:rPr>
          <w:sz w:val="20"/>
          <w:szCs w:val="20"/>
          <w:color w:val="auto"/>
        </w:rPr>
      </w:pPr>
      <w:r>
        <w:rPr>
          <w:rFonts w:ascii="Arial" w:cs="Arial" w:eastAsia="Arial" w:hAnsi="Arial"/>
          <w:sz w:val="18"/>
          <w:szCs w:val="18"/>
          <w:color w:val="auto"/>
        </w:rPr>
        <w:t>(ix) prompt delivery of (and in any event within five (5) Business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prompt notice of any event that (A) could reasonably be expected to materially and</w:t>
      </w:r>
    </w:p>
    <w:p>
      <w:pPr>
        <w:spacing w:after="0" w:line="35"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adversely affect the value of the Intellectual Property or (B) could reasonably be expected to result in a Material Adverse Change;</w:t>
      </w:r>
    </w:p>
    <w:p>
      <w:pPr>
        <w:sectPr>
          <w:pgSz w:w="11900" w:h="16838" w:orient="portrait"/>
          <w:cols w:equalWidth="0" w:num="1">
            <w:col w:w="11240"/>
          </w:cols>
          <w:pgMar w:left="320" w:top="125" w:right="339" w:bottom="1440" w:gutter="0" w:footer="0" w:header="0"/>
          <w:type w:val="continuous"/>
        </w:sectPr>
      </w:pPr>
    </w:p>
    <w:p>
      <w:pPr>
        <w:spacing w:after="0" w:line="220"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(xi)</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Subsidiary in accordance with the terms of Section 6.10;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delivered within ten (10) days after Borrower’s creation of a New</w:t>
      </w:r>
    </w:p>
    <w:p>
      <w:pPr>
        <w:spacing w:after="0" w:line="395"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spacing w:after="0" w:line="1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written notice delivered within thirty (30) days after Borrower’s (A) adding any new</w:t>
      </w:r>
    </w:p>
    <w:p>
      <w:pPr>
        <w:spacing w:after="0" w:line="34"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jc w:val="both"/>
        <w:spacing w:after="0" w:line="243" w:lineRule="auto"/>
        <w:rPr>
          <w:sz w:val="20"/>
          <w:szCs w:val="20"/>
          <w:color w:val="auto"/>
        </w:rPr>
      </w:pPr>
      <w:r>
        <w:rPr>
          <w:rFonts w:ascii="Arial" w:cs="Arial" w:eastAsia="Arial" w:hAnsi="Arial"/>
          <w:sz w:val="18"/>
          <w:szCs w:val="18"/>
          <w:color w:val="auto"/>
        </w:rPr>
        <w:t>offices or business locations, including warehouses (unless such new offices or business locations contain less than One Million Dollars ($1,000,000.00) or such location involves a contract manufacturer or a third party logistics provider) in assets or property of Borrower or any of its Subsidiaries, (B) changing its respective jurisdiction of organization, (C) changing its organizational structure or type, (D) changing its respective legal name, or (E) changing any organizational number(s) (if any) assigned by its respective jurisdiction of organization;</w:t>
      </w:r>
    </w:p>
    <w:p>
      <w:pPr>
        <w:spacing w:after="0" w:line="187" w:lineRule="exact"/>
        <w:rPr>
          <w:sz w:val="20"/>
          <w:szCs w:val="20"/>
          <w:color w:val="auto"/>
        </w:rPr>
      </w:pPr>
    </w:p>
    <w:p>
      <w:pPr>
        <w:jc w:val="both"/>
        <w:ind w:firstLine="2528"/>
        <w:spacing w:after="0" w:line="250" w:lineRule="auto"/>
        <w:rPr>
          <w:sz w:val="20"/>
          <w:szCs w:val="20"/>
          <w:color w:val="auto"/>
        </w:rPr>
      </w:pPr>
      <w:r>
        <w:rPr>
          <w:rFonts w:ascii="Arial" w:cs="Arial" w:eastAsia="Arial" w:hAnsi="Arial"/>
          <w:sz w:val="18"/>
          <w:szCs w:val="18"/>
          <w:color w:val="auto"/>
        </w:rPr>
        <w:t>(xiii) upon Borrower becoming aware of the existence of any Event of Default or event which, with the giving of notice or passage of time, or both, would constitute an Event of Default, prompt (and in any event within five (5) Business Days)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spacing w:after="0" w:line="202" w:lineRule="exact"/>
        <w:rPr>
          <w:sz w:val="20"/>
          <w:szCs w:val="20"/>
          <w:color w:val="auto"/>
        </w:rPr>
      </w:pPr>
    </w:p>
    <w:p>
      <w:pPr>
        <w:jc w:val="both"/>
        <w:ind w:firstLine="2528"/>
        <w:spacing w:after="0" w:line="248" w:lineRule="auto"/>
        <w:rPr>
          <w:sz w:val="20"/>
          <w:szCs w:val="20"/>
          <w:color w:val="auto"/>
        </w:rPr>
      </w:pPr>
      <w:r>
        <w:rPr>
          <w:rFonts w:ascii="Arial" w:cs="Arial" w:eastAsia="Arial" w:hAnsi="Arial"/>
          <w:sz w:val="18"/>
          <w:szCs w:val="18"/>
          <w:color w:val="auto"/>
        </w:rPr>
        <w:t xml:space="preserve">(xiv) immediate notice if Borrower or such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95" w:lineRule="exact"/>
        <w:rPr>
          <w:sz w:val="20"/>
          <w:szCs w:val="20"/>
          <w:color w:val="auto"/>
        </w:rPr>
      </w:pPr>
    </w:p>
    <w:p>
      <w:pPr>
        <w:jc w:val="both"/>
        <w:ind w:firstLine="2528"/>
        <w:spacing w:after="0" w:line="248" w:lineRule="auto"/>
        <w:rPr>
          <w:sz w:val="20"/>
          <w:szCs w:val="20"/>
          <w:color w:val="auto"/>
        </w:rPr>
      </w:pPr>
      <w:r>
        <w:rPr>
          <w:rFonts w:ascii="Arial" w:cs="Arial" w:eastAsia="Arial" w:hAnsi="Arial"/>
          <w:sz w:val="18"/>
          <w:szCs w:val="18"/>
          <w:color w:val="auto"/>
        </w:rPr>
        <w:t>(xv) notice of any commercial tort claim (as defined in the Code) or letter of credit rights (as defined in the Code) held by Borrower or any Guarantor, in each case in an amount greater than One Million Dollars ($1,000,000.00) and of the general details thereof;</w:t>
      </w:r>
    </w:p>
    <w:p>
      <w:pPr>
        <w:spacing w:after="0" w:line="182" w:lineRule="exact"/>
        <w:rPr>
          <w:sz w:val="20"/>
          <w:szCs w:val="20"/>
          <w:color w:val="auto"/>
        </w:rPr>
      </w:pPr>
    </w:p>
    <w:p>
      <w:pPr>
        <w:jc w:val="both"/>
        <w:ind w:firstLine="2528"/>
        <w:spacing w:after="0" w:line="256" w:lineRule="auto"/>
        <w:rPr>
          <w:sz w:val="20"/>
          <w:szCs w:val="20"/>
          <w:color w:val="auto"/>
        </w:rPr>
      </w:pPr>
      <w:r>
        <w:rPr>
          <w:rFonts w:ascii="Arial" w:cs="Arial" w:eastAsia="Arial" w:hAnsi="Arial"/>
          <w:sz w:val="18"/>
          <w:szCs w:val="18"/>
          <w:color w:val="auto"/>
        </w:rPr>
        <w:t>(xvi) 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w:t>
      </w:r>
    </w:p>
    <w:p>
      <w:pPr>
        <w:spacing w:after="0" w:line="175" w:lineRule="exact"/>
        <w:rPr>
          <w:sz w:val="20"/>
          <w:szCs w:val="20"/>
          <w:color w:val="auto"/>
        </w:rPr>
      </w:pPr>
    </w:p>
    <w:p>
      <w:pPr>
        <w:jc w:val="both"/>
        <w:ind w:firstLine="2528"/>
        <w:spacing w:after="0" w:line="249" w:lineRule="auto"/>
        <w:rPr>
          <w:sz w:val="20"/>
          <w:szCs w:val="20"/>
          <w:color w:val="auto"/>
        </w:rPr>
      </w:pPr>
      <w:r>
        <w:rPr>
          <w:rFonts w:ascii="Arial" w:cs="Arial" w:eastAsia="Arial" w:hAnsi="Arial"/>
          <w:sz w:val="18"/>
          <w:szCs w:val="18"/>
          <w:color w:val="auto"/>
        </w:rPr>
        <w:t>(xvii) prompt notice of the execution any Material Agreement or any amendment to, modification of, termination of or waiver under any Material Agreement (to the extent such amendment, modification, termination or waiver is required to be disclosed (including amendments thereto) under regulations promulgated under the Securities Act of 1933 or Securities Exchange Act of 1934, as may be amended);</w:t>
      </w:r>
    </w:p>
    <w:p>
      <w:pPr>
        <w:spacing w:after="0" w:line="194" w:lineRule="exact"/>
        <w:rPr>
          <w:sz w:val="20"/>
          <w:szCs w:val="20"/>
          <w:color w:val="auto"/>
        </w:rPr>
      </w:pPr>
    </w:p>
    <w:p>
      <w:pPr>
        <w:jc w:val="both"/>
        <w:ind w:firstLine="2528"/>
        <w:spacing w:after="0" w:line="245" w:lineRule="auto"/>
        <w:rPr>
          <w:sz w:val="20"/>
          <w:szCs w:val="20"/>
          <w:color w:val="auto"/>
        </w:rPr>
      </w:pPr>
      <w:r>
        <w:rPr>
          <w:rFonts w:ascii="Arial" w:cs="Arial" w:eastAsia="Arial" w:hAnsi="Arial"/>
          <w:sz w:val="18"/>
          <w:szCs w:val="18"/>
          <w:color w:val="auto"/>
        </w:rPr>
        <w:t>(xviii) an updated Perfection Certificate to reflect any amendments, modifications and updates, if any, to certain information in the Perfection Certificate after the Effective Date to the extent such amendments, modifications and updates are permitted by one or more specific provisions in this agreement; provided that delivery of such updated Perfection Certificate shall only be required once every year and due concurrently with the delivery of the financial statements specified in Section 6.2(a)(iii) above, starting with the year ending December 31, 2023; and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ind w:left="2540"/>
        <w:spacing w:after="0"/>
        <w:tabs>
          <w:tab w:leader="none" w:pos="4820" w:val="left"/>
        </w:tabs>
        <w:rPr>
          <w:sz w:val="20"/>
          <w:szCs w:val="20"/>
          <w:color w:val="auto"/>
        </w:rPr>
      </w:pPr>
      <w:r>
        <w:rPr>
          <w:rFonts w:ascii="Arial" w:cs="Arial" w:eastAsia="Arial" w:hAnsi="Arial"/>
          <w:sz w:val="18"/>
          <w:szCs w:val="18"/>
          <w:color w:val="auto"/>
        </w:rPr>
        <w:t>(xix)</w:t>
      </w:r>
      <w:r>
        <w:rPr>
          <w:sz w:val="20"/>
          <w:szCs w:val="20"/>
          <w:color w:val="auto"/>
        </w:rPr>
        <w:tab/>
      </w:r>
      <w:r>
        <w:rPr>
          <w:rFonts w:ascii="Arial" w:cs="Arial" w:eastAsia="Arial" w:hAnsi="Arial"/>
          <w:sz w:val="18"/>
          <w:szCs w:val="18"/>
          <w:color w:val="auto"/>
        </w:rPr>
        <w:t>other information as reasonably requested by Collateral Agent or any Lender.</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the financial statements required to be delivered pursuant to clauses (ii), (iii), (v), (vi) and (xvii) above may be delivered electronically and if so delivered, shall be deemed to have been delivered on the date on which Borrower posts such documents, or provides a link thereto, on Borrower’s website on the internet at Borrower’s website address.</w:t>
      </w:r>
    </w:p>
    <w:p>
      <w:pPr>
        <w:spacing w:after="0" w:line="175" w:lineRule="exact"/>
        <w:rPr>
          <w:sz w:val="20"/>
          <w:szCs w:val="20"/>
          <w:color w:val="auto"/>
        </w:rPr>
      </w:pPr>
    </w:p>
    <w:p>
      <w:pPr>
        <w:ind w:firstLine="1505"/>
        <w:spacing w:after="0" w:line="277" w:lineRule="auto"/>
        <w:tabs>
          <w:tab w:leader="none" w:pos="29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duly completed Compliance Certificate signed by a Responsible Officer or the</w:t>
      </w:r>
    </w:p>
    <w:p>
      <w:pPr>
        <w:spacing w:after="0" w:line="19"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Designated Signatory;</w:t>
      </w:r>
    </w:p>
    <w:p>
      <w:pPr>
        <w:spacing w:after="0" w:line="202" w:lineRule="exact"/>
        <w:rPr>
          <w:sz w:val="20"/>
          <w:szCs w:val="20"/>
          <w:color w:val="auto"/>
        </w:rPr>
      </w:pPr>
    </w:p>
    <w:p>
      <w:pPr>
        <w:ind w:firstLine="2528"/>
        <w:spacing w:after="0" w:line="261" w:lineRule="auto"/>
        <w:rPr>
          <w:sz w:val="20"/>
          <w:szCs w:val="20"/>
          <w:color w:val="auto"/>
        </w:rPr>
      </w:pPr>
      <w:r>
        <w:rPr>
          <w:rFonts w:ascii="Arial" w:cs="Arial" w:eastAsia="Arial" w:hAnsi="Arial"/>
          <w:sz w:val="18"/>
          <w:szCs w:val="18"/>
          <w:color w:val="auto"/>
        </w:rPr>
        <w:t>(ii) to the extent not otherwise disclosed previously, written notice of the commencement of, and any material development in, the proceedings contemplated by Section 5.8 hereof;</w:t>
      </w:r>
    </w:p>
    <w:p>
      <w:pPr>
        <w:spacing w:after="0" w:line="171" w:lineRule="exact"/>
        <w:rPr>
          <w:sz w:val="20"/>
          <w:szCs w:val="20"/>
          <w:color w:val="auto"/>
        </w:rPr>
      </w:pPr>
    </w:p>
    <w:p>
      <w:pPr>
        <w:ind w:left="2540"/>
        <w:spacing w:after="0"/>
        <w:tabs>
          <w:tab w:leader="none" w:pos="48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to the extent not otherwise disclosed previously, written notice of any litigation or</w:t>
      </w:r>
    </w:p>
    <w:p>
      <w:pPr>
        <w:sectPr>
          <w:pgSz w:w="11900" w:h="16838" w:orient="portrait"/>
          <w:cols w:equalWidth="0" w:num="1">
            <w:col w:w="11240"/>
          </w:cols>
          <w:pgMar w:left="320" w:top="125" w:right="339" w:bottom="1440" w:gutter="0" w:footer="0" w:header="0"/>
          <w:type w:val="continuous"/>
        </w:sectPr>
      </w:pPr>
    </w:p>
    <w:p>
      <w:pPr>
        <w:spacing w:after="0" w:line="2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governmental proceedings pending or threatened (in writing) against Borrower or any of its Subsidiaries, which could reasonably be expected to result in uninsured damages or costs to Borrower or any of its Subsidiaries of One Million Dollars ($1,000,000.00).</w:t>
      </w:r>
    </w:p>
    <w:p>
      <w:pPr>
        <w:spacing w:after="0" w:line="184" w:lineRule="exact"/>
        <w:rPr>
          <w:sz w:val="20"/>
          <w:szCs w:val="20"/>
          <w:color w:val="auto"/>
        </w:rPr>
      </w:pPr>
    </w:p>
    <w:p>
      <w:pPr>
        <w:jc w:val="both"/>
        <w:ind w:firstLine="1505"/>
        <w:spacing w:after="0" w:line="277" w:lineRule="auto"/>
        <w:tabs>
          <w:tab w:leader="none" w:pos="29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 and so long as the Collateral Agent remains an Affiliate of the ABL Lender, such inspection and together with any inspection exercised by the ABL Lender under Section 6.12 of the ABL Credit Agreement shall not exceed once per fiscal year absent the occurrence and continuation of an Event of Default or an “Event of Default” (as defined under the ABL Credit Agreement).</w:t>
      </w:r>
    </w:p>
    <w:p>
      <w:pPr>
        <w:spacing w:after="0" w:line="17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(to the extent that have passed inspection and accepted by Borrower or its Subsidiaries)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respects good and marketable condition, free from material defects. Returns and allowances between Borrower, or any of its Subsidiaries, as applicable, and their respective Account Debtors shall follow Borrower’s, or such Subsidiary’s, customary practices as they exist as of the Effective Date. Borrower must promptly notify Collateral Agent and the Lenders of all returns, recoveries, disputes and claims that involve more than One Million Dollars ($1,000,000.00) individually or in the aggregate in any calendar year.</w:t>
      </w:r>
    </w:p>
    <w:p>
      <w:pPr>
        <w:spacing w:after="0" w:line="18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b w:val="1"/>
          <w:bCs w:val="1"/>
          <w:color w:val="auto"/>
        </w:rPr>
        <w:t xml:space="preserve">6.4 Taxes; Pensions. </w:t>
      </w:r>
      <w:r>
        <w:rPr>
          <w:rFonts w:ascii="Arial" w:cs="Arial" w:eastAsia="Arial" w:hAnsi="Arial"/>
          <w:sz w:val="16"/>
          <w:szCs w:val="16"/>
          <w:color w:val="auto"/>
        </w:rPr>
        <w:t>Timely file, and require each of its Subsidiaries to timely file (or obtain timely extensions for), all required income</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material tax returns and reports, and timely pay, and require each of its Subsidiaries to timely pay, all foreign, federal, state, and local income and other material Taxes, assessments, deposits and contributions owed by Borrower or its Subsidiaries, except as otherwise permitted pursuant to the terms of Section 5.8 hereof; deliver to Collateral Agent, on demand, appropriate certificates attesting to such payments; and pay all amounts necessary to fund in all material respects all present pension, profit sharing and deferred compensation plans in accordance with the terms of such plans.</w:t>
      </w:r>
    </w:p>
    <w:p>
      <w:pPr>
        <w:spacing w:after="0" w:line="16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b w:val="1"/>
          <w:bCs w:val="1"/>
          <w:color w:val="auto"/>
        </w:rPr>
        <w:t xml:space="preserve">6.5 Insurance. </w:t>
      </w:r>
      <w:r>
        <w:rPr>
          <w:rFonts w:ascii="Arial" w:cs="Arial" w:eastAsia="Arial" w:hAnsi="Arial"/>
          <w:sz w:val="18"/>
          <w:szCs w:val="18"/>
          <w:color w:val="auto"/>
        </w:rPr>
        <w:t>Keep Borrower’s and its Subsidiaries’ business and the Collateral insured for risks and in amounts standard for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in 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The Collateral Agent shall be named as lender loss payee and/or additional insured with respect to any such insurance providing coverage in respect of any Collateral, and each provider of any such insurance shall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jc w:val="both"/>
        <w:spacing w:after="0" w:line="242" w:lineRule="auto"/>
        <w:rPr>
          <w:sz w:val="20"/>
          <w:szCs w:val="20"/>
          <w:color w:val="auto"/>
        </w:rPr>
      </w:pPr>
      <w:r>
        <w:rPr>
          <w:rFonts w:ascii="Arial" w:cs="Arial" w:eastAsia="Arial" w:hAnsi="Arial"/>
          <w:sz w:val="18"/>
          <w:szCs w:val="18"/>
          <w:color w:val="auto"/>
        </w:rPr>
        <w:t>agree, by endorsement upon the policy or policies issued by it or by independent instruments furnished to the Collateral Agent, that it will give the Collateral Agent thirty (30) days prior written notice before any such policy or policies shall be canceled. At Collateral Agent’s request, Borrower shall deliver to the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 with respect to proceeds of any casualty policy in an aggregate amount up to Two Million Five Hundred Thousand Dollars ($2,500,000), (a) so long as no Event of Default has occurred and is continuing, Borrower shall have the option of applying such proceeds within two hundred seventy (270) days of receipt thereof toward the replacement promptly or repair of destroyed or damaged property; provided that any such replaced or repaired property (i) shall be of equal or like value as the replaced and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w:t>
      </w:r>
    </w:p>
    <w:p>
      <w:pPr>
        <w:spacing w:after="0" w:line="18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 xml:space="preserve">6.6 Operating Accounts.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Borrower shall maintain Borrower’s and Guarantors’ Collateral Accounts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any Excluded Account) with depositary institutions that have agreed to execute Control Agreements in favor of Collateral Agent with respect to such Collateral Accounts. Borrower shall provide Collateral Agent ten (10) days written notice after Borrower or any Guarantor establishes any Collateral Account (other than any Excluded Account). In addition, for each Collateral Account (other than any Excluded Account) that Borrower or any Guarantor, at any time maintains, Borrower or such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within thirty (30) days (or such later date as Collateral Agent may agree) after the establishment of such Collateral Account. Neither Borrower nor any Guarantor shall maintain any Collateral Accounts except Excluded Accounts maintained in accordance with this Section 6.6.</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use commercially reasonable efforts to: (a)</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defend and maintain the validity and enforceability of its respective Intellectual Property that is material to its business; (b) promptly advise Collateral Agent in writing of material infringement by a third party of its respective Intellectual Property that is material to its business; and (c) not allow any of its respective Intellectual Property material to its respective business to be abandoned, forfeited or dedicated to the public without Collateral Agent’s prior written consent.</w:t>
      </w:r>
    </w:p>
    <w:p>
      <w:pPr>
        <w:spacing w:after="0" w:line="177" w:lineRule="exact"/>
        <w:rPr>
          <w:sz w:val="20"/>
          <w:szCs w:val="20"/>
          <w:color w:val="auto"/>
        </w:rPr>
      </w:pPr>
    </w:p>
    <w:p>
      <w:pPr>
        <w:jc w:val="both"/>
        <w:ind w:firstLine="749"/>
        <w:spacing w:after="0" w:line="214" w:lineRule="exact"/>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w:t>
      </w:r>
      <w:r>
        <w:rPr>
          <w:rFonts w:ascii="MS PGothic" w:cs="MS PGothic" w:eastAsia="MS PGothic" w:hAnsi="MS PGothic"/>
          <w:sz w:val="17"/>
          <w:szCs w:val="17"/>
          <w:color w:val="auto"/>
        </w:rPr>
        <w:t>‑</w:t>
      </w:r>
      <w:r>
        <w:rPr>
          <w:rFonts w:ascii="Arial" w:cs="Arial" w:eastAsia="Arial" w:hAnsi="Arial"/>
          <w:sz w:val="17"/>
          <w:szCs w:val="17"/>
          <w:color w:val="auto"/>
        </w:rPr>
        <w:t>party suit or proceeding instituted by or against Collateral Agent or any Lender with respect to any Collateral or relating to Borrower.</w:t>
      </w:r>
    </w:p>
    <w:p>
      <w:pPr>
        <w:spacing w:after="0" w:line="18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b w:val="1"/>
          <w:bCs w:val="1"/>
          <w:color w:val="auto"/>
        </w:rPr>
        <w:t xml:space="preserve">6.9 Landlord Waivers; Bailee Waivers. </w:t>
      </w:r>
      <w:r>
        <w:rPr>
          <w:rFonts w:ascii="Arial" w:cs="Arial" w:eastAsia="Arial" w:hAnsi="Arial"/>
          <w:sz w:val="17"/>
          <w:szCs w:val="17"/>
          <w:color w:val="auto"/>
        </w:rPr>
        <w:t>In addition to the landlord waivers/collateral access agreements required to be delivered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3.5</w:t>
      </w:r>
      <w:r>
        <w:rPr>
          <w:rFonts w:ascii="Arial" w:cs="Arial" w:eastAsia="Arial" w:hAnsi="Arial"/>
          <w:sz w:val="17"/>
          <w:szCs w:val="17"/>
          <w:color w:val="auto"/>
        </w:rPr>
        <w:t>, in the event that Borrower or any of its Subsidiaries, after the Effective Date, intends to add any new offices or business locations, including warehouses but excluding contract manufacturing or third party logistics sites, or otherwise store any portion of the Collateral with, or deliver any portion of the Collateral to, a bailee, in each case pursuant to Section 7.2, then, in the event that the Collateral at any new location is valued (based on book value) in excess of One Million Dollars ($1,000,000.00) in the aggregate, such bailee or landlord, as applicable, must execute and deliver a bailee waiver or landlord waiver, as applicable, in form and substance reasonably satisfactory to Collateral Agent within sixty (60) days after adding any such new offices or business locations, or any such storage with or delivery to any such bailee, as the case may be.</w:t>
      </w:r>
    </w:p>
    <w:p>
      <w:pPr>
        <w:spacing w:after="0" w:line="16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b w:val="1"/>
          <w:bCs w:val="1"/>
          <w:color w:val="auto"/>
        </w:rPr>
        <w:t xml:space="preserve">6.10 Creation/Acquisition of Subsidiaries. </w:t>
      </w:r>
      <w:r>
        <w:rPr>
          <w:rFonts w:ascii="Arial" w:cs="Arial" w:eastAsia="Arial" w:hAnsi="Arial"/>
          <w:sz w:val="17"/>
          <w:szCs w:val="17"/>
          <w:color w:val="auto"/>
        </w:rPr>
        <w:t>In the event Borrower or any Subsidiary of Borrower creates or acquires any Subsidiary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Date, Borrower or such Subsidiary shall promptly notify the Collateral Agent and the Lenders of such creation or acquisition. Within thirty</w:t>
      </w:r>
    </w:p>
    <w:p>
      <w:pPr>
        <w:ind w:right="20" w:firstLine="8"/>
        <w:spacing w:after="0" w:line="243"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days of such creation of acquisition (or forty-five (45) days in the case of a foreign Subsidiary), Borrower or such Subsidiary shall take all actions reasonably requested by the Collateral Agent or the Lenders to achieve any of the following with respect to such “</w:t>
      </w:r>
      <w:r>
        <w:rPr>
          <w:rFonts w:ascii="Arial" w:cs="Arial" w:eastAsia="Arial" w:hAnsi="Arial"/>
          <w:sz w:val="18"/>
          <w:szCs w:val="18"/>
          <w:b w:val="1"/>
          <w:bCs w:val="1"/>
          <w:color w:val="auto"/>
        </w:rPr>
        <w:t>New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17"/>
          <w:szCs w:val="17"/>
          <w:b w:val="1"/>
          <w:bCs w:val="1"/>
          <w:color w:val="auto"/>
        </w:rPr>
        <w:t>Subsidiary</w:t>
      </w:r>
      <w:r>
        <w:rPr>
          <w:rFonts w:ascii="Arial" w:cs="Arial" w:eastAsia="Arial" w:hAnsi="Arial"/>
          <w:sz w:val="17"/>
          <w:szCs w:val="17"/>
          <w:color w:val="auto"/>
        </w:rPr>
        <w:t>” (defined as a Subsidiary formed after the date hereof during the term of this Agreement): (i) if such New Subsidiary is not an Excluded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cause such New Subsidiary to become either a co-Borrower hereunder, or a secured guarantor with respect to the Obligations; and (ii) to grant and pledge to Collateral Agent a perfected security interest in 100% of the stock, units or other evidence of ownership held by Borrower or its Subsidiaries of any such New Subsidiary (other than to the extent constituting (x) Excluded Assets or (y) directors’ qualifying shares or nominee or other similar shares required under applicable law). Notwithstanding the foregoing, within forty-five (45) days of any change in the U.S. tax laws that would (i) result in such New Subsidiary ceasing to be an Excluded Subsidiary, Borrower shall cause such New Subsidiary to become a secured guarantor with respect to the Obligations, or (ii) allow the pledge of a greater percentage of such voting equity interests of such New Subsidiary without material adverse tax consequences to Borrower, Borrower shall cause to be granted and pledged to Collateral Agent a perfected security interest in such greater percentage of voting equity interests of such New Subsidiary, in each case from that time forward.</w:t>
      </w:r>
    </w:p>
    <w:p>
      <w:pPr>
        <w:spacing w:after="0" w:line="17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6.11 Further Assurances</w:t>
      </w:r>
      <w:r>
        <w:rPr>
          <w:rFonts w:ascii="Arial" w:cs="Arial" w:eastAsia="Arial" w:hAnsi="Arial"/>
          <w:sz w:val="18"/>
          <w:szCs w:val="18"/>
          <w:color w:val="auto"/>
        </w:rPr>
        <w:t>. Execute any further instruments and take further action as Collateral Agent or any Lender reasonably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to perfect or continue Collateral Agent’s Lien in the Collateral or to effect the purposes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Borrower shall not, and shall not permit any of its Subsidiaries to, do any of the following without the prior written consent of the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192"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dispose of, license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all or any part of its business or property, except for Transfers (a) of Inventory or other assets in the ordinary course of business (including Transfers to the contract manufacturers or third party logistics providers to facilitate product manufacturing and logistics services); (b) of worn</w:t>
      </w:r>
      <w:r>
        <w:rPr>
          <w:rFonts w:ascii="MS PGothic" w:cs="MS PGothic" w:eastAsia="MS PGothic" w:hAnsi="MS PGothic"/>
          <w:sz w:val="17"/>
          <w:szCs w:val="17"/>
          <w:color w:val="auto"/>
        </w:rPr>
        <w:t>‑</w:t>
      </w:r>
      <w:r>
        <w:rPr>
          <w:rFonts w:ascii="Arial" w:cs="Arial" w:eastAsia="Arial" w:hAnsi="Arial"/>
          <w:sz w:val="17"/>
          <w:szCs w:val="17"/>
          <w:color w:val="auto"/>
        </w:rPr>
        <w:t>out, surplus, uneconomic or obsolete Equipment and inventory, or such other assets that are immaterial or no longer useful to Borrower or any of its Subsidiaries’ business; (c) in connection with Permitted Liens, Permitted Investments and Permitted Licenses; or (d) cash or Cash Equivalents in the ordinary course of business and pursuant to transactions not prohibited by this Agreement; (e) Transfers (including by discounting, cancellation or forgiveness) of accounts receivable (excluding sales or dispositions in a factoring arrangement) in connection with the compromise, settlement or collection thereof in the ordinary course of business; (f) Transfers of assets among Borrower, co-Borrowers or Guarantors or Transfers of assets by a Subsidiary of Borrower to Borrower, co-Borrowers or Guarantors; (g) Transfers of assets by Borrower, co-Borrowers or Guarantors to Subsidiaries that are not co-Borrowers or Guarantors, provided that the amount of all such Transfers, together with Investments by Borrower or Subsidiaries that are co-Borrowers or Guarantors in Subsidiaries that are not co-Borrowers or Guarantors that are permitted under clause (i) of the definition of Permitted Investments, shall not, in the aggregate, exceed Five Hundred Thousand Dollars ($500,000.00) per fiscal year and (h) other Transfers in the aggregate not to exceed Two Hundred Fifty Thousand Dollars ($250,000.00) per fiscal year.</w:t>
      </w:r>
    </w:p>
    <w:p>
      <w:pPr>
        <w:spacing w:after="0" w:line="19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 xml:space="preserve">Changes in Business, Management, Ownership, or Business Locations. </w:t>
      </w:r>
      <w:r>
        <w:rPr>
          <w:rFonts w:ascii="Arial" w:cs="Arial" w:eastAsia="Arial" w:hAnsi="Arial"/>
          <w:sz w:val="16"/>
          <w:szCs w:val="16"/>
          <w:color w:val="auto"/>
        </w:rPr>
        <w:t>(a) Engage in or permit any of its Subsidiaries to engage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any business other than the businesses engaged in by Borrower or such Subsidiary, as applicable, as of the Effective Date or reasonably related, complimentary or incidental thereto; (b) liquidate or dissolve, except in a transaction permitted under Section 7.3; or (c) (i) provide written notice to Collateral Agent at the time an 8-K is filed announcing the retirement, resignation or termination of any Key Person, or (ii) enter into any transaction or series of related transactions in which (A) any “person” or “group” (as such terms are used in Sections 13(d) and 14(d) of the Securities Exchange Act of 1934, as amended) shall be the “beneficial owner” (as defined in Rules 13(d) 3 and 13(d) 5 under the Securities Exchange Act of 1934, as amended), directly or indirectly, of 35% of the voting and economic outstanding stock of Borrower and (B) except as permitted by Section 7.3, Borrower ceases to own, directly or indirectly, 100% of the ownership interests in each Subsidiary of Borrower, except (x) in a transaction permitted under Section 7.3 or (y) for directors’ qualifying shares or nominee or other similar shares required under applicable law. Borrower shall not, and shall not permit any of its Subsidiaries to, without at least ten (10) days’ prior written notice to Collateral Agent: (A) change its respective jurisdiction of organization, (B) except as permitted by Section 7.3, change its respective organizational structure or type, (C) change its respective legal name, or (D) change any organizational number(s) (if any) assigned by its respective jurisdiction of organization.</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749"/>
        <w:spacing w:after="0" w:line="210" w:lineRule="exact"/>
        <w:rPr>
          <w:sz w:val="20"/>
          <w:szCs w:val="20"/>
          <w:color w:val="auto"/>
        </w:rPr>
      </w:pPr>
      <w:r>
        <w:rPr>
          <w:rFonts w:ascii="Arial" w:cs="Arial" w:eastAsia="Arial" w:hAnsi="Arial"/>
          <w:sz w:val="17"/>
          <w:szCs w:val="17"/>
          <w:b w:val="1"/>
          <w:bCs w:val="1"/>
          <w:color w:val="auto"/>
        </w:rPr>
        <w:t xml:space="preserve">7.3 Mergers or Acquisitions. </w:t>
      </w:r>
      <w:r>
        <w:rPr>
          <w:rFonts w:ascii="Arial" w:cs="Arial" w:eastAsia="Arial" w:hAnsi="Arial"/>
          <w:sz w:val="17"/>
          <w:szCs w:val="17"/>
          <w:color w:val="auto"/>
        </w:rPr>
        <w:t>Merge or consolidate, or permit any of its Subsidiaries to merge or consolidate, with any other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acquire, or permit any of its Subsidiaries to acquire, all or substantially all of the capital stock or shares or any property of another Person, in each case including for the avoidance of doubt through a merger, purchase, in-licensing arrangement or any similar transaction. Notwithstanding the foregoing, (x) a Subsidiary may merge or consolidate into (including by way of liquidation or dissolution) another Subsidiary (provided such surviving Subsidiary is a “co</w:t>
      </w:r>
      <w:r>
        <w:rPr>
          <w:rFonts w:ascii="MS PGothic" w:cs="MS PGothic" w:eastAsia="MS PGothic" w:hAnsi="MS PGothic"/>
          <w:sz w:val="17"/>
          <w:szCs w:val="17"/>
          <w:color w:val="auto"/>
        </w:rPr>
        <w:t>‑</w:t>
      </w:r>
      <w:r>
        <w:rPr>
          <w:rFonts w:ascii="Arial" w:cs="Arial" w:eastAsia="Arial" w:hAnsi="Arial"/>
          <w:sz w:val="17"/>
          <w:szCs w:val="17"/>
          <w:color w:val="auto"/>
        </w:rPr>
        <w:t>Borrower” hereunder or has provided a secured Guaranty of Borrower’s Obligations hereunder in accordance with Section 6.10) or with (or into) Borrower provided Borrower is the surviving legal entity, (y) a Subsidiary that is not a co-Borrower or a Guarantor may merge or consolidate into (including by way of liquidation or dissolution) another Subsidiary that is not a co-Borrower or a Guarantor and (z) an Excluded Subsidiary may liquidate or dissolve, so long as, in each case, no Event of Default is occurring prior thereto or arises as a result therefrom.</w:t>
      </w:r>
    </w:p>
    <w:p>
      <w:pPr>
        <w:spacing w:after="0" w:line="20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162"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permit any of its Subsidiaries to do so,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Secured Parties)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definitions of “Permitted Liens” and “Permitted Negative Pledges”.</w:t>
      </w:r>
    </w:p>
    <w:p>
      <w:pPr>
        <w:spacing w:after="0" w:line="16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With respect to Borrower any Guarantors, maintain any Collateral Account except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Section 6.6.</w:t>
      </w:r>
    </w:p>
    <w:p>
      <w:pPr>
        <w:spacing w:after="0" w:line="17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b w:val="1"/>
          <w:bCs w:val="1"/>
          <w:color w:val="auto"/>
        </w:rPr>
        <w:t xml:space="preserve">7.7 Restricted Payments. </w:t>
      </w:r>
      <w:r>
        <w:rPr>
          <w:rFonts w:ascii="Arial" w:cs="Arial" w:eastAsia="Arial" w:hAnsi="Arial"/>
          <w:sz w:val="16"/>
          <w:szCs w:val="16"/>
          <w:color w:val="auto"/>
        </w:rPr>
        <w:t>(a) Declare or pay any dividends or make any other distribution or payment in respect of or redeem, retire or</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any capital stock or securities convertible into or exchangeable for capital stock (other than (i) the declaration or payment of dividends to Borrower or its Subsidiaries, (ii) the declaration or payment of any dividends solely in the form of equity securities, (iii) repurchases pursuant to the terms of employee stock purchase plans, employee restricted stock agreements, stockholder rights plans, director or consultant stock option plans, or similar plans, provided such repurchases do not exceed Five Hundred Thousand Dollars ($500,000.00) in the aggregate per fiscal year, (iv) purchases of capital stocks, restricted stock units and/or performance stock units in connection with the exercise of stock options, stock units, warrants or other equity awards by way of cashless or net exercise or in connection with the satisfaction of withholding tax obligations and (v) purchases of fractional shares of capital stock arising out of stock dividends, splits or combinations or business combinations or in connection with exercises or conversions of options, warrants and other convertible securities), (b) purchase, redeem, defease or prepay any principal of, premium, if any, interest or other amount payable in respect of any Permitted Convertible Debt prior to its scheduled maturity unless permitted by the following two paragraphs, or (c) be a party to or bound by an agreement that restricts a Subsidiary from paying dividends or otherwise distributing property to Borrower.</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Notwithstanding the foregoing, and for the avoidance of doubt, this Section 7.7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or any redemption of Permitted Convertible Debt to the extent permitted by Section 7.14; provided that the preceding sentence shall only allow principal payments in cash (other than payments of cash in lieu of fractional shares), if the Redemption Conditions are satisfied in respect of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 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shall not be permitted by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18"/>
          <w:szCs w:val="18"/>
          <w:color w:val="auto"/>
        </w:rPr>
        <w:t>this clause (i); and (ii) any required payment with respect to, or required early unwind or settlement of, any Permitted Call Spread Agreement, in each case, in accordance with the terms of the agreement governing such Permitted Call Spread Agreement; provided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Notwithstanding the foregoing, the Borrower may repurchase, exchange or induce the conversion of Permitted Convertible Debt by delivery of shares of the Borrower’s common stock and/or a different series of Permitted Convertible Debt (which series matures after, and does not require any scheduled amortization or other scheduled payments of principal prior to, the analogous date under the indenture governing the Permitted Convertible Debt that are so repurchased, exchanged or converted) (any such series of Permitted Convertible Debt, “</w:t>
      </w:r>
      <w:r>
        <w:rPr>
          <w:rFonts w:ascii="Arial" w:cs="Arial" w:eastAsia="Arial" w:hAnsi="Arial"/>
          <w:sz w:val="17"/>
          <w:szCs w:val="17"/>
          <w:b w:val="1"/>
          <w:bCs w:val="1"/>
          <w:color w:val="auto"/>
        </w:rPr>
        <w:t>Refinancing Convertible Debt</w:t>
      </w:r>
      <w:r>
        <w:rPr>
          <w:rFonts w:ascii="Arial" w:cs="Arial" w:eastAsia="Arial" w:hAnsi="Arial"/>
          <w:sz w:val="17"/>
          <w:szCs w:val="17"/>
          <w:color w:val="auto"/>
        </w:rPr>
        <w:t>”)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provided 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spacing w:after="0" w:line="17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 xml:space="preserve">7.8 Investments. </w:t>
      </w:r>
      <w:r>
        <w:rPr>
          <w:rFonts w:ascii="Arial" w:cs="Arial" w:eastAsia="Arial" w:hAnsi="Arial"/>
          <w:sz w:val="18"/>
          <w:szCs w:val="18"/>
          <w:color w:val="auto"/>
        </w:rPr>
        <w:t>Directly or indirectly make any Investment other than Permitted Investments, or permit any of its Subsidiaries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Permitted Investments.</w:t>
      </w:r>
    </w:p>
    <w:p>
      <w:pPr>
        <w:spacing w:after="0" w:line="148" w:lineRule="exact"/>
        <w:rPr>
          <w:sz w:val="20"/>
          <w:szCs w:val="20"/>
          <w:color w:val="auto"/>
        </w:rPr>
      </w:pPr>
    </w:p>
    <w:p>
      <w:pPr>
        <w:jc w:val="both"/>
        <w:ind w:firstLine="749"/>
        <w:spacing w:after="0" w:line="211" w:lineRule="exact"/>
        <w:rPr>
          <w:sz w:val="20"/>
          <w:szCs w:val="20"/>
          <w:color w:val="auto"/>
        </w:rPr>
      </w:pPr>
      <w:r>
        <w:rPr>
          <w:rFonts w:ascii="Arial" w:cs="Arial" w:eastAsia="Arial" w:hAnsi="Arial"/>
          <w:sz w:val="18"/>
          <w:szCs w:val="18"/>
          <w:b w:val="1"/>
          <w:bCs w:val="1"/>
          <w:color w:val="auto"/>
        </w:rPr>
        <w:t xml:space="preserve">7.9 Transactions with Affiliates. </w:t>
      </w:r>
      <w:r>
        <w:rPr>
          <w:rFonts w:ascii="Arial" w:cs="Arial" w:eastAsia="Arial" w:hAnsi="Arial"/>
          <w:sz w:val="18"/>
          <w:szCs w:val="18"/>
          <w:color w:val="auto"/>
        </w:rPr>
        <w:t>Directly or indirectly enter into or permit to exist any material transaction with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except for (a) transactions that are in the ordinary course of Borrower’s or such Subsidiary’s business, upon fair and reasonable terms that are no less favorable to Borrower or such Subsidiary than would be obtained in an arm’s length transaction with a non</w:t>
      </w:r>
      <w:r>
        <w:rPr>
          <w:rFonts w:ascii="MS PGothic" w:cs="MS PGothic" w:eastAsia="MS PGothic" w:hAnsi="MS PGothic"/>
          <w:sz w:val="18"/>
          <w:szCs w:val="18"/>
          <w:color w:val="auto"/>
        </w:rPr>
        <w:t>‑</w:t>
      </w:r>
      <w:r>
        <w:rPr>
          <w:rFonts w:ascii="Arial" w:cs="Arial" w:eastAsia="Arial" w:hAnsi="Arial"/>
          <w:sz w:val="18"/>
          <w:szCs w:val="18"/>
          <w:color w:val="auto"/>
        </w:rPr>
        <w:t>affiliated Person, (b) equity investments by Borrower’s investors in Borrower or its Subsidiaries and transactions related thereto, (c) intercompany transactions expressly permitted by Sections 7.1, 7.3, 7.4, 7.7 or 7.8, (d) compensation, indemnification, reimbursement of expenses of officers and directors in the ordinary course of business or approved by Borrower’s or such Subsidiary’s board of directors (or governing body), and (e) employment arrangements with executive officers approved by Borrower’s Board of Directors.</w:t>
      </w:r>
    </w:p>
    <w:p>
      <w:pPr>
        <w:spacing w:after="0" w:line="18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7"/>
          <w:szCs w:val="17"/>
          <w:b w:val="1"/>
          <w:bCs w:val="1"/>
          <w:color w:val="auto"/>
        </w:rPr>
        <w:t xml:space="preserve">7.10 ABL Facility. </w:t>
      </w:r>
      <w:r>
        <w:rPr>
          <w:rFonts w:ascii="Arial" w:cs="Arial" w:eastAsia="Arial" w:hAnsi="Arial"/>
          <w:sz w:val="17"/>
          <w:szCs w:val="17"/>
          <w:color w:val="auto"/>
        </w:rPr>
        <w:t>(a) Make or permit any payment on any ABL Obligations, except in accordance with the terms of the Intercreditor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 amend any provision in any ABL Loan Document in a manner not permitted by the Intercreditor Agreement or in a manner materially adverse to the interest of Collateral Agent and Lenders or (c) enter into any agreement with an ABL Lender which is not an Affiliate of SLR.</w:t>
      </w:r>
    </w:p>
    <w:p>
      <w:pPr>
        <w:spacing w:after="0" w:line="15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7"/>
          <w:szCs w:val="17"/>
          <w:b w:val="1"/>
          <w:bCs w:val="1"/>
          <w:color w:val="auto"/>
        </w:rPr>
        <w:t xml:space="preserve">7.11 Compliance. </w:t>
      </w:r>
      <w:r>
        <w:rPr>
          <w:rFonts w:ascii="Arial" w:cs="Arial" w:eastAsia="Arial" w:hAnsi="Arial"/>
          <w:sz w:val="17"/>
          <w:szCs w:val="17"/>
          <w:color w:val="auto"/>
        </w:rPr>
        <w:t>(a) Become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or undertake as one of its important activities extending credit to purchase or carry margin stock (as defined in Regulation U of the Board of Governors of the Federal Reserve System), or use the proceeds of any Term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73" w:lineRule="exact"/>
        <w:rPr>
          <w:sz w:val="20"/>
          <w:szCs w:val="20"/>
          <w:color w:val="auto"/>
        </w:rPr>
      </w:pPr>
    </w:p>
    <w:p>
      <w:pPr>
        <w:jc w:val="both"/>
        <w:ind w:firstLine="749"/>
        <w:spacing w:after="0" w:line="218" w:lineRule="exact"/>
        <w:rPr>
          <w:sz w:val="20"/>
          <w:szCs w:val="20"/>
          <w:color w:val="auto"/>
        </w:rPr>
      </w:pPr>
      <w:r>
        <w:rPr>
          <w:rFonts w:ascii="Arial" w:cs="Arial" w:eastAsia="Arial" w:hAnsi="Arial"/>
          <w:sz w:val="18"/>
          <w:szCs w:val="18"/>
          <w:b w:val="1"/>
          <w:bCs w:val="1"/>
          <w:color w:val="auto"/>
        </w:rPr>
        <w:t>7.12 Compliance with 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Terrorism Laws. </w:t>
      </w:r>
      <w:r>
        <w:rPr>
          <w:rFonts w:ascii="Arial" w:cs="Arial" w:eastAsia="Arial" w:hAnsi="Arial"/>
          <w:sz w:val="18"/>
          <w:szCs w:val="18"/>
          <w:color w:val="auto"/>
        </w:rPr>
        <w:t>Neither Borrower nor any of its Subsidiaries shall, nor shall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permit any Affiliate to, directly or indirectly, knowingly enter into any documents, instruments, agreements or contracts with any Person listed on the OFAC Lists. Neither Borrower nor</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both"/>
        <w:spacing w:after="0" w:line="212" w:lineRule="exact"/>
        <w:rPr>
          <w:sz w:val="20"/>
          <w:szCs w:val="20"/>
          <w:color w:val="auto"/>
        </w:rPr>
      </w:pPr>
      <w:r>
        <w:rPr>
          <w:rFonts w:ascii="Arial" w:cs="Arial" w:eastAsia="Arial" w:hAnsi="Arial"/>
          <w:sz w:val="18"/>
          <w:szCs w:val="18"/>
          <w:color w:val="auto"/>
        </w:rPr>
        <w:t>any of its Subsidiaries shall, nor shall Borrower or any of its Subsidiaries, permit any Affiliate to, directly or indirectly,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 or (c)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w:t>
      </w:r>
    </w:p>
    <w:p>
      <w:pPr>
        <w:spacing w:after="0" w:line="18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7.13 Financial Covenants. </w:t>
      </w:r>
      <w:r>
        <w:rPr>
          <w:rFonts w:ascii="Arial" w:cs="Arial" w:eastAsia="Arial" w:hAnsi="Arial"/>
          <w:sz w:val="18"/>
          <w:szCs w:val="18"/>
          <w:color w:val="auto"/>
        </w:rPr>
        <w:t>Commencing with the fiscal quarter of the Borrower ending on December 31, 2023 and for each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occurring thereafter:</w:t>
      </w:r>
    </w:p>
    <w:p>
      <w:pPr>
        <w:spacing w:after="0" w:line="176" w:lineRule="exact"/>
        <w:rPr>
          <w:sz w:val="20"/>
          <w:szCs w:val="20"/>
          <w:color w:val="auto"/>
        </w:rPr>
      </w:pPr>
    </w:p>
    <w:p>
      <w:pPr>
        <w:jc w:val="both"/>
        <w:ind w:firstLine="1505"/>
        <w:spacing w:after="0" w:line="245" w:lineRule="auto"/>
        <w:tabs>
          <w:tab w:leader="none" w:pos="299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Minimum Liquidity</w:t>
      </w:r>
      <w:r>
        <w:rPr>
          <w:rFonts w:ascii="Arial" w:cs="Arial" w:eastAsia="Arial" w:hAnsi="Arial"/>
          <w:sz w:val="18"/>
          <w:szCs w:val="18"/>
          <w:color w:val="auto"/>
        </w:rPr>
        <w:t>. Unless Borrower is in compliance with Section 7.13(b) for such fiscal quarter, permit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Qualified Cash to be less than an amount equal to the sum of (x) 50% of the aggregate outstanding principal of Term Loans plus (y) the amount of Borrower’s and its Subsidiaries accounts payable that have not been paid within one hundred twenty (120) days from the invoice date of the relevant account payable.</w:t>
      </w:r>
    </w:p>
    <w:p>
      <w:pPr>
        <w:spacing w:after="0" w:line="194" w:lineRule="exact"/>
        <w:rPr>
          <w:rFonts w:ascii="Arial" w:cs="Arial" w:eastAsia="Arial" w:hAnsi="Arial"/>
          <w:sz w:val="18"/>
          <w:szCs w:val="18"/>
          <w:color w:val="auto"/>
        </w:rPr>
      </w:pPr>
    </w:p>
    <w:p>
      <w:pPr>
        <w:jc w:val="both"/>
        <w:ind w:firstLine="1505"/>
        <w:spacing w:after="0" w:line="284" w:lineRule="auto"/>
        <w:tabs>
          <w:tab w:leader="none" w:pos="2995"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Minimum Product Revenue</w:t>
      </w:r>
      <w:r>
        <w:rPr>
          <w:rFonts w:ascii="Arial" w:cs="Arial" w:eastAsia="Arial" w:hAnsi="Arial"/>
          <w:sz w:val="16"/>
          <w:szCs w:val="16"/>
          <w:color w:val="auto"/>
        </w:rPr>
        <w:t>. Unless Borrower is in compliance with Section 7.13(a) for such fiscal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(x) Product Revenue, measured quarterly as of the last day of such fiscal quarter of Borrower on a trailing two (2) fiscal quarter basis, to be less than an amount equal to 55% of the aggregate outstanding principal of Term Loans or (y) Gross Profit Margin, measured as of the last day of such fiscal quarter of the Borrower, to be less than a percentage equal to 72.5% of projected Gross Profit Margin for such fiscal quarter, as set forth in (A) for any fiscal quarter ending on or prior to December 31, 2023, the Lender Presentation, or (B) for any fiscal quarter ending thereafter, the Annual Plan.</w:t>
      </w:r>
    </w:p>
    <w:p>
      <w:pPr>
        <w:spacing w:after="0" w:line="153" w:lineRule="exact"/>
        <w:rPr>
          <w:sz w:val="20"/>
          <w:szCs w:val="20"/>
          <w:color w:val="auto"/>
        </w:rPr>
      </w:pPr>
    </w:p>
    <w:p>
      <w:pPr>
        <w:jc w:val="both"/>
        <w:ind w:right="20" w:firstLine="749"/>
        <w:spacing w:after="0" w:line="258" w:lineRule="auto"/>
        <w:rPr>
          <w:sz w:val="20"/>
          <w:szCs w:val="20"/>
          <w:color w:val="auto"/>
        </w:rPr>
      </w:pPr>
      <w:r>
        <w:rPr>
          <w:rFonts w:ascii="Arial" w:cs="Arial" w:eastAsia="Arial" w:hAnsi="Arial"/>
          <w:sz w:val="18"/>
          <w:szCs w:val="18"/>
          <w:b w:val="1"/>
          <w:bCs w:val="1"/>
          <w:color w:val="auto"/>
        </w:rPr>
        <w:t>7.14 Redemption of Permitted Convertible Debt</w:t>
      </w:r>
      <w:r>
        <w:rPr>
          <w:rFonts w:ascii="Arial" w:cs="Arial" w:eastAsia="Arial" w:hAnsi="Arial"/>
          <w:sz w:val="18"/>
          <w:szCs w:val="18"/>
          <w:color w:val="auto"/>
        </w:rPr>
        <w:t>. Exercise any redemption right or settlement of any conversion in cash (other than cash</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fractional shares) with respect to any Permitted Convertible Debt upon satisfaction of a condition related to the stock price of the Borrower’s common stock, unless the Redemption Conditions are satisfied in respect of such redemption.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1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Term Loan on its due date,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 within three (3) Business Days after such Obligations are due and payable (which three (3) Business Day grace period shall not apply to payments due on the Maturity Date or the date of acceleration pursuant to Section 9.1 (a) hereof);</w:t>
      </w:r>
    </w:p>
    <w:p>
      <w:pPr>
        <w:spacing w:after="0" w:line="169"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16" w:lineRule="exact"/>
        <w:rPr>
          <w:sz w:val="20"/>
          <w:szCs w:val="20"/>
          <w:color w:val="auto"/>
        </w:rPr>
      </w:pPr>
    </w:p>
    <w:p>
      <w:pPr>
        <w:jc w:val="both"/>
        <w:ind w:firstLine="1505"/>
        <w:spacing w:after="0" w:line="256" w:lineRule="auto"/>
        <w:tabs>
          <w:tab w:leader="none" w:pos="29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or Borrower violates any provision in Section 7; or</w:t>
      </w:r>
    </w:p>
    <w:p>
      <w:pPr>
        <w:spacing w:after="0" w:line="174" w:lineRule="exact"/>
        <w:rPr>
          <w:rFonts w:ascii="Arial" w:cs="Arial" w:eastAsia="Arial" w:hAnsi="Arial"/>
          <w:sz w:val="18"/>
          <w:szCs w:val="18"/>
          <w:color w:val="auto"/>
        </w:rPr>
      </w:pPr>
    </w:p>
    <w:p>
      <w:pPr>
        <w:jc w:val="both"/>
        <w:ind w:firstLine="1505"/>
        <w:spacing w:after="0" w:line="243" w:lineRule="auto"/>
        <w:tabs>
          <w:tab w:leader="none" w:pos="29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twenty (20) days after the occurrence thereof; provided, however, that if the default cannot by its nature be cured within the twenty (20) day period or cannot after diligent attempts by Borrower or such Subsidiary, as applicable, be cured within such twenty (20)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left="760"/>
        <w:spacing w:after="0"/>
        <w:tabs>
          <w:tab w:leader="none" w:pos="14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has occurred;</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jc w:val="both"/>
        <w:ind w:firstLine="1505"/>
        <w:spacing w:after="0" w:line="245" w:lineRule="auto"/>
        <w:tabs>
          <w:tab w:leader="none" w:pos="29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(other than a Permitted Lien) is filed against Borrower or any of its Subsidiaries or their respective assets by any government agency, and the same under subclauses (i) and (ii) of this clause (a) are not, within ten (10) days after the occurrence thereof, discharged or stayed (whether through the posting of a bond or otherwise); and</w:t>
      </w:r>
    </w:p>
    <w:p>
      <w:pPr>
        <w:spacing w:after="0" w:line="185" w:lineRule="exact"/>
        <w:rPr>
          <w:rFonts w:ascii="Arial" w:cs="Arial" w:eastAsia="Arial" w:hAnsi="Arial"/>
          <w:sz w:val="18"/>
          <w:szCs w:val="18"/>
          <w:color w:val="auto"/>
        </w:rPr>
      </w:pPr>
    </w:p>
    <w:p>
      <w:pPr>
        <w:jc w:val="both"/>
        <w:ind w:firstLine="1505"/>
        <w:spacing w:after="0" w:line="256" w:lineRule="auto"/>
        <w:tabs>
          <w:tab w:leader="none" w:pos="29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material part of its business;</w:t>
      </w:r>
    </w:p>
    <w:p>
      <w:pPr>
        <w:spacing w:after="0" w:line="171" w:lineRule="exact"/>
        <w:rPr>
          <w:sz w:val="20"/>
          <w:szCs w:val="20"/>
          <w:color w:val="auto"/>
        </w:rPr>
      </w:pPr>
    </w:p>
    <w:p>
      <w:pPr>
        <w:jc w:val="both"/>
        <w:ind w:firstLine="749"/>
        <w:spacing w:after="0" w:line="217" w:lineRule="exact"/>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Borrower or any of its Subsidiaries is or becomes Insolvent; (b) Borrower or any of its Subsidiaries begins an</w:t>
      </w:r>
      <w:r>
        <w:rPr>
          <w:rFonts w:ascii="Arial" w:cs="Arial" w:eastAsia="Arial" w:hAnsi="Arial"/>
          <w:sz w:val="16"/>
          <w:szCs w:val="16"/>
          <w:b w:val="1"/>
          <w:bCs w:val="1"/>
          <w:color w:val="auto"/>
        </w:rPr>
        <w:t xml:space="preserve"> </w:t>
      </w:r>
      <w:r>
        <w:rPr>
          <w:rFonts w:ascii="Arial" w:cs="Arial" w:eastAsia="Arial" w:hAnsi="Arial"/>
          <w:sz w:val="16"/>
          <w:szCs w:val="16"/>
          <w:color w:val="auto"/>
        </w:rPr>
        <w:t>Insolvency Proceeding; or (c) an Insolvency Proceeding is begun against Borrower or any of its Subsidiaries and not dismissed or stayed within forty</w:t>
      </w:r>
      <w:r>
        <w:rPr>
          <w:rFonts w:ascii="MS PGothic" w:cs="MS PGothic" w:eastAsia="MS PGothic" w:hAnsi="MS PGothic"/>
          <w:sz w:val="16"/>
          <w:szCs w:val="16"/>
          <w:color w:val="auto"/>
        </w:rPr>
        <w:t>‑</w:t>
      </w:r>
      <w:r>
        <w:rPr>
          <w:rFonts w:ascii="Arial" w:cs="Arial" w:eastAsia="Arial" w:hAnsi="Arial"/>
          <w:sz w:val="16"/>
          <w:szCs w:val="16"/>
          <w:color w:val="auto"/>
        </w:rPr>
        <w:t>five (45) days (but no Term Loans shall be extended while Borrower or any Subsidiary is Insolvent and/or until any Insolvency Proceeding is dismissed);</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(a) There is any default and such default continues (after the applicable grace, cure or notice period)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which Borrower or any of its Subsidiaries is a party with a third party or parties resulting in a right by such third party or parties, whether or not exercised, to accelerate the maturity of any Indebtedness in an amount in excess of One Million Dollars ($1,000,000.00) or that could reasonably be expected to have a Material Adverse Change; for the avoidance of doubt, (x), the exchange, repurchase, conversion or settlement with respect to any Permitted Convertible Debt, or satisfaction of any condition giving rise to or permitting the foregoing, pursuant to their terms that does not result from a default thereunder or an event of the type that constitutes an Event of Default, (y) any early payment requirement or unwinding or termination with respect to any Permitted Call Spread Agreement, or satisfaction of any condition giving rise to or permitting the foregoing, in accordance with the terms thereof where neither the Borrower nor any of its Affiliates is the “defaulting party” (or substantially equivalent term) under the terms of such Permitted Call Spread Agreement or (z) secured Permitted Indebtedness that becomes due as a result of the voluntary sale or other Transfer of the property or assets securing such Permitted Indebtedness, if such sale or Transfer is permitted hereunder and under the documents providing for such Permitted Indebtedness, in each case, shall not constitute an Event of Default under this Section 8.6; or (b) the occurrence of any “Event of Default” under and as defined in the ABL Credit Agreement the effect of which “Event of Default” or other event is to cause, or to permit the ABL Lender to cause, with the giving of notice if required, the ABL Loans to become due or to be repurchased, prepaid or defeased or redeemed (automatically or otherwise), or an offer to repurchase, prepay, defeased or redeem all of such ABL Loans to be made, prior to its stated maturity;</w:t>
      </w:r>
    </w:p>
    <w:p>
      <w:pPr>
        <w:spacing w:after="0" w:line="164" w:lineRule="exact"/>
        <w:rPr>
          <w:sz w:val="20"/>
          <w:szCs w:val="20"/>
          <w:color w:val="auto"/>
        </w:rPr>
      </w:pPr>
    </w:p>
    <w:p>
      <w:pPr>
        <w:jc w:val="both"/>
        <w:ind w:firstLine="749"/>
        <w:spacing w:after="0" w:line="214" w:lineRule="exact"/>
        <w:rPr>
          <w:sz w:val="20"/>
          <w:szCs w:val="20"/>
          <w:color w:val="auto"/>
        </w:rPr>
      </w:pPr>
      <w:r>
        <w:rPr>
          <w:rFonts w:ascii="Arial" w:cs="Arial" w:eastAsia="Arial" w:hAnsi="Arial"/>
          <w:sz w:val="18"/>
          <w:szCs w:val="18"/>
          <w:b w:val="1"/>
          <w:bCs w:val="1"/>
          <w:color w:val="auto"/>
        </w:rPr>
        <w:t xml:space="preserve">8.7 Judgments. </w:t>
      </w:r>
      <w:r>
        <w:rPr>
          <w:rFonts w:ascii="Arial" w:cs="Arial" w:eastAsia="Arial" w:hAnsi="Arial"/>
          <w:sz w:val="18"/>
          <w:szCs w:val="18"/>
          <w:color w:val="auto"/>
        </w:rPr>
        <w:t>One or more judgments, orders, or decrees for the payment of money in an amount, individually or in the aggregate,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Million Dollars ($1,000,000.00) (not covered by independent third</w:t>
      </w:r>
      <w:r>
        <w:rPr>
          <w:rFonts w:ascii="MS PGothic" w:cs="MS PGothic" w:eastAsia="MS PGothic" w:hAnsi="MS PGothic"/>
          <w:sz w:val="18"/>
          <w:szCs w:val="18"/>
          <w:color w:val="auto"/>
        </w:rPr>
        <w:t>‑</w:t>
      </w:r>
      <w:r>
        <w:rPr>
          <w:rFonts w:ascii="Arial" w:cs="Arial" w:eastAsia="Arial" w:hAnsi="Arial"/>
          <w:sz w:val="18"/>
          <w:szCs w:val="18"/>
          <w:color w:val="auto"/>
        </w:rPr>
        <w:t>party insurance as to which liability has been accepted by such insurance carrier) shall be rendered against Borrower or any of its Subsidiaries and shall remain unsatisfied, unvacated, or unstayed for a period of thirty (30) days after the entry thereof;</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8.9 Guaranty. </w:t>
      </w:r>
      <w:r>
        <w:rPr>
          <w:rFonts w:ascii="Arial" w:cs="Arial" w:eastAsia="Arial" w:hAnsi="Arial"/>
          <w:sz w:val="18"/>
          <w:szCs w:val="18"/>
          <w:color w:val="auto"/>
        </w:rPr>
        <w:t>(a) Any Guaranty terminates or ceases for any reason to be in full force and effect other than as a result of a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under this Agreement; (b) any Guarantor does not perform any obligation or covenant under any Guaranty, after any applicable grace or cure period; (c) any circumstance described in Section 8 occurs with respect to any Guarantor, beyond any applicable grace or cure period; or (d) a Material Adverse Change with respect to any Guarantor;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749"/>
        <w:spacing w:after="0" w:line="218" w:lineRule="exact"/>
        <w:rPr>
          <w:sz w:val="20"/>
          <w:szCs w:val="20"/>
          <w:color w:val="auto"/>
        </w:rPr>
      </w:pPr>
      <w:r>
        <w:rPr>
          <w:rFonts w:ascii="Arial" w:cs="Arial" w:eastAsia="Arial" w:hAnsi="Arial"/>
          <w:sz w:val="18"/>
          <w:szCs w:val="18"/>
          <w:b w:val="1"/>
          <w:bCs w:val="1"/>
          <w:color w:val="auto"/>
        </w:rPr>
        <w:t xml:space="preserve">8.10 Governmental Approvals. </w:t>
      </w:r>
      <w:r>
        <w:rPr>
          <w:rFonts w:ascii="Arial" w:cs="Arial" w:eastAsia="Arial" w:hAnsi="Arial"/>
          <w:sz w:val="18"/>
          <w:szCs w:val="18"/>
          <w:color w:val="auto"/>
        </w:rPr>
        <w:t>Any Governmental Approval shall have been revoked, rescinded, suspended, modified in an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manner, or 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w:t>
      </w:r>
      <w:r>
        <w:rPr>
          <w:rFonts w:ascii="MS PGothic" w:cs="MS PGothic" w:eastAsia="MS PGothic" w:hAnsi="MS PGothic"/>
          <w:sz w:val="18"/>
          <w:szCs w:val="18"/>
          <w:color w:val="auto"/>
        </w:rPr>
        <w:t>‑</w:t>
      </w:r>
      <w:r>
        <w:rPr>
          <w:rFonts w:ascii="Arial" w:cs="Arial" w:eastAsia="Arial" w:hAnsi="Arial"/>
          <w:sz w:val="18"/>
          <w:szCs w:val="18"/>
          <w:color w:val="auto"/>
        </w:rPr>
        <w:t>renewal has resulted in or would reasonably be expected to result in a Material Adverse Change;</w:t>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8.11 Fundamental Change</w:t>
      </w:r>
      <w:r>
        <w:rPr>
          <w:rFonts w:ascii="Arial" w:cs="Arial" w:eastAsia="Arial" w:hAnsi="Arial"/>
          <w:sz w:val="18"/>
          <w:szCs w:val="18"/>
          <w:color w:val="auto"/>
        </w:rPr>
        <w:t>. The occurrence of any “fundamental change” (howsoever defined) under the indenture governing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Convertible Debt; or</w:t>
      </w:r>
    </w:p>
    <w:p>
      <w:pPr>
        <w:spacing w:after="0" w:line="17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Subject to the Intercreditor Agreement, except as the result of the action or inaction of the Collateral Agent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any Lien created hereunder or by any other Loan Document shall at any time fail to constitute a valid and perfected Lien on any of the Collateral purported to be secured thereby, subject to no prior or equal Lien, other than Permitted Liens arising as a matter of applicable law or that are permitted to have priority pursuant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u w:val="single" w:color="auto"/>
          <w:color w:val="auto"/>
        </w:rPr>
        <w:t>RIGHTS AND REMEDIES</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Rights and Remedies</w:t>
      </w:r>
      <w:r>
        <w:rPr>
          <w:rFonts w:ascii="Arial" w:cs="Arial" w:eastAsia="Arial" w:hAnsi="Arial"/>
          <w:sz w:val="16"/>
          <w:szCs w:val="16"/>
          <w:color w:val="auto"/>
        </w:rPr>
        <w:t>.</w:t>
      </w:r>
    </w:p>
    <w:p>
      <w:pPr>
        <w:spacing w:after="0" w:line="216" w:lineRule="exact"/>
        <w:rPr>
          <w:sz w:val="20"/>
          <w:szCs w:val="20"/>
          <w:color w:val="auto"/>
        </w:rPr>
      </w:pPr>
    </w:p>
    <w:p>
      <w:pPr>
        <w:jc w:val="both"/>
        <w:ind w:firstLine="1505"/>
        <w:spacing w:after="0" w:line="261" w:lineRule="auto"/>
        <w:tabs>
          <w:tab w:leader="none" w:pos="29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5" w:lineRule="exact"/>
        <w:rPr>
          <w:rFonts w:ascii="Arial" w:cs="Arial" w:eastAsia="Arial" w:hAnsi="Arial"/>
          <w:sz w:val="17"/>
          <w:szCs w:val="17"/>
          <w:color w:val="auto"/>
        </w:rPr>
      </w:pPr>
    </w:p>
    <w:p>
      <w:pPr>
        <w:jc w:val="both"/>
        <w:ind w:firstLine="1505"/>
        <w:spacing w:after="0" w:line="256" w:lineRule="auto"/>
        <w:tabs>
          <w:tab w:leader="none" w:pos="29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and at the written direction of the Required Lenders shall, without notice or demand, to do any or all of the following:</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foreclose upon and/or sell or otherwise liquidate, the Collateral;</w:t>
      </w:r>
    </w:p>
    <w:p>
      <w:pPr>
        <w:spacing w:after="0" w:line="222" w:lineRule="exact"/>
        <w:rPr>
          <w:sz w:val="20"/>
          <w:szCs w:val="20"/>
          <w:color w:val="auto"/>
        </w:rPr>
      </w:pPr>
    </w:p>
    <w:p>
      <w:pPr>
        <w:sectPr>
          <w:pgSz w:w="11900" w:h="16838" w:orient="portrait"/>
          <w:cols w:equalWidth="0" w:num="2">
            <w:col w:w="4120" w:space="720"/>
            <w:col w:w="6400"/>
          </w:cols>
          <w:pgMar w:left="320" w:top="121" w:right="339" w:bottom="1440" w:gutter="0" w:footer="0" w:header="0"/>
          <w:type w:val="continuous"/>
        </w:sectPr>
      </w:pPr>
    </w:p>
    <w:p>
      <w:pPr>
        <w:spacing w:after="0" w:line="1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make a demand for payment upon any Guarantor pursuant to the Guaranty delivered by</w:t>
      </w:r>
    </w:p>
    <w:p>
      <w:pPr>
        <w:spacing w:after="0" w:line="45" w:lineRule="exact"/>
        <w:rPr>
          <w:sz w:val="20"/>
          <w:szCs w:val="20"/>
          <w:color w:val="auto"/>
        </w:rPr>
      </w:pPr>
    </w:p>
    <w:p>
      <w:pPr>
        <w:sectPr>
          <w:pgSz w:w="11900" w:h="16838" w:orient="portrait"/>
          <w:cols w:equalWidth="0" w:num="2">
            <w:col w:w="4060" w:space="720"/>
            <w:col w:w="6460"/>
          </w:cols>
          <w:pgMar w:left="320" w:top="121" w:right="339" w:bottom="1440" w:gutter="0" w:footer="0" w:header="0"/>
          <w:type w:val="continuous"/>
        </w:sectPr>
      </w:pPr>
    </w:p>
    <w:p>
      <w:pPr>
        <w:ind w:left="280"/>
        <w:spacing w:after="0"/>
        <w:rPr>
          <w:sz w:val="20"/>
          <w:szCs w:val="20"/>
          <w:color w:val="auto"/>
        </w:rPr>
      </w:pPr>
      <w:r>
        <w:rPr>
          <w:rFonts w:ascii="Arial" w:cs="Arial" w:eastAsia="Arial" w:hAnsi="Arial"/>
          <w:sz w:val="18"/>
          <w:szCs w:val="18"/>
          <w:color w:val="auto"/>
        </w:rPr>
        <w:t>such Guarantor;</w:t>
      </w:r>
    </w:p>
    <w:p>
      <w:pPr>
        <w:spacing w:after="0" w:line="197" w:lineRule="exact"/>
        <w:rPr>
          <w:sz w:val="20"/>
          <w:szCs w:val="20"/>
          <w:color w:val="auto"/>
        </w:rPr>
      </w:pPr>
    </w:p>
    <w:p>
      <w:pPr>
        <w:ind w:left="2540"/>
        <w:spacing w:after="0"/>
        <w:tabs>
          <w:tab w:leader="none" w:pos="476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apply to the Obligations any (A) balances and deposits of Borrower that Collateral Agent</w:t>
      </w:r>
    </w:p>
    <w:p>
      <w:pPr>
        <w:sectPr>
          <w:pgSz w:w="11900" w:h="16838" w:orient="portrait"/>
          <w:cols w:equalWidth="0" w:num="1">
            <w:col w:w="11240"/>
          </w:cols>
          <w:pgMar w:left="320" w:top="121" w:right="339" w:bottom="1440" w:gutter="0" w:footer="0" w:header="0"/>
          <w:type w:val="continuous"/>
        </w:sectPr>
      </w:pPr>
    </w:p>
    <w:p>
      <w:pPr>
        <w:spacing w:after="0" w:line="46" w:lineRule="exact"/>
        <w:rPr>
          <w:sz w:val="20"/>
          <w:szCs w:val="20"/>
          <w:color w:val="auto"/>
        </w:rPr>
      </w:pPr>
    </w:p>
    <w:p>
      <w:pPr>
        <w:ind w:left="280"/>
        <w:spacing w:after="0" w:line="257" w:lineRule="auto"/>
        <w:rPr>
          <w:sz w:val="20"/>
          <w:szCs w:val="20"/>
          <w:color w:val="auto"/>
        </w:rPr>
      </w:pPr>
      <w:r>
        <w:rPr>
          <w:rFonts w:ascii="Arial" w:cs="Arial" w:eastAsia="Arial" w:hAnsi="Arial"/>
          <w:sz w:val="17"/>
          <w:szCs w:val="17"/>
          <w:color w:val="auto"/>
        </w:rPr>
        <w:t>or any Lender holds or controls, (B) any amount held or controlled by Collateral Agent or any Lender owing to or for the credit or the account of Borrower, or (C) amounts received from any Guarantors in accordance with the respective Guaranty delivered by such Guarantor; and/or</w:t>
      </w:r>
    </w:p>
    <w:p>
      <w:pPr>
        <w:sectPr>
          <w:pgSz w:w="11900" w:h="16838" w:orient="portrait"/>
          <w:cols w:equalWidth="0" w:num="1">
            <w:col w:w="11240"/>
          </w:cols>
          <w:pgMar w:left="320" w:top="121" w:right="339" w:bottom="1440" w:gutter="0" w:footer="0" w:header="0"/>
          <w:type w:val="continuous"/>
        </w:sectPr>
      </w:pPr>
    </w:p>
    <w:p>
      <w:pPr>
        <w:spacing w:after="0" w:line="18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commence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prosecute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Insolvency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Proceeding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34" w:lineRule="exact"/>
        <w:rPr>
          <w:sz w:val="20"/>
          <w:szCs w:val="20"/>
          <w:color w:val="auto"/>
        </w:rPr>
      </w:pPr>
    </w:p>
    <w:p>
      <w:pPr>
        <w:sectPr>
          <w:pgSz w:w="11900" w:h="16838" w:orient="portrait"/>
          <w:cols w:equalWidth="0" w:num="11">
            <w:col w:w="4120" w:space="720"/>
            <w:col w:w="780" w:space="160"/>
            <w:col w:w="260" w:space="140"/>
            <w:col w:w="700" w:space="140"/>
            <w:col w:w="180" w:space="140"/>
            <w:col w:w="800" w:space="140"/>
            <w:col w:w="820" w:space="140"/>
            <w:col w:w="160" w:space="140"/>
            <w:col w:w="560" w:space="140"/>
            <w:col w:w="140" w:space="160"/>
            <w:col w:w="70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commencing any Insolvency Proceeding.</w:t>
      </w:r>
    </w:p>
    <w:p>
      <w:pPr>
        <w:sectPr>
          <w:pgSz w:w="11900" w:h="16838" w:orient="portrait"/>
          <w:cols w:equalWidth="0" w:num="1">
            <w:col w:w="11240"/>
          </w:cols>
          <w:pgMar w:left="320" w:top="121" w:right="339" w:bottom="1440" w:gutter="0" w:footer="0" w:header="0"/>
          <w:type w:val="continuous"/>
        </w:sectPr>
      </w:pPr>
    </w:p>
    <w:p>
      <w:pPr>
        <w:spacing w:after="0" w:line="207" w:lineRule="exact"/>
        <w:rPr>
          <w:sz w:val="20"/>
          <w:szCs w:val="20"/>
          <w:color w:val="auto"/>
        </w:rPr>
      </w:pPr>
    </w:p>
    <w:p>
      <w:pPr>
        <w:jc w:val="both"/>
        <w:ind w:firstLine="1505"/>
        <w:spacing w:after="0" w:line="256" w:lineRule="auto"/>
        <w:tabs>
          <w:tab w:leader="none" w:pos="29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75" w:lineRule="exact"/>
        <w:rPr>
          <w:sz w:val="20"/>
          <w:szCs w:val="20"/>
          <w:color w:val="auto"/>
        </w:rPr>
      </w:pPr>
    </w:p>
    <w:p>
      <w:pPr>
        <w:jc w:val="both"/>
        <w:ind w:firstLine="2528"/>
        <w:spacing w:after="0" w:line="256" w:lineRule="auto"/>
        <w:rPr>
          <w:sz w:val="20"/>
          <w:szCs w:val="20"/>
          <w:color w:val="auto"/>
        </w:rPr>
      </w:pPr>
      <w:r>
        <w:rPr>
          <w:rFonts w:ascii="Arial" w:cs="Arial" w:eastAsia="Arial" w:hAnsi="Arial"/>
          <w:sz w:val="18"/>
          <w:szCs w:val="18"/>
          <w:color w:val="auto"/>
        </w:rPr>
        <w:t>(i) 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jc w:val="both"/>
        <w:ind w:firstLine="2528"/>
        <w:spacing w:after="0" w:line="246" w:lineRule="auto"/>
        <w:rPr>
          <w:sz w:val="20"/>
          <w:szCs w:val="20"/>
          <w:color w:val="auto"/>
        </w:rPr>
      </w:pPr>
      <w:r>
        <w:rPr>
          <w:rFonts w:ascii="Arial" w:cs="Arial" w:eastAsia="Arial" w:hAnsi="Arial"/>
          <w:sz w:val="18"/>
          <w:szCs w:val="18"/>
          <w:color w:val="auto"/>
        </w:rPr>
        <w:t>(ii) make any payments and do any acts it considers necessary or reasonable to protect the Collateral and/or its Liens in the Collateral (held for the ratable benefit of the Secured Parties). Borrower shall assemble the Collateral if Collateral Agent requests and make it available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85" w:lineRule="exact"/>
        <w:rPr>
          <w:sz w:val="20"/>
          <w:szCs w:val="20"/>
          <w:color w:val="auto"/>
        </w:rPr>
      </w:pPr>
    </w:p>
    <w:p>
      <w:pPr>
        <w:jc w:val="both"/>
        <w:ind w:firstLine="2528"/>
        <w:spacing w:after="0" w:line="209" w:lineRule="exact"/>
        <w:rPr>
          <w:sz w:val="20"/>
          <w:szCs w:val="20"/>
          <w:color w:val="auto"/>
        </w:rPr>
      </w:pPr>
      <w:r>
        <w:rPr>
          <w:rFonts w:ascii="Arial" w:cs="Arial" w:eastAsia="Arial" w:hAnsi="Arial"/>
          <w:sz w:val="18"/>
          <w:szCs w:val="18"/>
          <w:color w:val="auto"/>
        </w:rPr>
        <w:t>(iii) ship, reclaim, recover, store, finish, maintain, repair, prepare for sale, and/or advertise for sale, any of the Collateral. Collateral Agent is hereby granted a non</w:t>
      </w:r>
      <w:r>
        <w:rPr>
          <w:rFonts w:ascii="MS PGothic" w:cs="MS PGothic" w:eastAsia="MS PGothic" w:hAnsi="MS PGothic"/>
          <w:sz w:val="18"/>
          <w:szCs w:val="18"/>
          <w:color w:val="auto"/>
        </w:rPr>
        <w:t>‑</w:t>
      </w:r>
      <w:r>
        <w:rPr>
          <w:rFonts w:ascii="Arial" w:cs="Arial" w:eastAsia="Arial" w:hAnsi="Arial"/>
          <w:sz w:val="18"/>
          <w:szCs w:val="18"/>
          <w:color w:val="auto"/>
        </w:rPr>
        <w:t>exclusive, royalty</w:t>
      </w:r>
      <w:r>
        <w:rPr>
          <w:rFonts w:ascii="MS PGothic" w:cs="MS PGothic" w:eastAsia="MS PGothic" w:hAnsi="MS PGothic"/>
          <w:sz w:val="18"/>
          <w:szCs w:val="18"/>
          <w:color w:val="auto"/>
        </w:rPr>
        <w:t>‑</w:t>
      </w:r>
      <w:r>
        <w:rPr>
          <w:rFonts w:ascii="Arial" w:cs="Arial" w:eastAsia="Arial" w:hAnsi="Arial"/>
          <w:sz w:val="18"/>
          <w:szCs w:val="18"/>
          <w:color w:val="auto"/>
        </w:rPr>
        <w:t>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206" w:lineRule="exact"/>
        <w:rPr>
          <w:sz w:val="20"/>
          <w:szCs w:val="20"/>
          <w:color w:val="auto"/>
        </w:rPr>
      </w:pPr>
    </w:p>
    <w:p>
      <w:pPr>
        <w:jc w:val="both"/>
        <w:ind w:firstLine="2528"/>
        <w:spacing w:after="0" w:line="249" w:lineRule="auto"/>
        <w:rPr>
          <w:sz w:val="20"/>
          <w:szCs w:val="20"/>
          <w:color w:val="auto"/>
        </w:rPr>
      </w:pPr>
      <w:r>
        <w:rPr>
          <w:rFonts w:ascii="Arial" w:cs="Arial" w:eastAsia="Arial" w:hAnsi="Arial"/>
          <w:sz w:val="18"/>
          <w:szCs w:val="18"/>
          <w:color w:val="auto"/>
        </w:rPr>
        <w:t>(iv) 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demand and receive possession of Borrower’s Books;</w:t>
      </w:r>
    </w:p>
    <w:p>
      <w:pPr>
        <w:spacing w:after="0" w:line="211"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appoint a receiver to seize, manage and realize any of the Collateral, and such receiver</w:t>
      </w:r>
    </w:p>
    <w:p>
      <w:pPr>
        <w:spacing w:after="0" w:line="45" w:lineRule="exact"/>
        <w:rPr>
          <w:sz w:val="20"/>
          <w:szCs w:val="20"/>
          <w:color w:val="auto"/>
        </w:rPr>
      </w:pPr>
    </w:p>
    <w:p>
      <w:pPr>
        <w:sectPr>
          <w:pgSz w:w="11900" w:h="16838" w:orient="portrait"/>
          <w:cols w:equalWidth="0" w:num="2">
            <w:col w:w="4120" w:space="720"/>
            <w:col w:w="6400"/>
          </w:cols>
          <w:pgMar w:left="320" w:top="125" w:right="339" w:bottom="1440" w:gutter="0" w:footer="0" w:header="0"/>
          <w:type w:val="continuous"/>
        </w:sectPr>
      </w:pPr>
    </w:p>
    <w:p>
      <w:pPr>
        <w:jc w:val="both"/>
        <w:spacing w:after="0" w:line="245" w:lineRule="auto"/>
        <w:rPr>
          <w:sz w:val="20"/>
          <w:szCs w:val="20"/>
          <w:color w:val="auto"/>
        </w:rPr>
      </w:pPr>
      <w:r>
        <w:rPr>
          <w:rFonts w:ascii="Arial" w:cs="Arial" w:eastAsia="Arial" w:hAnsi="Arial"/>
          <w:sz w:val="18"/>
          <w:szCs w:val="18"/>
          <w:color w:val="auto"/>
        </w:rPr>
        <w:t>shall have any right and authority as any competent court will grant or authorize in accordance with any applicable law, including any power or authority to manage the business of Borrower or any of its Subsidiaries; and</w:t>
      </w:r>
    </w:p>
    <w:p>
      <w:pPr>
        <w:spacing w:after="0" w:line="184" w:lineRule="exact"/>
        <w:rPr>
          <w:sz w:val="20"/>
          <w:szCs w:val="20"/>
          <w:color w:val="auto"/>
        </w:rPr>
      </w:pPr>
    </w:p>
    <w:p>
      <w:pPr>
        <w:jc w:val="both"/>
        <w:ind w:firstLine="2528"/>
        <w:spacing w:after="0" w:line="256" w:lineRule="auto"/>
        <w:rPr>
          <w:sz w:val="20"/>
          <w:szCs w:val="20"/>
          <w:color w:val="auto"/>
        </w:rPr>
      </w:pPr>
      <w:r>
        <w:rPr>
          <w:rFonts w:ascii="Arial" w:cs="Arial" w:eastAsia="Arial" w:hAnsi="Arial"/>
          <w:sz w:val="18"/>
          <w:szCs w:val="18"/>
          <w:color w:val="auto"/>
        </w:rPr>
        <w:t>(vii) 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the Required Lenders following the occurrence of an Exigent Circumstance.</w:t>
      </w:r>
    </w:p>
    <w:p>
      <w:pPr>
        <w:spacing w:after="0" w:line="171"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6"/>
          <w:szCs w:val="16"/>
          <w:b w:val="1"/>
          <w:bCs w:val="1"/>
          <w:color w:val="auto"/>
        </w:rPr>
        <w:t xml:space="preserve">9.2 Power of Attorney. </w:t>
      </w:r>
      <w:r>
        <w:rPr>
          <w:rFonts w:ascii="Arial" w:cs="Arial" w:eastAsia="Arial" w:hAnsi="Arial"/>
          <w:sz w:val="16"/>
          <w:szCs w:val="16"/>
          <w:color w:val="auto"/>
        </w:rPr>
        <w:t>Borrower hereby irrevocably appoints Collateral Agent as its lawful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exercisable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of Borrower directly with the applicable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extend Term Loans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Term Loans terminates.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jc w:val="both"/>
        <w:ind w:firstLine="749"/>
        <w:spacing w:after="0" w:line="245"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after giving effect to any applicable grace period,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8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spacing w:after="0" w:line="37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banking practices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9.6 No Waiver; Remedies Cumulative. </w:t>
      </w:r>
      <w:r>
        <w:rPr>
          <w:rFonts w:ascii="Arial" w:cs="Arial" w:eastAsia="Arial" w:hAnsi="Arial"/>
          <w:sz w:val="18"/>
          <w:szCs w:val="18"/>
          <w:color w:val="auto"/>
        </w:rPr>
        <w:t>Failure by Collateral Agent or any Lender, at any time or times, to require strict performance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of any provision of this Agreement or by Borrower or any other Loan Document shall not waive, affect, or diminish any right of Collateral Agent or any Lender thereafter to demand strict performance and compliance herewith or therewith. No waiver hereunder shall be effective unless signed by Collateral</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spacing w:after="0" w:line="245" w:lineRule="auto"/>
        <w:rPr>
          <w:sz w:val="20"/>
          <w:szCs w:val="20"/>
          <w:color w:val="auto"/>
        </w:rPr>
      </w:pPr>
      <w:r>
        <w:rPr>
          <w:rFonts w:ascii="Arial" w:cs="Arial" w:eastAsia="Arial" w:hAnsi="Arial"/>
          <w:sz w:val="18"/>
          <w:szCs w:val="18"/>
          <w:color w:val="auto"/>
        </w:rPr>
        <w:t>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9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to the fullest extent permitted by law, demand, notice of default or dishonor, notice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b w:val="1"/>
          <w:bCs w:val="1"/>
          <w:u w:val="single" w:color="auto"/>
          <w:color w:val="auto"/>
        </w:rPr>
        <w:t>NOTICES</w:t>
      </w:r>
    </w:p>
    <w:p>
      <w:pPr>
        <w:spacing w:after="0" w:line="216" w:lineRule="exact"/>
        <w:rPr>
          <w:sz w:val="20"/>
          <w:szCs w:val="20"/>
          <w:color w:val="auto"/>
        </w:rPr>
      </w:pPr>
    </w:p>
    <w:p>
      <w:pPr>
        <w:jc w:val="both"/>
        <w:ind w:firstLine="749"/>
        <w:spacing w:after="0" w:line="211" w:lineRule="exact"/>
        <w:rPr>
          <w:sz w:val="20"/>
          <w:szCs w:val="20"/>
          <w:color w:val="auto"/>
        </w:rPr>
      </w:pPr>
      <w:r>
        <w:rPr>
          <w:rFonts w:ascii="Arial" w:cs="Arial" w:eastAsia="Arial" w:hAnsi="Arial"/>
          <w:sz w:val="16"/>
          <w:szCs w:val="16"/>
          <w:color w:val="auto"/>
        </w:rPr>
        <w:t>Other than as specifically provided herein, all notices, consents, requests, approvals, demands, or other communication (collectively, “</w:t>
      </w:r>
      <w:r>
        <w:rPr>
          <w:rFonts w:ascii="Arial" w:cs="Arial" w:eastAsia="Arial" w:hAnsi="Arial"/>
          <w:sz w:val="16"/>
          <w:szCs w:val="16"/>
          <w:b w:val="1"/>
          <w:bCs w:val="1"/>
          <w:color w:val="auto"/>
        </w:rPr>
        <w:t>Communications</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w:t>
      </w:r>
      <w:r>
        <w:rPr>
          <w:rFonts w:ascii="MS PGothic" w:cs="MS PGothic" w:eastAsia="MS PGothic" w:hAnsi="MS PGothic"/>
          <w:sz w:val="16"/>
          <w:szCs w:val="16"/>
          <w:color w:val="auto"/>
        </w:rPr>
        <w:t>‑</w:t>
      </w:r>
      <w:r>
        <w:rPr>
          <w:rFonts w:ascii="Arial" w:cs="Arial" w:eastAsia="Arial" w:hAnsi="Arial"/>
          <w:sz w:val="16"/>
          <w:szCs w:val="16"/>
          <w:color w:val="auto"/>
        </w:rPr>
        <w:t>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OUTSET MEDICAL, INC.</w:t>
      </w:r>
    </w:p>
    <w:p>
      <w:pPr>
        <w:spacing w:after="0" w:line="219" w:lineRule="auto"/>
        <w:rPr>
          <w:sz w:val="20"/>
          <w:szCs w:val="20"/>
          <w:color w:val="auto"/>
        </w:rPr>
      </w:pPr>
      <w:r>
        <w:rPr>
          <w:rFonts w:ascii="Arial" w:cs="Arial" w:eastAsia="Arial" w:hAnsi="Arial"/>
          <w:sz w:val="18"/>
          <w:szCs w:val="18"/>
          <w:color w:val="auto"/>
        </w:rPr>
        <w:t>3052 Orchard Dr.</w:t>
      </w:r>
    </w:p>
    <w:p>
      <w:pPr>
        <w:spacing w:after="0" w:line="219" w:lineRule="auto"/>
        <w:rPr>
          <w:sz w:val="20"/>
          <w:szCs w:val="20"/>
          <w:color w:val="auto"/>
        </w:rPr>
      </w:pPr>
      <w:r>
        <w:rPr>
          <w:rFonts w:ascii="Arial" w:cs="Arial" w:eastAsia="Arial" w:hAnsi="Arial"/>
          <w:sz w:val="18"/>
          <w:szCs w:val="18"/>
          <w:color w:val="auto"/>
        </w:rPr>
        <w:t>San Jose, California</w:t>
      </w:r>
    </w:p>
    <w:p>
      <w:pPr>
        <w:spacing w:after="0" w:line="219" w:lineRule="auto"/>
        <w:rPr>
          <w:sz w:val="20"/>
          <w:szCs w:val="20"/>
          <w:color w:val="auto"/>
        </w:rPr>
      </w:pPr>
      <w:r>
        <w:rPr>
          <w:rFonts w:ascii="Arial" w:cs="Arial" w:eastAsia="Arial" w:hAnsi="Arial"/>
          <w:sz w:val="18"/>
          <w:szCs w:val="18"/>
          <w:color w:val="auto"/>
        </w:rPr>
        <w:t>Attention: Nabeel Ahmed; John Brottem</w:t>
      </w:r>
    </w:p>
    <w:p>
      <w:pPr>
        <w:spacing w:after="0"/>
        <w:rPr>
          <w:sz w:val="20"/>
          <w:szCs w:val="20"/>
          <w:color w:val="auto"/>
        </w:rPr>
      </w:pPr>
      <w:r>
        <w:rPr>
          <w:rFonts w:ascii="Arial" w:cs="Arial" w:eastAsia="Arial" w:hAnsi="Arial"/>
          <w:sz w:val="16"/>
          <w:szCs w:val="16"/>
          <w:color w:val="auto"/>
        </w:rPr>
        <w:t>Email: nahmed@outsemedical.com; jbrottem@outsetmedical.com</w:t>
      </w:r>
    </w:p>
    <w:p>
      <w:pPr>
        <w:spacing w:after="0" w:line="200" w:lineRule="exact"/>
        <w:rPr>
          <w:sz w:val="20"/>
          <w:szCs w:val="20"/>
          <w:color w:val="auto"/>
        </w:rPr>
      </w:pPr>
    </w:p>
    <w:p>
      <w:pPr>
        <w:sectPr>
          <w:pgSz w:w="11900" w:h="16838" w:orient="portrait"/>
          <w:cols w:equalWidth="0" w:num="2">
            <w:col w:w="3380" w:space="720"/>
            <w:col w:w="7140"/>
          </w:cols>
          <w:pgMar w:left="320" w:top="125"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If to Collateral Agent or 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SLR INVESTMENT CORP.</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500 Park Avenue, 3rd Floor</w:t>
      </w:r>
    </w:p>
    <w:p>
      <w:pPr>
        <w:spacing w:after="0" w:line="224" w:lineRule="auto"/>
        <w:rPr>
          <w:sz w:val="20"/>
          <w:szCs w:val="20"/>
          <w:color w:val="auto"/>
        </w:rPr>
      </w:pPr>
      <w:r>
        <w:rPr>
          <w:rFonts w:ascii="Arial" w:cs="Arial" w:eastAsia="Arial" w:hAnsi="Arial"/>
          <w:sz w:val="18"/>
          <w:szCs w:val="18"/>
          <w:color w:val="auto"/>
        </w:rPr>
        <w:t>New York, NY 10022</w:t>
      </w:r>
    </w:p>
    <w:p>
      <w:pPr>
        <w:spacing w:after="0" w:line="233" w:lineRule="auto"/>
        <w:rPr>
          <w:sz w:val="20"/>
          <w:szCs w:val="20"/>
          <w:color w:val="auto"/>
        </w:rPr>
      </w:pPr>
      <w:r>
        <w:rPr>
          <w:rFonts w:ascii="Arial" w:cs="Arial" w:eastAsia="Arial" w:hAnsi="Arial"/>
          <w:sz w:val="17"/>
          <w:szCs w:val="17"/>
          <w:color w:val="auto"/>
        </w:rPr>
        <w:t>Attention: Anthony Storino</w:t>
      </w:r>
    </w:p>
    <w:p>
      <w:pPr>
        <w:spacing w:after="0" w:line="219" w:lineRule="auto"/>
        <w:rPr>
          <w:sz w:val="20"/>
          <w:szCs w:val="20"/>
          <w:color w:val="auto"/>
        </w:rPr>
      </w:pPr>
      <w:r>
        <w:rPr>
          <w:rFonts w:ascii="Arial" w:cs="Arial" w:eastAsia="Arial" w:hAnsi="Arial"/>
          <w:sz w:val="18"/>
          <w:szCs w:val="18"/>
          <w:color w:val="auto"/>
        </w:rPr>
        <w:t>Fax: (212) 993-1698</w:t>
      </w:r>
    </w:p>
    <w:p>
      <w:pPr>
        <w:spacing w:after="0"/>
        <w:rPr>
          <w:sz w:val="20"/>
          <w:szCs w:val="20"/>
          <w:color w:val="auto"/>
        </w:rPr>
      </w:pPr>
      <w:r>
        <w:rPr>
          <w:rFonts w:ascii="Arial" w:cs="Arial" w:eastAsia="Arial" w:hAnsi="Arial"/>
          <w:sz w:val="17"/>
          <w:szCs w:val="17"/>
          <w:color w:val="auto"/>
        </w:rPr>
        <w:t>Email: astorino@slrcp.com</w:t>
      </w:r>
    </w:p>
    <w:p>
      <w:pPr>
        <w:spacing w:after="0" w:line="200" w:lineRule="exact"/>
        <w:rPr>
          <w:sz w:val="20"/>
          <w:szCs w:val="20"/>
          <w:color w:val="auto"/>
        </w:rPr>
      </w:pPr>
    </w:p>
    <w:p>
      <w:pPr>
        <w:sectPr>
          <w:pgSz w:w="11900" w:h="16838" w:orient="portrait"/>
          <w:cols w:equalWidth="0" w:num="2">
            <w:col w:w="3840" w:space="260"/>
            <w:col w:w="7140"/>
          </w:cols>
          <w:pgMar w:left="320" w:top="125" w:right="339" w:bottom="1440" w:gutter="0" w:footer="0" w:header="0"/>
          <w:type w:val="continuous"/>
        </w:sectPr>
      </w:pPr>
    </w:p>
    <w:p>
      <w:pPr>
        <w:spacing w:after="0" w:line="21" w:lineRule="exact"/>
        <w:rPr>
          <w:sz w:val="20"/>
          <w:szCs w:val="20"/>
          <w:color w:val="auto"/>
        </w:rPr>
      </w:pPr>
    </w:p>
    <w:p>
      <w:pPr>
        <w:ind w:left="1500"/>
        <w:spacing w:after="0" w:line="246"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rPr>
          <w:sz w:val="20"/>
          <w:szCs w:val="20"/>
          <w:color w:val="auto"/>
        </w:rPr>
      </w:pPr>
      <w:r>
        <w:rPr>
          <w:rFonts w:ascii="Arial" w:cs="Arial" w:eastAsia="Arial" w:hAnsi="Arial"/>
          <w:sz w:val="16"/>
          <w:szCs w:val="16"/>
          <w:color w:val="auto"/>
        </w:rPr>
        <w:t>505 Montgomery Street, Suite 2000</w:t>
      </w:r>
    </w:p>
    <w:p>
      <w:pPr>
        <w:spacing w:after="0" w:line="224" w:lineRule="auto"/>
        <w:rPr>
          <w:sz w:val="20"/>
          <w:szCs w:val="20"/>
          <w:color w:val="auto"/>
        </w:rPr>
      </w:pPr>
      <w:r>
        <w:rPr>
          <w:rFonts w:ascii="Arial" w:cs="Arial" w:eastAsia="Arial" w:hAnsi="Arial"/>
          <w:sz w:val="18"/>
          <w:szCs w:val="18"/>
          <w:color w:val="auto"/>
        </w:rPr>
        <w:t>San Francisco, CA 94111</w:t>
      </w:r>
    </w:p>
    <w:p>
      <w:pPr>
        <w:spacing w:after="0" w:line="220" w:lineRule="auto"/>
        <w:rPr>
          <w:sz w:val="20"/>
          <w:szCs w:val="20"/>
          <w:color w:val="auto"/>
        </w:rPr>
      </w:pPr>
      <w:r>
        <w:rPr>
          <w:rFonts w:ascii="Arial" w:cs="Arial" w:eastAsia="Arial" w:hAnsi="Arial"/>
          <w:sz w:val="18"/>
          <w:szCs w:val="18"/>
          <w:color w:val="auto"/>
        </w:rPr>
        <w:t>Attention: Haim Zaltzman</w:t>
      </w:r>
    </w:p>
    <w:p>
      <w:pPr>
        <w:spacing w:after="0" w:line="219" w:lineRule="auto"/>
        <w:rPr>
          <w:sz w:val="20"/>
          <w:szCs w:val="20"/>
          <w:color w:val="auto"/>
        </w:rPr>
      </w:pPr>
      <w:r>
        <w:rPr>
          <w:rFonts w:ascii="Arial" w:cs="Arial" w:eastAsia="Arial" w:hAnsi="Arial"/>
          <w:sz w:val="18"/>
          <w:szCs w:val="18"/>
          <w:color w:val="auto"/>
        </w:rPr>
        <w:t>Fax: (415) 395-8095</w:t>
      </w:r>
    </w:p>
    <w:p>
      <w:pPr>
        <w:spacing w:after="0"/>
        <w:rPr>
          <w:sz w:val="20"/>
          <w:szCs w:val="20"/>
          <w:color w:val="auto"/>
        </w:rPr>
      </w:pPr>
      <w:r>
        <w:rPr>
          <w:rFonts w:ascii="Arial" w:cs="Arial" w:eastAsia="Arial" w:hAnsi="Arial"/>
          <w:sz w:val="18"/>
          <w:szCs w:val="18"/>
          <w:color w:val="auto"/>
        </w:rPr>
        <w:t>Email: haim.zaltzman@lw.com</w:t>
      </w:r>
    </w:p>
    <w:p>
      <w:pPr>
        <w:spacing w:after="0" w:line="192" w:lineRule="exact"/>
        <w:rPr>
          <w:sz w:val="20"/>
          <w:szCs w:val="20"/>
          <w:color w:val="auto"/>
        </w:rPr>
      </w:pPr>
    </w:p>
    <w:p>
      <w:pPr>
        <w:sectPr>
          <w:pgSz w:w="11900" w:h="16838" w:orient="portrait"/>
          <w:cols w:equalWidth="0" w:num="2">
            <w:col w:w="3540" w:space="560"/>
            <w:col w:w="71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b w:val="1"/>
          <w:bCs w:val="1"/>
          <w:u w:val="single" w:color="auto"/>
          <w:color w:val="auto"/>
        </w:rPr>
        <w:t>CHOICE OF LAW, VENUE AND JURY TRIAL WAIVER</w:t>
      </w:r>
    </w:p>
    <w:p>
      <w:pPr>
        <w:spacing w:after="0" w:line="22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b w:val="1"/>
          <w:bCs w:val="1"/>
          <w:color w:val="auto"/>
        </w:rPr>
        <w:t xml:space="preserve">11.1 Waiver of Jury Trial. </w:t>
      </w:r>
      <w:r>
        <w:rPr>
          <w:rFonts w:ascii="Arial" w:cs="Arial" w:eastAsia="Arial" w:hAnsi="Arial"/>
          <w:sz w:val="18"/>
          <w:szCs w:val="18"/>
          <w:color w:val="auto"/>
        </w:rPr>
        <w:t>EACH OF BORROWER, COLLATERAL AGENT AND LENDERS UNCONDITIONALLY WAIVES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jc w:val="both"/>
        <w:spacing w:after="0" w:line="246" w:lineRule="auto"/>
        <w:rPr>
          <w:sz w:val="20"/>
          <w:szCs w:val="20"/>
          <w:color w:val="auto"/>
        </w:rPr>
      </w:pPr>
      <w:r>
        <w:rPr>
          <w:rFonts w:ascii="Arial" w:cs="Arial" w:eastAsia="Arial" w:hAnsi="Arial"/>
          <w:sz w:val="18"/>
          <w:szCs w:val="18"/>
          <w:color w:val="auto"/>
        </w:rPr>
        <w:t>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8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b w:val="1"/>
          <w:bCs w:val="1"/>
          <w:color w:val="auto"/>
        </w:rPr>
        <w:t xml:space="preserve">11.2 Governing Law and Jurisdiction. </w:t>
      </w:r>
      <w:r>
        <w:rPr>
          <w:rFonts w:ascii="Arial" w:cs="Arial" w:eastAsia="Arial" w:hAnsi="Arial"/>
          <w:sz w:val="18"/>
          <w:szCs w:val="18"/>
          <w:color w:val="auto"/>
        </w:rPr>
        <w:t>THIS AGREEMENT, THE OTHER LOAN DOCUMENTS (EXCLUDING THOSE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b w:val="1"/>
          <w:bCs w:val="1"/>
          <w:color w:val="auto"/>
        </w:rPr>
        <w:t>11.3 Submission to Jurisdiction</w:t>
      </w:r>
      <w:r>
        <w:rPr>
          <w:rFonts w:ascii="Arial" w:cs="Arial" w:eastAsia="Arial" w:hAnsi="Arial"/>
          <w:sz w:val="18"/>
          <w:szCs w:val="18"/>
          <w:color w:val="auto"/>
        </w:rPr>
        <w:t>. Any legal action or proceeding with respect to the Loan Documents shall be brought exclusively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that any of them may now or hereafter have to the bringing of any such action or proceeding in such jurisdictions.</w:t>
      </w:r>
    </w:p>
    <w:p>
      <w:pPr>
        <w:spacing w:after="0" w:line="20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7"/>
          <w:szCs w:val="17"/>
          <w:b w:val="1"/>
          <w:bCs w:val="1"/>
          <w:color w:val="auto"/>
        </w:rPr>
        <w:t>11.4 Service of Process</w:t>
      </w:r>
      <w:r>
        <w:rPr>
          <w:rFonts w:ascii="Arial" w:cs="Arial" w:eastAsia="Arial" w:hAnsi="Arial"/>
          <w:sz w:val="17"/>
          <w:szCs w:val="17"/>
          <w:color w:val="auto"/>
        </w:rPr>
        <w:t>. Borrower irrevocably waives personal service of any and all legal process, summons, notices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6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b w:val="1"/>
          <w:bCs w:val="1"/>
          <w:color w:val="auto"/>
        </w:rPr>
        <w:t>11.5 Non-exclusive Jurisdiction</w:t>
      </w:r>
      <w:r>
        <w:rPr>
          <w:rFonts w:ascii="Arial" w:cs="Arial" w:eastAsia="Arial" w:hAnsi="Arial"/>
          <w:sz w:val="18"/>
          <w:szCs w:val="18"/>
          <w:color w:val="auto"/>
        </w:rPr>
        <w:t>. Nothing contained in this Article 11 shall affect the right of Collateral Agent or Lenders to serve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in any other manner permitted by applicable requirements of law or commence legal proceedings or otherwise proceed against Borrower in any other jurisdiction.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may 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Transfer”) </w:t>
      </w:r>
      <w:r>
        <w:rPr>
          <w:rFonts w:ascii="Arial" w:cs="Arial" w:eastAsia="Arial" w:hAnsi="Arial"/>
          <w:sz w:val="16"/>
          <w:szCs w:val="16"/>
          <w:color w:val="auto"/>
        </w:rPr>
        <w:t>all or any part of, or any interest in, the Lenders’ obligations, rights, and benefits under this Agreement and the other Loan Documents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Eligible Assignee;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(i) any Transfer at any time that an Event of Default has occurred and is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6"/>
          <w:szCs w:val="16"/>
          <w:color w:val="auto"/>
        </w:rPr>
        <w:t>continuing, or (ii) a transfer, pledge, sale or assignment to an Eligible Assignee) of its obligations, rights, and benefits under this Agreement and the other Loan Documents shall require the prior written consent of the Collateral Agent and Borrower (such consent of Borrower not to be unreasonably withheld, conditioned or delayed)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then-current direct competitor, vulture fund or distress investment fund of Borrower, as reasonably determined by Collateral Agent at the time of such assignment. Collateral Agent, acting solely for this purpose as a non-fiduciary agent of Borrower, shall maintain at one of its offices in the United States a register for the recordation of the names and addresses of the Lenders, and the Term Loan Commitments of, and principal amounts (and stated interest) of the Term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Borrower, Collateral Agent and Lenders shall treat each Person whose name is recorded in the Register pursuant to the terms hereof as Lender hereunder for all purposes of this Agreement. The Register shall be available for inspection by Borrower and any Lender at any reasonable time and from time to time upon reasonable prior notice.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Collateral Agent (in its capacity as Collateral Agent) shall have no responsibility for maintaining a Participant Register. Borrower agrees that each participant shall be entitled to the benefits of the provisions in Exhibit C attached hereto (subject to the requirements and limitations therein, including the requirements under Section 7 of Exhibit C attached hereto (it being understood that the documentation required under Section 7 of Exhibit C attached hereto shall be delivered to the participating Lender)) to the same extent as if it were a Lender and had acquired its interest by assignment pursuant to this Section 12.1; provided that such participant shall not be entitled to receive any greater payment under Exhibit C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39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each Secured Party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consultants, agents, attorneys, or any other Person affiliated with or representing such Secured Party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(i) Claims and/or losses directly caused by such Indemnified Person’s gross negligence or willful misconduct, (ii) Claims by an Indemnified Person against another Indemnified Person or (iii) unless the ABL Lender ceases to be an Affiliate of Collateral Agent or any Lender hereunder, Claims by the ABL Lender or an Indemnified Party (as defined in the ABL Credit Agreement) against an Indemnified Person or Claims by an Indemnified Person against the ABL Lender or an Indemnified Party (as defined in the ABL Credit Agreement). Borrower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both"/>
        <w:spacing w:after="0" w:line="278" w:lineRule="auto"/>
        <w:rPr>
          <w:sz w:val="20"/>
          <w:szCs w:val="20"/>
          <w:color w:val="auto"/>
        </w:rPr>
      </w:pPr>
      <w:r>
        <w:rPr>
          <w:rFonts w:ascii="Arial" w:cs="Arial" w:eastAsia="Arial" w:hAnsi="Arial"/>
          <w:sz w:val="16"/>
          <w:szCs w:val="16"/>
          <w:color w:val="auto"/>
        </w:rPr>
        <w:t>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(or, unless the ABL Lender ceases to be an Affiliate of Collateral Agent or any Lender hereunder, the ABL Lender’s or an Indemnified Party’s (as defined in the ABL Credit Agreement)) gross negligence or willful misconduct. This Section 12.2 shall not apply with respect to Taxes other than any Taxes that represent losses, claims, damages, etc. arising from any non-Tax claim.</w:t>
      </w:r>
    </w:p>
    <w:p>
      <w:pPr>
        <w:spacing w:after="0" w:line="157"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8"/>
          <w:szCs w:val="18"/>
          <w:b w:val="1"/>
          <w:bCs w:val="1"/>
          <w:color w:val="auto"/>
        </w:rPr>
        <w:t xml:space="preserve">12.3 Severability of Provisions. </w:t>
      </w:r>
      <w:r>
        <w:rPr>
          <w:rFonts w:ascii="Arial" w:cs="Arial" w:eastAsia="Arial" w:hAnsi="Arial"/>
          <w:sz w:val="18"/>
          <w:szCs w:val="18"/>
          <w:color w:val="auto"/>
        </w:rPr>
        <w:t>Each provision of this Agreement is severable from every other provision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provision.</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18"/>
          <w:szCs w:val="18"/>
          <w:b w:val="1"/>
          <w:bCs w:val="1"/>
          <w:color w:val="auto"/>
        </w:rPr>
        <w:t xml:space="preserve">12.4 Correction of Loan Documents. </w:t>
      </w:r>
      <w:r>
        <w:rPr>
          <w:rFonts w:ascii="Arial" w:cs="Arial" w:eastAsia="Arial" w:hAnsi="Arial"/>
          <w:sz w:val="18"/>
          <w:szCs w:val="18"/>
          <w:color w:val="auto"/>
        </w:rPr>
        <w:t>Collateral Agent may correct patent errors and fill in any blanks in this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consistent with the agreement of the parties</w:t>
      </w:r>
      <w:r>
        <w:rPr>
          <w:rFonts w:ascii="Arial" w:cs="Arial" w:eastAsia="Arial" w:hAnsi="Arial"/>
          <w:sz w:val="18"/>
          <w:szCs w:val="18"/>
          <w:b w:val="1"/>
          <w:bCs w:val="1"/>
          <w:color w:val="auto"/>
        </w:rPr>
        <w:t>.</w:t>
      </w:r>
    </w:p>
    <w:p>
      <w:pPr>
        <w:spacing w:after="0" w:line="148"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7"/>
          <w:szCs w:val="17"/>
          <w:b w:val="1"/>
          <w:bCs w:val="1"/>
          <w:color w:val="auto"/>
        </w:rPr>
        <w:t xml:space="preserve">12.5 Amendments in Writing; Integration. </w:t>
      </w:r>
      <w:r>
        <w:rPr>
          <w:rFonts w:ascii="Arial" w:cs="Arial" w:eastAsia="Arial" w:hAnsi="Arial"/>
          <w:sz w:val="17"/>
          <w:szCs w:val="17"/>
          <w:color w:val="auto"/>
        </w:rPr>
        <w:t>(a) No amendment, modification, termination or waiver of any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57" w:lineRule="exact"/>
        <w:rPr>
          <w:sz w:val="20"/>
          <w:szCs w:val="20"/>
          <w:color w:val="auto"/>
        </w:rPr>
      </w:pPr>
    </w:p>
    <w:p>
      <w:pPr>
        <w:jc w:val="both"/>
        <w:ind w:firstLine="2528"/>
        <w:spacing w:after="0" w:line="261" w:lineRule="auto"/>
        <w:rPr>
          <w:sz w:val="20"/>
          <w:szCs w:val="20"/>
          <w:color w:val="auto"/>
        </w:rPr>
      </w:pPr>
      <w:r>
        <w:rPr>
          <w:rFonts w:ascii="Arial" w:cs="Arial" w:eastAsia="Arial" w:hAnsi="Arial"/>
          <w:sz w:val="18"/>
          <w:szCs w:val="18"/>
          <w:color w:val="auto"/>
        </w:rPr>
        <w:t>(i) no such amendment, waiver or other modification that would have the effect of increasing or reducing a Lender’s Term Loan Commitment or Commitment Percentage shall be effective as to such Lender without such Lender’s written consent;</w:t>
      </w:r>
    </w:p>
    <w:p>
      <w:pPr>
        <w:spacing w:after="0" w:line="387" w:lineRule="exact"/>
        <w:rPr>
          <w:sz w:val="20"/>
          <w:szCs w:val="20"/>
          <w:color w:val="auto"/>
        </w:rPr>
      </w:pPr>
    </w:p>
    <w:p>
      <w:pPr>
        <w:jc w:val="both"/>
        <w:ind w:right="20" w:firstLine="2528"/>
        <w:spacing w:after="0" w:line="261" w:lineRule="auto"/>
        <w:rPr>
          <w:sz w:val="20"/>
          <w:szCs w:val="20"/>
          <w:color w:val="auto"/>
        </w:rPr>
      </w:pPr>
      <w:r>
        <w:rPr>
          <w:rFonts w:ascii="Arial" w:cs="Arial" w:eastAsia="Arial" w:hAnsi="Arial"/>
          <w:sz w:val="18"/>
          <w:szCs w:val="18"/>
          <w:color w:val="auto"/>
        </w:rPr>
        <w:t>(ii) no such amendment, waiver or modification that would affect the rights and duties of Collateral Agent shall be effective without Collateral Agent’s written consent or signature; and</w:t>
      </w:r>
    </w:p>
    <w:p>
      <w:pPr>
        <w:spacing w:after="0" w:line="184" w:lineRule="exact"/>
        <w:rPr>
          <w:sz w:val="20"/>
          <w:szCs w:val="20"/>
          <w:color w:val="auto"/>
        </w:rPr>
      </w:pPr>
    </w:p>
    <w:p>
      <w:pPr>
        <w:ind w:left="2540"/>
        <w:spacing w:after="0"/>
        <w:tabs>
          <w:tab w:leader="none" w:pos="482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no such amendment, waiver or other modification shall, unless signed by all the Lenders</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w:t>
      </w:r>
    </w:p>
    <w:p>
      <w:pPr>
        <w:spacing w:after="0" w:line="8" w:lineRule="exact"/>
        <w:rPr>
          <w:sz w:val="20"/>
          <w:szCs w:val="20"/>
          <w:color w:val="auto"/>
        </w:rPr>
      </w:pPr>
    </w:p>
    <w:p>
      <w:pPr>
        <w:jc w:val="both"/>
        <w:ind w:firstLine="8"/>
        <w:spacing w:after="0" w:line="244" w:lineRule="auto"/>
        <w:tabs>
          <w:tab w:leader="none" w:pos="3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12.5. It is hereby understood and agreed that all Lenders shall be deemed directly affected by an amendment, waiver or other modification of the type described in the preceding clauses (C), (D), (E), (F), (G) and (H) of the immediately preceding sentence.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both"/>
        <w:ind w:firstLine="1505"/>
        <w:spacing w:after="0" w:line="217" w:lineRule="exact"/>
        <w:tabs>
          <w:tab w:leader="none" w:pos="29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Other than as expressly provided for in Section 12.5(a)(i)</w:t>
      </w:r>
      <w:r>
        <w:rPr>
          <w:rFonts w:ascii="MS PGothic" w:cs="MS PGothic" w:eastAsia="MS PGothic" w:hAnsi="MS PGothic"/>
          <w:sz w:val="16"/>
          <w:szCs w:val="16"/>
          <w:color w:val="auto"/>
        </w:rPr>
        <w:t>‑</w:t>
      </w:r>
      <w:r>
        <w:rPr>
          <w:rFonts w:ascii="Arial" w:cs="Arial" w:eastAsia="Arial" w:hAnsi="Arial"/>
          <w:sz w:val="16"/>
          <w:szCs w:val="16"/>
          <w:color w:val="auto"/>
        </w:rPr>
        <w:t>(iii), Collateral Agent may, at its discretion, or if requested by the Required Lenders, from time to time designate covenants in this Agreement less restrictive by notification to a representative of Borrower.</w:t>
      </w:r>
    </w:p>
    <w:p>
      <w:pPr>
        <w:spacing w:after="0" w:line="202" w:lineRule="exact"/>
        <w:rPr>
          <w:rFonts w:ascii="Arial" w:cs="Arial" w:eastAsia="Arial" w:hAnsi="Arial"/>
          <w:sz w:val="16"/>
          <w:szCs w:val="16"/>
          <w:color w:val="auto"/>
        </w:rPr>
      </w:pPr>
    </w:p>
    <w:p>
      <w:pPr>
        <w:jc w:val="both"/>
        <w:ind w:firstLine="1505"/>
        <w:spacing w:after="0" w:line="294" w:lineRule="auto"/>
        <w:tabs>
          <w:tab w:leader="none" w:pos="29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5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12.6 Counterparts. </w:t>
      </w:r>
      <w:r>
        <w:rPr>
          <w:rFonts w:ascii="Arial" w:cs="Arial" w:eastAsia="Arial" w:hAnsi="Arial"/>
          <w:sz w:val="18"/>
          <w:szCs w:val="18"/>
          <w:color w:val="auto"/>
        </w:rPr>
        <w:t>This Agreement may be executed in any number of counterparts and by different parties on separate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b w:val="1"/>
          <w:bCs w:val="1"/>
          <w:color w:val="auto"/>
        </w:rPr>
        <w:t xml:space="preserve">12.7 Survival. </w:t>
      </w:r>
      <w:r>
        <w:rPr>
          <w:rFonts w:ascii="Arial" w:cs="Arial" w:eastAsia="Arial" w:hAnsi="Arial"/>
          <w:sz w:val="18"/>
          <w:szCs w:val="18"/>
          <w:color w:val="auto"/>
        </w:rPr>
        <w:t>All covenants, representations and warranties made in this Agreement continue in full force and effect until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tax provisions in Section 2.5 and Exhibit C hereof and the confidentiality provisions in Section 12.8 below, shall survive until the statute of limitations with respect to such claim or cause of action shall have run.</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7"/>
          <w:szCs w:val="17"/>
          <w:b w:val="1"/>
          <w:bCs w:val="1"/>
          <w:color w:val="auto"/>
        </w:rPr>
        <w:t xml:space="preserve">12.8 Confidentiality. </w:t>
      </w:r>
      <w:r>
        <w:rPr>
          <w:rFonts w:ascii="Arial" w:cs="Arial" w:eastAsia="Arial" w:hAnsi="Arial"/>
          <w:sz w:val="17"/>
          <w:szCs w:val="17"/>
          <w:color w:val="auto"/>
        </w:rPr>
        <w:t>In handling any confidential information of Borrower, each of the Lenders and Collateral Agent shall maintain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of such confidential information and 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rule, regulation, regulatory or self-regulatory authority,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breach of this provision by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so long as the Collateral Agent and the Lenders do not disclose the identity of the Borrower or the Identity of any person associated with the Borrower.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9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b w:val="1"/>
          <w:bCs w:val="1"/>
          <w:color w:val="auto"/>
        </w:rPr>
        <w:t xml:space="preserve">12.9 Right of Set Off. </w:t>
      </w:r>
      <w:r>
        <w:rPr>
          <w:rFonts w:ascii="Arial" w:cs="Arial" w:eastAsia="Arial" w:hAnsi="Arial"/>
          <w:sz w:val="18"/>
          <w:szCs w:val="18"/>
          <w:color w:val="auto"/>
        </w:rPr>
        <w:t>Borrower hereby grants to Collateral Agent and to each Lender, a Lien, security interest and right of set off as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an affiliate of the Collateral Agent) or in transit to any of them. At any time after the occurrence and during the continuance of an Event of Default, without demand or notice, any Secured Party may set off the same or any part thereof and apply the same to any liability or obligation of Borrower even though unmatured and regardless of the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both"/>
        <w:spacing w:after="0" w:line="249" w:lineRule="auto"/>
        <w:rPr>
          <w:sz w:val="20"/>
          <w:szCs w:val="20"/>
          <w:color w:val="auto"/>
        </w:rPr>
      </w:pPr>
      <w:r>
        <w:rPr>
          <w:rFonts w:ascii="Arial" w:cs="Arial" w:eastAsia="Arial" w:hAnsi="Arial"/>
          <w:sz w:val="18"/>
          <w:szCs w:val="18"/>
          <w:color w:val="auto"/>
        </w:rPr>
        <w:t>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7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b w:val="1"/>
          <w:bCs w:val="1"/>
          <w:color w:val="auto"/>
        </w:rPr>
        <w:t xml:space="preserve">12.10 Cooperation of Borrower. </w:t>
      </w:r>
      <w:r>
        <w:rPr>
          <w:rFonts w:ascii="Arial" w:cs="Arial" w:eastAsia="Arial" w:hAnsi="Arial"/>
          <w:sz w:val="17"/>
          <w:szCs w:val="17"/>
          <w:color w:val="auto"/>
        </w:rPr>
        <w:t>If necessary, Borrower agrees to (i) execute any documents reasonably required to effectuate and</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 each assignment of a Term Loan Commitment (or portion thereof) or Term Loan (or portion thereof) to an assignee in accordance with Section 12.1, (ii) make Borrower’s management personnel available to meet with Collateral Agent and prospective 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Borrower as any prospective participant or assignee of a Term Loan Commitment (or portions thereof) or Term Loan (or portions thereof) reasonably may request. Subject to the provisions of Section 12.8, Borrower authorizes each Lender to disclose to any prospective participant or assignee of a Term Loan Commitment (or portions thereof),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7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b w:val="1"/>
          <w:bCs w:val="1"/>
          <w:color w:val="auto"/>
        </w:rPr>
        <w:t xml:space="preserve">12.11 Public Announcement. </w:t>
      </w:r>
      <w:r>
        <w:rPr>
          <w:rFonts w:ascii="Arial" w:cs="Arial" w:eastAsia="Arial" w:hAnsi="Arial"/>
          <w:sz w:val="16"/>
          <w:szCs w:val="16"/>
          <w:color w:val="auto"/>
        </w:rPr>
        <w:t>Borrower hereby agrees that Collateral Agent and each Lender, after consultation with Borrower, may make</w:t>
      </w:r>
      <w:r>
        <w:rPr>
          <w:rFonts w:ascii="Arial" w:cs="Arial" w:eastAsia="Arial" w:hAnsi="Arial"/>
          <w:sz w:val="16"/>
          <w:szCs w:val="16"/>
          <w:b w:val="1"/>
          <w:bCs w:val="1"/>
          <w:color w:val="auto"/>
        </w:rPr>
        <w:t xml:space="preserve"> </w:t>
      </w:r>
      <w:r>
        <w:rPr>
          <w:rFonts w:ascii="Arial" w:cs="Arial" w:eastAsia="Arial" w:hAnsi="Arial"/>
          <w:sz w:val="16"/>
          <w:szCs w:val="16"/>
          <w:color w:val="auto"/>
        </w:rPr>
        <w:t>a public announcement of the transactions contemplated by this Agreement, and may publicize the same in marketing materials, newspapers and other publications, and otherwise, and in connection therewith may use Borrower’s name, tradenames and logos. Notwithstanding the foregoing, such consultation with Borrower shall not be required for any disclosures by Collateral Agent and the Lenders may also make disclosures to the Securities and Exchange Commission or other governmental agency and any other public disclosure with investors, other governmental agencies or other related persons.</w:t>
      </w:r>
    </w:p>
    <w:p>
      <w:pPr>
        <w:spacing w:after="0" w:line="148"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b w:val="1"/>
          <w:bCs w:val="1"/>
          <w:color w:val="auto"/>
        </w:rPr>
        <w:t xml:space="preserve">12.12 Collateral Agent and Lender Agreement; Release of Collateral. </w:t>
      </w:r>
      <w:r>
        <w:rPr>
          <w:rFonts w:ascii="Arial" w:cs="Arial" w:eastAsia="Arial" w:hAnsi="Arial"/>
          <w:sz w:val="17"/>
          <w:szCs w:val="17"/>
          <w:color w:val="auto"/>
        </w:rPr>
        <w:t>Collateral Agent and the Lenders hereby agree to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set forth on Exhibit B attached hereto. Borrower acknowledges and agrees to the terms and conditions set forth on Exhibit B attached hereto. In each case as specified in the Section 8 of Exhibit B attached hereto, the Collateral Agent will, upon Borrower’s request and at Borrower’s expense, execute and deliver to Borrower, co-Borrower or Guarantor such documents as Borrower, such co-Borrower or such Guarantor may reasonably request to evidence the release of such item of Collateral from the security interest granted under the Loan Documents, or to release such co-Borrower or Guarantor from its obligations under the Loan Document, in each case in accordance with the terms of the Loan Documents, including Section 8 of Exhibit B attached hereto. In the case of any such sale of other Transfer of any property constituting Collateral in a transaction constituting a Transfer permitted pursuant to clauses (a), (b) or (c) of Section 7.1, the Liens created by any of the Loan Documents on such property shall be automatically released without need for further action by any Person.</w:t>
      </w:r>
    </w:p>
    <w:p>
      <w:pPr>
        <w:spacing w:after="0" w:line="18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Obligations under this Agreement.</w:t>
      </w:r>
    </w:p>
    <w:p>
      <w:pPr>
        <w:spacing w:after="0" w:line="212"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7"/>
          <w:szCs w:val="17"/>
          <w:b w:val="1"/>
          <w:bCs w:val="1"/>
          <w:color w:val="auto"/>
        </w:rPr>
        <w:t>12.14 Termination Prior to Maturity Date; Survival</w:t>
      </w:r>
      <w:r>
        <w:rPr>
          <w:rFonts w:ascii="Arial" w:cs="Arial" w:eastAsia="Arial" w:hAnsi="Arial"/>
          <w:sz w:val="17"/>
          <w:szCs w:val="17"/>
          <w:color w:val="auto"/>
        </w:rPr>
        <w:t>. All covenants, representations and warranties made in this Agreement continue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force until this Agreement has terminated pursuant to its terms and all Obligations have been satisfied. So long as Borrower has satisfied the Obligations (other than inchoate indemnity obligations and any other obligations which, by their terms, are to survive the termination of this Agreement and for which no claim has been made) in accordance with the terms of this Agreement, this Agreement may be terminated prior to the Maturity Date by Borrower, effective five (5) Business Days after written notice of termination is given to the Collateral Agent and the Lenders.</w:t>
      </w:r>
    </w:p>
    <w:p>
      <w:pPr>
        <w:spacing w:after="0" w:line="18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b w:val="1"/>
          <w:bCs w:val="1"/>
          <w:color w:val="auto"/>
        </w:rPr>
        <w:t xml:space="preserve">12.15 Electronic Execution of Certain Other Documents. </w:t>
      </w:r>
      <w:r>
        <w:rPr>
          <w:rFonts w:ascii="Arial" w:cs="Arial" w:eastAsia="Arial" w:hAnsi="Arial"/>
          <w:sz w:val="18"/>
          <w:szCs w:val="18"/>
          <w:color w:val="auto"/>
        </w:rPr>
        <w:t>The words “execution,” “execute”, “signed,” “signature,” and words of like</w:t>
      </w:r>
      <w:r>
        <w:rPr>
          <w:rFonts w:ascii="Arial" w:cs="Arial" w:eastAsia="Arial" w:hAnsi="Arial"/>
          <w:sz w:val="18"/>
          <w:szCs w:val="18"/>
          <w:b w:val="1"/>
          <w:bCs w:val="1"/>
          <w:color w:val="auto"/>
        </w:rPr>
        <w:t xml:space="preserve"> </w:t>
      </w:r>
      <w:r>
        <w:rPr>
          <w:rFonts w:ascii="Arial" w:cs="Arial" w:eastAsia="Arial" w:hAnsi="Arial"/>
          <w:sz w:val="18"/>
          <w:szCs w:val="18"/>
          <w:color w:val="auto"/>
        </w:rPr>
        <w:t>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18"/>
          <w:szCs w:val="18"/>
          <w:color w:val="auto"/>
        </w:rPr>
        <w:t>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of Page Intentionally Left Blank</w:t>
      </w:r>
      <w:r>
        <w:rPr>
          <w:rFonts w:ascii="Arial" w:cs="Arial" w:eastAsia="Arial" w:hAnsi="Arial"/>
          <w:sz w:val="18"/>
          <w:szCs w:val="18"/>
          <w:color w:val="auto"/>
        </w:rPr>
        <w: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ind w:left="7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OUTSET MEDICAL,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Nabeel Ahmed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Nabeel Ahmed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4"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SLR INVESTMENT CORP.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4"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SCP PRIVATE CREDIT INCOME FUND SPV,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SCP PRIVATE CREDIT INCOME BDC SPV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SCP PRIVATE CORPORATE LENDING FUND SPV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SLR CP SF DEBT FUND SPV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SLR HC FUND SPV,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SLR HC BDC SPV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-10160</wp:posOffset>
            </wp:positionV>
            <wp:extent cx="9302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9302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80" w:lineRule="exact"/>
        <w:rPr>
          <w:sz w:val="20"/>
          <w:szCs w:val="20"/>
          <w:color w:val="auto"/>
        </w:rPr>
      </w:pPr>
    </w:p>
    <w:p>
      <w:pPr>
        <w:jc w:val="right"/>
        <w:ind w:right="26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193040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4"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SCHEDULE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Lenders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353695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Description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353695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Collateral Agent and Lender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Taxes; 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335280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Loan Payment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353695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EXHIBIT 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BORROWING CERTIFICATE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Corporate Borrowing Certificate</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330200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344805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3" w:name="page94"/>
    <w:bookmarkEnd w:id="93"/>
    <w:p>
      <w:pPr>
        <w:ind w:left="10320"/>
        <w:spacing w:after="0"/>
        <w:rPr>
          <w:sz w:val="20"/>
          <w:szCs w:val="20"/>
          <w:color w:val="auto"/>
        </w:rPr>
      </w:pPr>
      <w:r>
        <w:rPr>
          <w:rFonts w:ascii="Arial" w:cs="Arial" w:eastAsia="Arial" w:hAnsi="Arial"/>
          <w:sz w:val="16"/>
          <w:szCs w:val="16"/>
          <w:b w:val="1"/>
          <w:bCs w:val="1"/>
          <w:color w:val="auto"/>
        </w:rPr>
        <w:t>Exhibit 10.2</w:t>
      </w:r>
    </w:p>
    <w:p>
      <w:pPr>
        <w:spacing w:after="0" w:line="3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Portions of this exhibit have been excluded because it is both (i) not material and (ii) the type of information that the Registrant both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such other Persons joined hereto as a Borrower from time to time,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GEMINO HEALTHCARE FINANCE, LLC d/b/a SLR HEALTHCARE ABL</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832"/>
        </w:trPr>
        <w:tc>
          <w:tcPr>
            <w:tcW w:w="14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72"/>
        </w:trPr>
        <w:tc>
          <w:tcPr>
            <w:tcW w:w="9760" w:type="dxa"/>
            <w:vAlign w:val="bottom"/>
            <w:gridSpan w:val="2"/>
          </w:tcPr>
          <w:p>
            <w:pPr>
              <w:ind w:left="20"/>
              <w:spacing w:after="0"/>
              <w:rPr>
                <w:sz w:val="20"/>
                <w:szCs w:val="20"/>
                <w:color w:val="auto"/>
              </w:rPr>
            </w:pPr>
            <w:r>
              <w:rPr>
                <w:rFonts w:ascii="Arial" w:cs="Arial" w:eastAsia="Arial" w:hAnsi="Arial"/>
                <w:sz w:val="22"/>
                <w:szCs w:val="22"/>
                <w:color w:val="auto"/>
              </w:rPr>
              <w:t>ARTICLE 1 DEFINITIONS, ACCOUNTING TERMS AND PRINCIPLES OF CONSTRUCTION</w:t>
            </w:r>
          </w:p>
        </w:tc>
        <w:tc>
          <w:tcPr>
            <w:tcW w:w="14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5"/>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1.01.</w:t>
            </w:r>
          </w:p>
        </w:tc>
        <w:tc>
          <w:tcPr>
            <w:tcW w:w="8360" w:type="dxa"/>
            <w:vAlign w:val="bottom"/>
          </w:tcPr>
          <w:p>
            <w:pPr>
              <w:ind w:left="300"/>
              <w:spacing w:after="0"/>
              <w:rPr>
                <w:sz w:val="20"/>
                <w:szCs w:val="20"/>
                <w:color w:val="auto"/>
              </w:rPr>
            </w:pPr>
            <w:r>
              <w:rPr>
                <w:rFonts w:ascii="Arial" w:cs="Arial" w:eastAsia="Arial" w:hAnsi="Arial"/>
                <w:sz w:val="22"/>
                <w:szCs w:val="22"/>
                <w:color w:val="auto"/>
              </w:rPr>
              <w:t>Terms Defined</w:t>
            </w:r>
          </w:p>
        </w:tc>
        <w:tc>
          <w:tcPr>
            <w:tcW w:w="14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6"/>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1.02.</w:t>
            </w:r>
          </w:p>
        </w:tc>
        <w:tc>
          <w:tcPr>
            <w:tcW w:w="8360" w:type="dxa"/>
            <w:vAlign w:val="bottom"/>
          </w:tcPr>
          <w:p>
            <w:pPr>
              <w:ind w:left="300"/>
              <w:spacing w:after="0"/>
              <w:rPr>
                <w:sz w:val="20"/>
                <w:szCs w:val="20"/>
                <w:color w:val="auto"/>
              </w:rPr>
            </w:pPr>
            <w:r>
              <w:rPr>
                <w:rFonts w:ascii="Arial" w:cs="Arial" w:eastAsia="Arial" w:hAnsi="Arial"/>
                <w:sz w:val="22"/>
                <w:szCs w:val="22"/>
                <w:color w:val="auto"/>
              </w:rPr>
              <w:t>Accounting Terms</w:t>
            </w:r>
          </w:p>
        </w:tc>
        <w:tc>
          <w:tcPr>
            <w:tcW w:w="14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1.03.</w:t>
            </w:r>
          </w:p>
        </w:tc>
        <w:tc>
          <w:tcPr>
            <w:tcW w:w="8360" w:type="dxa"/>
            <w:vAlign w:val="bottom"/>
          </w:tcPr>
          <w:p>
            <w:pPr>
              <w:ind w:left="300"/>
              <w:spacing w:after="0"/>
              <w:rPr>
                <w:sz w:val="20"/>
                <w:szCs w:val="20"/>
                <w:color w:val="auto"/>
              </w:rPr>
            </w:pPr>
            <w:r>
              <w:rPr>
                <w:rFonts w:ascii="Arial" w:cs="Arial" w:eastAsia="Arial" w:hAnsi="Arial"/>
                <w:sz w:val="22"/>
                <w:szCs w:val="22"/>
                <w:color w:val="auto"/>
              </w:rPr>
              <w:t>UCC</w:t>
            </w:r>
          </w:p>
        </w:tc>
        <w:tc>
          <w:tcPr>
            <w:tcW w:w="14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1.04.</w:t>
            </w:r>
          </w:p>
        </w:tc>
        <w:tc>
          <w:tcPr>
            <w:tcW w:w="8360" w:type="dxa"/>
            <w:vAlign w:val="bottom"/>
          </w:tcPr>
          <w:p>
            <w:pPr>
              <w:ind w:left="300"/>
              <w:spacing w:after="0"/>
              <w:rPr>
                <w:sz w:val="20"/>
                <w:szCs w:val="20"/>
                <w:color w:val="auto"/>
              </w:rPr>
            </w:pPr>
            <w:r>
              <w:rPr>
                <w:rFonts w:ascii="Arial" w:cs="Arial" w:eastAsia="Arial" w:hAnsi="Arial"/>
                <w:sz w:val="22"/>
                <w:szCs w:val="22"/>
                <w:color w:val="auto"/>
              </w:rPr>
              <w:t>Construction</w:t>
            </w:r>
          </w:p>
        </w:tc>
        <w:tc>
          <w:tcPr>
            <w:tcW w:w="14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1.05.</w:t>
            </w:r>
          </w:p>
        </w:tc>
        <w:tc>
          <w:tcPr>
            <w:tcW w:w="8360" w:type="dxa"/>
            <w:vAlign w:val="bottom"/>
          </w:tcPr>
          <w:p>
            <w:pPr>
              <w:ind w:left="300"/>
              <w:spacing w:after="0"/>
              <w:rPr>
                <w:sz w:val="20"/>
                <w:szCs w:val="20"/>
                <w:color w:val="auto"/>
              </w:rPr>
            </w:pPr>
            <w:r>
              <w:rPr>
                <w:rFonts w:ascii="Arial" w:cs="Arial" w:eastAsia="Arial" w:hAnsi="Arial"/>
                <w:sz w:val="22"/>
                <w:szCs w:val="22"/>
                <w:color w:val="auto"/>
              </w:rPr>
              <w:t>Time References</w:t>
            </w:r>
          </w:p>
        </w:tc>
        <w:tc>
          <w:tcPr>
            <w:tcW w:w="14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4"/>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1.06.</w:t>
            </w:r>
          </w:p>
        </w:tc>
        <w:tc>
          <w:tcPr>
            <w:tcW w:w="8360" w:type="dxa"/>
            <w:vAlign w:val="bottom"/>
          </w:tcPr>
          <w:p>
            <w:pPr>
              <w:ind w:left="300"/>
              <w:spacing w:after="0"/>
              <w:rPr>
                <w:sz w:val="20"/>
                <w:szCs w:val="20"/>
                <w:color w:val="auto"/>
              </w:rPr>
            </w:pPr>
            <w:r>
              <w:rPr>
                <w:rFonts w:ascii="Arial" w:cs="Arial" w:eastAsia="Arial" w:hAnsi="Arial"/>
                <w:sz w:val="22"/>
                <w:szCs w:val="22"/>
                <w:color w:val="auto"/>
              </w:rPr>
              <w:t>Schedules and Exhibits</w:t>
            </w:r>
          </w:p>
        </w:tc>
        <w:tc>
          <w:tcPr>
            <w:tcW w:w="14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73"/>
        </w:trPr>
        <w:tc>
          <w:tcPr>
            <w:tcW w:w="9760" w:type="dxa"/>
            <w:vAlign w:val="bottom"/>
            <w:gridSpan w:val="2"/>
          </w:tcPr>
          <w:p>
            <w:pPr>
              <w:ind w:left="20"/>
              <w:spacing w:after="0"/>
              <w:rPr>
                <w:sz w:val="20"/>
                <w:szCs w:val="20"/>
                <w:color w:val="auto"/>
              </w:rPr>
            </w:pPr>
            <w:r>
              <w:rPr>
                <w:rFonts w:ascii="Arial" w:cs="Arial" w:eastAsia="Arial" w:hAnsi="Arial"/>
                <w:sz w:val="22"/>
                <w:szCs w:val="22"/>
                <w:color w:val="auto"/>
              </w:rPr>
              <w:t>ARTICLE 2 THE LOANS</w:t>
            </w:r>
          </w:p>
        </w:tc>
        <w:tc>
          <w:tcPr>
            <w:tcW w:w="14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55"/>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2.01.</w:t>
            </w:r>
          </w:p>
        </w:tc>
        <w:tc>
          <w:tcPr>
            <w:tcW w:w="8360" w:type="dxa"/>
            <w:vAlign w:val="bottom"/>
          </w:tcPr>
          <w:p>
            <w:pPr>
              <w:ind w:left="300"/>
              <w:spacing w:after="0"/>
              <w:rPr>
                <w:sz w:val="20"/>
                <w:szCs w:val="20"/>
                <w:color w:val="auto"/>
              </w:rPr>
            </w:pPr>
            <w:r>
              <w:rPr>
                <w:rFonts w:ascii="Arial" w:cs="Arial" w:eastAsia="Arial" w:hAnsi="Arial"/>
                <w:sz w:val="22"/>
                <w:szCs w:val="22"/>
                <w:color w:val="auto"/>
              </w:rPr>
              <w:t>Credit Facility – Description.</w:t>
            </w:r>
          </w:p>
        </w:tc>
        <w:tc>
          <w:tcPr>
            <w:tcW w:w="14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2.02.</w:t>
            </w:r>
          </w:p>
        </w:tc>
        <w:tc>
          <w:tcPr>
            <w:tcW w:w="8360" w:type="dxa"/>
            <w:vAlign w:val="bottom"/>
          </w:tcPr>
          <w:p>
            <w:pPr>
              <w:ind w:left="300"/>
              <w:spacing w:after="0"/>
              <w:rPr>
                <w:sz w:val="20"/>
                <w:szCs w:val="20"/>
                <w:color w:val="auto"/>
              </w:rPr>
            </w:pPr>
            <w:r>
              <w:rPr>
                <w:rFonts w:ascii="Arial" w:cs="Arial" w:eastAsia="Arial" w:hAnsi="Arial"/>
                <w:sz w:val="22"/>
                <w:szCs w:val="22"/>
                <w:color w:val="auto"/>
              </w:rPr>
              <w:t>Funding Procedures.</w:t>
            </w:r>
          </w:p>
        </w:tc>
        <w:tc>
          <w:tcPr>
            <w:tcW w:w="14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2.03.</w:t>
            </w:r>
          </w:p>
        </w:tc>
        <w:tc>
          <w:tcPr>
            <w:tcW w:w="8360" w:type="dxa"/>
            <w:vAlign w:val="bottom"/>
          </w:tcPr>
          <w:p>
            <w:pPr>
              <w:ind w:left="300"/>
              <w:spacing w:after="0"/>
              <w:rPr>
                <w:sz w:val="20"/>
                <w:szCs w:val="20"/>
                <w:color w:val="auto"/>
              </w:rPr>
            </w:pPr>
            <w:r>
              <w:rPr>
                <w:rFonts w:ascii="Arial" w:cs="Arial" w:eastAsia="Arial" w:hAnsi="Arial"/>
                <w:sz w:val="22"/>
                <w:szCs w:val="22"/>
                <w:color w:val="auto"/>
              </w:rPr>
              <w:t>Interest and Fees.</w:t>
            </w:r>
          </w:p>
        </w:tc>
        <w:tc>
          <w:tcPr>
            <w:tcW w:w="14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2.04.</w:t>
            </w:r>
          </w:p>
        </w:tc>
        <w:tc>
          <w:tcPr>
            <w:tcW w:w="8360" w:type="dxa"/>
            <w:vAlign w:val="bottom"/>
          </w:tcPr>
          <w:p>
            <w:pPr>
              <w:ind w:left="300"/>
              <w:spacing w:after="0"/>
              <w:rPr>
                <w:sz w:val="20"/>
                <w:szCs w:val="20"/>
                <w:color w:val="auto"/>
              </w:rPr>
            </w:pPr>
            <w:r>
              <w:rPr>
                <w:rFonts w:ascii="Arial" w:cs="Arial" w:eastAsia="Arial" w:hAnsi="Arial"/>
                <w:sz w:val="22"/>
                <w:szCs w:val="22"/>
                <w:color w:val="auto"/>
              </w:rPr>
              <w:t>Additional Interest Provisions.</w:t>
            </w:r>
          </w:p>
        </w:tc>
        <w:tc>
          <w:tcPr>
            <w:tcW w:w="14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2.05.</w:t>
            </w:r>
          </w:p>
        </w:tc>
        <w:tc>
          <w:tcPr>
            <w:tcW w:w="8360" w:type="dxa"/>
            <w:vAlign w:val="bottom"/>
          </w:tcPr>
          <w:p>
            <w:pPr>
              <w:ind w:left="300"/>
              <w:spacing w:after="0"/>
              <w:rPr>
                <w:sz w:val="20"/>
                <w:szCs w:val="20"/>
                <w:color w:val="auto"/>
              </w:rPr>
            </w:pPr>
            <w:r>
              <w:rPr>
                <w:rFonts w:ascii="Arial" w:cs="Arial" w:eastAsia="Arial" w:hAnsi="Arial"/>
                <w:sz w:val="22"/>
                <w:szCs w:val="22"/>
                <w:color w:val="auto"/>
              </w:rPr>
              <w:t>Payments.</w:t>
            </w:r>
          </w:p>
        </w:tc>
        <w:tc>
          <w:tcPr>
            <w:tcW w:w="14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56"/>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2.06.</w:t>
            </w:r>
          </w:p>
        </w:tc>
        <w:tc>
          <w:tcPr>
            <w:tcW w:w="8360" w:type="dxa"/>
            <w:vAlign w:val="bottom"/>
          </w:tcPr>
          <w:p>
            <w:pPr>
              <w:ind w:left="300"/>
              <w:spacing w:after="0"/>
              <w:rPr>
                <w:sz w:val="20"/>
                <w:szCs w:val="20"/>
                <w:color w:val="auto"/>
              </w:rPr>
            </w:pPr>
            <w:r>
              <w:rPr>
                <w:rFonts w:ascii="Arial" w:cs="Arial" w:eastAsia="Arial" w:hAnsi="Arial"/>
                <w:sz w:val="22"/>
                <w:szCs w:val="22"/>
                <w:color w:val="auto"/>
              </w:rPr>
              <w:t>Taxes; Increased Costs</w:t>
            </w:r>
          </w:p>
        </w:tc>
        <w:tc>
          <w:tcPr>
            <w:tcW w:w="14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2.07.</w:t>
            </w:r>
          </w:p>
        </w:tc>
        <w:tc>
          <w:tcPr>
            <w:tcW w:w="8360" w:type="dxa"/>
            <w:vAlign w:val="bottom"/>
          </w:tcPr>
          <w:p>
            <w:pPr>
              <w:ind w:left="300"/>
              <w:spacing w:after="0"/>
              <w:rPr>
                <w:sz w:val="20"/>
                <w:szCs w:val="20"/>
                <w:color w:val="auto"/>
              </w:rPr>
            </w:pPr>
            <w:r>
              <w:rPr>
                <w:rFonts w:ascii="Arial" w:cs="Arial" w:eastAsia="Arial" w:hAnsi="Arial"/>
                <w:sz w:val="22"/>
                <w:szCs w:val="22"/>
                <w:color w:val="auto"/>
              </w:rPr>
              <w:t>Lockboxes and Collections.</w:t>
            </w:r>
          </w:p>
        </w:tc>
        <w:tc>
          <w:tcPr>
            <w:tcW w:w="14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2.08.</w:t>
            </w:r>
          </w:p>
        </w:tc>
        <w:tc>
          <w:tcPr>
            <w:tcW w:w="8360" w:type="dxa"/>
            <w:vAlign w:val="bottom"/>
          </w:tcPr>
          <w:p>
            <w:pPr>
              <w:ind w:left="300"/>
              <w:spacing w:after="0"/>
              <w:rPr>
                <w:sz w:val="20"/>
                <w:szCs w:val="20"/>
                <w:color w:val="auto"/>
              </w:rPr>
            </w:pPr>
            <w:r>
              <w:rPr>
                <w:rFonts w:ascii="Arial" w:cs="Arial" w:eastAsia="Arial" w:hAnsi="Arial"/>
                <w:sz w:val="22"/>
                <w:szCs w:val="22"/>
                <w:color w:val="auto"/>
              </w:rPr>
              <w:t>Application of Proceeds of Collateral.</w:t>
            </w:r>
          </w:p>
        </w:tc>
        <w:tc>
          <w:tcPr>
            <w:tcW w:w="14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4"/>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2.09.</w:t>
            </w:r>
          </w:p>
        </w:tc>
        <w:tc>
          <w:tcPr>
            <w:tcW w:w="8360" w:type="dxa"/>
            <w:vAlign w:val="bottom"/>
          </w:tcPr>
          <w:p>
            <w:pPr>
              <w:ind w:left="300"/>
              <w:spacing w:after="0"/>
              <w:rPr>
                <w:sz w:val="20"/>
                <w:szCs w:val="20"/>
                <w:color w:val="auto"/>
              </w:rPr>
            </w:pPr>
            <w:r>
              <w:rPr>
                <w:rFonts w:ascii="Arial" w:cs="Arial" w:eastAsia="Arial" w:hAnsi="Arial"/>
                <w:sz w:val="22"/>
                <w:szCs w:val="22"/>
                <w:color w:val="auto"/>
              </w:rPr>
              <w:t>Commitment Fee</w:t>
            </w:r>
          </w:p>
        </w:tc>
        <w:tc>
          <w:tcPr>
            <w:tcW w:w="14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72"/>
        </w:trPr>
        <w:tc>
          <w:tcPr>
            <w:tcW w:w="9760" w:type="dxa"/>
            <w:vAlign w:val="bottom"/>
            <w:gridSpan w:val="2"/>
          </w:tcPr>
          <w:p>
            <w:pPr>
              <w:ind w:left="20"/>
              <w:spacing w:after="0"/>
              <w:rPr>
                <w:sz w:val="20"/>
                <w:szCs w:val="20"/>
                <w:color w:val="auto"/>
              </w:rPr>
            </w:pPr>
            <w:r>
              <w:rPr>
                <w:rFonts w:ascii="Arial" w:cs="Arial" w:eastAsia="Arial" w:hAnsi="Arial"/>
                <w:sz w:val="22"/>
                <w:szCs w:val="22"/>
                <w:color w:val="auto"/>
              </w:rPr>
              <w:t>ARTICLE 3 COLLATERAL</w:t>
            </w:r>
          </w:p>
        </w:tc>
        <w:tc>
          <w:tcPr>
            <w:tcW w:w="14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55"/>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3.01.</w:t>
            </w:r>
          </w:p>
        </w:tc>
        <w:tc>
          <w:tcPr>
            <w:tcW w:w="8360" w:type="dxa"/>
            <w:vAlign w:val="bottom"/>
          </w:tcPr>
          <w:p>
            <w:pPr>
              <w:ind w:left="300"/>
              <w:spacing w:after="0"/>
              <w:rPr>
                <w:sz w:val="20"/>
                <w:szCs w:val="20"/>
                <w:color w:val="auto"/>
              </w:rPr>
            </w:pPr>
            <w:r>
              <w:rPr>
                <w:rFonts w:ascii="Arial" w:cs="Arial" w:eastAsia="Arial" w:hAnsi="Arial"/>
                <w:sz w:val="22"/>
                <w:szCs w:val="22"/>
                <w:color w:val="auto"/>
              </w:rPr>
              <w:t>Description</w:t>
            </w:r>
          </w:p>
        </w:tc>
        <w:tc>
          <w:tcPr>
            <w:tcW w:w="14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3.02.</w:t>
            </w:r>
          </w:p>
        </w:tc>
        <w:tc>
          <w:tcPr>
            <w:tcW w:w="8360" w:type="dxa"/>
            <w:vAlign w:val="bottom"/>
          </w:tcPr>
          <w:p>
            <w:pPr>
              <w:ind w:left="300"/>
              <w:spacing w:after="0"/>
              <w:rPr>
                <w:sz w:val="20"/>
                <w:szCs w:val="20"/>
                <w:color w:val="auto"/>
              </w:rPr>
            </w:pPr>
            <w:r>
              <w:rPr>
                <w:rFonts w:ascii="Arial" w:cs="Arial" w:eastAsia="Arial" w:hAnsi="Arial"/>
                <w:sz w:val="22"/>
                <w:szCs w:val="22"/>
                <w:color w:val="auto"/>
              </w:rPr>
              <w:t>Extent of Security Interests</w:t>
            </w:r>
          </w:p>
        </w:tc>
        <w:tc>
          <w:tcPr>
            <w:tcW w:w="14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56"/>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3.03.</w:t>
            </w:r>
          </w:p>
        </w:tc>
        <w:tc>
          <w:tcPr>
            <w:tcW w:w="8360" w:type="dxa"/>
            <w:vAlign w:val="bottom"/>
          </w:tcPr>
          <w:p>
            <w:pPr>
              <w:ind w:left="300"/>
              <w:spacing w:after="0"/>
              <w:rPr>
                <w:sz w:val="20"/>
                <w:szCs w:val="20"/>
                <w:color w:val="auto"/>
              </w:rPr>
            </w:pPr>
            <w:r>
              <w:rPr>
                <w:rFonts w:ascii="Arial" w:cs="Arial" w:eastAsia="Arial" w:hAnsi="Arial"/>
                <w:sz w:val="22"/>
                <w:szCs w:val="22"/>
                <w:color w:val="auto"/>
              </w:rPr>
              <w:t>Lien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3.04.</w:t>
            </w:r>
          </w:p>
        </w:tc>
        <w:tc>
          <w:tcPr>
            <w:tcW w:w="8360" w:type="dxa"/>
            <w:vAlign w:val="bottom"/>
          </w:tcPr>
          <w:p>
            <w:pPr>
              <w:ind w:left="300"/>
              <w:spacing w:after="0"/>
              <w:rPr>
                <w:sz w:val="20"/>
                <w:szCs w:val="20"/>
                <w:color w:val="auto"/>
              </w:rPr>
            </w:pPr>
            <w:r>
              <w:rPr>
                <w:rFonts w:ascii="Arial" w:cs="Arial" w:eastAsia="Arial" w:hAnsi="Arial"/>
                <w:sz w:val="22"/>
                <w:szCs w:val="22"/>
                <w:color w:val="auto"/>
              </w:rPr>
              <w:t>Other Actions.</w:t>
            </w:r>
          </w:p>
        </w:tc>
        <w:tc>
          <w:tcPr>
            <w:tcW w:w="14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56"/>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3.05.</w:t>
            </w:r>
          </w:p>
        </w:tc>
        <w:tc>
          <w:tcPr>
            <w:tcW w:w="8360" w:type="dxa"/>
            <w:vAlign w:val="bottom"/>
          </w:tcPr>
          <w:p>
            <w:pPr>
              <w:ind w:left="300"/>
              <w:spacing w:after="0"/>
              <w:rPr>
                <w:sz w:val="20"/>
                <w:szCs w:val="20"/>
                <w:color w:val="auto"/>
              </w:rPr>
            </w:pPr>
            <w:r>
              <w:rPr>
                <w:rFonts w:ascii="Arial" w:cs="Arial" w:eastAsia="Arial" w:hAnsi="Arial"/>
                <w:sz w:val="22"/>
                <w:szCs w:val="22"/>
                <w:color w:val="auto"/>
              </w:rPr>
              <w:t>Searches</w:t>
            </w:r>
          </w:p>
        </w:tc>
        <w:tc>
          <w:tcPr>
            <w:tcW w:w="14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3.06.</w:t>
            </w:r>
          </w:p>
        </w:tc>
        <w:tc>
          <w:tcPr>
            <w:tcW w:w="8360" w:type="dxa"/>
            <w:vAlign w:val="bottom"/>
          </w:tcPr>
          <w:p>
            <w:pPr>
              <w:ind w:left="300"/>
              <w:spacing w:after="0"/>
              <w:rPr>
                <w:sz w:val="20"/>
                <w:szCs w:val="20"/>
                <w:color w:val="auto"/>
              </w:rPr>
            </w:pPr>
            <w:r>
              <w:rPr>
                <w:rFonts w:ascii="Arial" w:cs="Arial" w:eastAsia="Arial" w:hAnsi="Arial"/>
                <w:sz w:val="22"/>
                <w:szCs w:val="22"/>
                <w:color w:val="auto"/>
              </w:rPr>
              <w:t>Credit Balances; Additional Collateral.</w:t>
            </w:r>
          </w:p>
        </w:tc>
        <w:tc>
          <w:tcPr>
            <w:tcW w:w="14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4"/>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3.07.</w:t>
            </w:r>
          </w:p>
        </w:tc>
        <w:tc>
          <w:tcPr>
            <w:tcW w:w="8360" w:type="dxa"/>
            <w:vAlign w:val="bottom"/>
          </w:tcPr>
          <w:p>
            <w:pPr>
              <w:ind w:left="300"/>
              <w:spacing w:after="0"/>
              <w:rPr>
                <w:sz w:val="20"/>
                <w:szCs w:val="20"/>
                <w:color w:val="auto"/>
              </w:rPr>
            </w:pPr>
            <w:r>
              <w:rPr>
                <w:rFonts w:ascii="Arial" w:cs="Arial" w:eastAsia="Arial" w:hAnsi="Arial"/>
                <w:sz w:val="22"/>
                <w:szCs w:val="22"/>
                <w:color w:val="auto"/>
              </w:rPr>
              <w:t>Reference to Other Loan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73"/>
        </w:trPr>
        <w:tc>
          <w:tcPr>
            <w:tcW w:w="9760" w:type="dxa"/>
            <w:vAlign w:val="bottom"/>
            <w:gridSpan w:val="2"/>
          </w:tcPr>
          <w:p>
            <w:pPr>
              <w:ind w:left="20"/>
              <w:spacing w:after="0"/>
              <w:rPr>
                <w:sz w:val="20"/>
                <w:szCs w:val="20"/>
                <w:color w:val="auto"/>
              </w:rPr>
            </w:pPr>
            <w:r>
              <w:rPr>
                <w:rFonts w:ascii="Arial" w:cs="Arial" w:eastAsia="Arial" w:hAnsi="Arial"/>
                <w:sz w:val="22"/>
                <w:szCs w:val="22"/>
                <w:color w:val="auto"/>
              </w:rPr>
              <w:t>ARTICLE 4 CLOSING AND CONDITIONS PRECEDENT TO ADVANCES</w:t>
            </w:r>
          </w:p>
        </w:tc>
        <w:tc>
          <w:tcPr>
            <w:tcW w:w="14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55"/>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4.01.</w:t>
            </w:r>
          </w:p>
        </w:tc>
        <w:tc>
          <w:tcPr>
            <w:tcW w:w="8360" w:type="dxa"/>
            <w:vAlign w:val="bottom"/>
          </w:tcPr>
          <w:p>
            <w:pPr>
              <w:ind w:left="300"/>
              <w:spacing w:after="0"/>
              <w:rPr>
                <w:sz w:val="20"/>
                <w:szCs w:val="20"/>
                <w:color w:val="auto"/>
              </w:rPr>
            </w:pPr>
            <w:r>
              <w:rPr>
                <w:rFonts w:ascii="Arial" w:cs="Arial" w:eastAsia="Arial" w:hAnsi="Arial"/>
                <w:sz w:val="22"/>
                <w:szCs w:val="22"/>
                <w:color w:val="auto"/>
              </w:rPr>
              <w:t>Resolutions, Opinions and Other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57"/>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4.02.</w:t>
            </w:r>
          </w:p>
        </w:tc>
        <w:tc>
          <w:tcPr>
            <w:tcW w:w="8360" w:type="dxa"/>
            <w:vAlign w:val="bottom"/>
          </w:tcPr>
          <w:p>
            <w:pPr>
              <w:ind w:left="300"/>
              <w:spacing w:after="0"/>
              <w:rPr>
                <w:sz w:val="20"/>
                <w:szCs w:val="20"/>
                <w:color w:val="auto"/>
              </w:rPr>
            </w:pPr>
            <w:r>
              <w:rPr>
                <w:rFonts w:ascii="Arial" w:cs="Arial" w:eastAsia="Arial" w:hAnsi="Arial"/>
                <w:sz w:val="22"/>
                <w:szCs w:val="22"/>
                <w:color w:val="auto"/>
              </w:rPr>
              <w:t>Additional Preconditions to Revolving Loans</w:t>
            </w:r>
          </w:p>
        </w:tc>
        <w:tc>
          <w:tcPr>
            <w:tcW w:w="14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56"/>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4.03.</w:t>
            </w:r>
          </w:p>
        </w:tc>
        <w:tc>
          <w:tcPr>
            <w:tcW w:w="8360" w:type="dxa"/>
            <w:vAlign w:val="bottom"/>
          </w:tcPr>
          <w:p>
            <w:pPr>
              <w:ind w:left="300"/>
              <w:spacing w:after="0"/>
              <w:rPr>
                <w:sz w:val="20"/>
                <w:szCs w:val="20"/>
                <w:color w:val="auto"/>
              </w:rPr>
            </w:pPr>
            <w:r>
              <w:rPr>
                <w:rFonts w:ascii="Arial" w:cs="Arial" w:eastAsia="Arial" w:hAnsi="Arial"/>
                <w:sz w:val="22"/>
                <w:szCs w:val="22"/>
                <w:color w:val="auto"/>
              </w:rPr>
              <w:t>Closing</w:t>
            </w:r>
          </w:p>
        </w:tc>
        <w:tc>
          <w:tcPr>
            <w:tcW w:w="14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4"/>
        </w:trPr>
        <w:tc>
          <w:tcPr>
            <w:tcW w:w="1400" w:type="dxa"/>
            <w:vAlign w:val="bottom"/>
          </w:tcPr>
          <w:p>
            <w:pPr>
              <w:jc w:val="right"/>
              <w:ind w:right="192"/>
              <w:spacing w:after="0"/>
              <w:rPr>
                <w:sz w:val="20"/>
                <w:szCs w:val="20"/>
                <w:color w:val="auto"/>
              </w:rPr>
            </w:pPr>
            <w:r>
              <w:rPr>
                <w:rFonts w:ascii="Arial" w:cs="Arial" w:eastAsia="Arial" w:hAnsi="Arial"/>
                <w:sz w:val="22"/>
                <w:szCs w:val="22"/>
                <w:color w:val="auto"/>
              </w:rPr>
              <w:t>4.04.</w:t>
            </w:r>
          </w:p>
        </w:tc>
        <w:tc>
          <w:tcPr>
            <w:tcW w:w="8360" w:type="dxa"/>
            <w:vAlign w:val="bottom"/>
          </w:tcPr>
          <w:p>
            <w:pPr>
              <w:ind w:left="300"/>
              <w:spacing w:after="0"/>
              <w:rPr>
                <w:sz w:val="20"/>
                <w:szCs w:val="20"/>
                <w:color w:val="auto"/>
              </w:rPr>
            </w:pPr>
            <w:r>
              <w:rPr>
                <w:rFonts w:ascii="Arial" w:cs="Arial" w:eastAsia="Arial" w:hAnsi="Arial"/>
                <w:sz w:val="22"/>
                <w:szCs w:val="22"/>
                <w:color w:val="auto"/>
              </w:rPr>
              <w:t>Non-Waiver of Rights</w:t>
            </w:r>
          </w:p>
        </w:tc>
        <w:tc>
          <w:tcPr>
            <w:tcW w:w="14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72"/>
        </w:trPr>
        <w:tc>
          <w:tcPr>
            <w:tcW w:w="9760" w:type="dxa"/>
            <w:vAlign w:val="bottom"/>
            <w:gridSpan w:val="2"/>
          </w:tcPr>
          <w:p>
            <w:pPr>
              <w:ind w:left="20"/>
              <w:spacing w:after="0"/>
              <w:rPr>
                <w:sz w:val="20"/>
                <w:szCs w:val="20"/>
                <w:color w:val="auto"/>
              </w:rPr>
            </w:pPr>
            <w:r>
              <w:rPr>
                <w:rFonts w:ascii="Arial" w:cs="Arial" w:eastAsia="Arial" w:hAnsi="Arial"/>
                <w:sz w:val="22"/>
                <w:szCs w:val="22"/>
                <w:color w:val="auto"/>
              </w:rPr>
              <w:t>ARTICLE 5 REPRESENTATIONS AND WARRANTIES</w:t>
            </w:r>
          </w:p>
        </w:tc>
        <w:tc>
          <w:tcPr>
            <w:tcW w:w="14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689"/>
        </w:trPr>
        <w:tc>
          <w:tcPr>
            <w:tcW w:w="1400" w:type="dxa"/>
            <w:vAlign w:val="bottom"/>
          </w:tcPr>
          <w:p>
            <w:pPr>
              <w:spacing w:after="0"/>
              <w:rPr>
                <w:sz w:val="24"/>
                <w:szCs w:val="24"/>
                <w:color w:val="auto"/>
              </w:rPr>
            </w:pPr>
          </w:p>
        </w:tc>
        <w:tc>
          <w:tcPr>
            <w:tcW w:w="8360" w:type="dxa"/>
            <w:vAlign w:val="bottom"/>
          </w:tcPr>
          <w:p>
            <w:pPr>
              <w:ind w:left="4180"/>
              <w:spacing w:after="0"/>
              <w:rPr>
                <w:sz w:val="20"/>
                <w:szCs w:val="20"/>
                <w:color w:val="auto"/>
              </w:rPr>
            </w:pPr>
            <w:r>
              <w:rPr>
                <w:rFonts w:ascii="Arial" w:cs="Arial" w:eastAsia="Arial" w:hAnsi="Arial"/>
                <w:sz w:val="22"/>
                <w:szCs w:val="22"/>
                <w:color w:val="auto"/>
              </w:rPr>
              <w:t>1</w:t>
            </w:r>
          </w:p>
        </w:tc>
        <w:tc>
          <w:tcPr>
            <w:tcW w:w="1480" w:type="dxa"/>
            <w:vAlign w:val="bottom"/>
          </w:tcPr>
          <w:p>
            <w:pPr>
              <w:spacing w:after="0"/>
              <w:rPr>
                <w:sz w:val="24"/>
                <w:szCs w:val="24"/>
                <w:color w:val="auto"/>
              </w:rPr>
            </w:pPr>
          </w:p>
        </w:tc>
      </w:tr>
      <w:tr>
        <w:trPr>
          <w:trHeight w:val="308"/>
        </w:trPr>
        <w:tc>
          <w:tcPr>
            <w:tcW w:w="140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5.01.</w:t>
            </w:r>
          </w:p>
        </w:tc>
        <w:tc>
          <w:tcPr>
            <w:tcW w:w="7980" w:type="dxa"/>
            <w:vAlign w:val="bottom"/>
          </w:tcPr>
          <w:p>
            <w:pPr>
              <w:ind w:left="300"/>
              <w:spacing w:after="0"/>
              <w:rPr>
                <w:sz w:val="20"/>
                <w:szCs w:val="20"/>
                <w:color w:val="auto"/>
              </w:rPr>
            </w:pPr>
            <w:r>
              <w:rPr>
                <w:rFonts w:ascii="Arial" w:cs="Arial" w:eastAsia="Arial" w:hAnsi="Arial"/>
                <w:sz w:val="22"/>
                <w:szCs w:val="22"/>
                <w:color w:val="auto"/>
              </w:rPr>
              <w:t>Due Organization, Authorization, Power and Authority</w:t>
            </w:r>
          </w:p>
        </w:tc>
        <w:tc>
          <w:tcPr>
            <w:tcW w:w="18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5.02.</w:t>
            </w:r>
          </w:p>
        </w:tc>
        <w:tc>
          <w:tcPr>
            <w:tcW w:w="7980" w:type="dxa"/>
            <w:vAlign w:val="bottom"/>
          </w:tcPr>
          <w:p>
            <w:pPr>
              <w:ind w:left="300"/>
              <w:spacing w:after="0"/>
              <w:rPr>
                <w:sz w:val="20"/>
                <w:szCs w:val="20"/>
                <w:color w:val="auto"/>
              </w:rPr>
            </w:pPr>
            <w:r>
              <w:rPr>
                <w:rFonts w:ascii="Arial" w:cs="Arial" w:eastAsia="Arial" w:hAnsi="Arial"/>
                <w:sz w:val="22"/>
                <w:szCs w:val="22"/>
                <w:color w:val="auto"/>
              </w:rPr>
              <w:t>Collateral</w:t>
            </w:r>
          </w:p>
        </w:tc>
        <w:tc>
          <w:tcPr>
            <w:tcW w:w="18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5.03.</w:t>
            </w:r>
          </w:p>
        </w:tc>
        <w:tc>
          <w:tcPr>
            <w:tcW w:w="7980" w:type="dxa"/>
            <w:vAlign w:val="bottom"/>
          </w:tcPr>
          <w:p>
            <w:pPr>
              <w:ind w:left="300"/>
              <w:spacing w:after="0"/>
              <w:rPr>
                <w:sz w:val="20"/>
                <w:szCs w:val="20"/>
                <w:color w:val="auto"/>
              </w:rPr>
            </w:pPr>
            <w:r>
              <w:rPr>
                <w:rFonts w:ascii="Arial" w:cs="Arial" w:eastAsia="Arial" w:hAnsi="Arial"/>
                <w:sz w:val="22"/>
                <w:szCs w:val="22"/>
                <w:color w:val="auto"/>
              </w:rPr>
              <w:t>Litigation</w:t>
            </w: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5.04.</w:t>
            </w:r>
          </w:p>
        </w:tc>
        <w:tc>
          <w:tcPr>
            <w:tcW w:w="7980" w:type="dxa"/>
            <w:vAlign w:val="bottom"/>
          </w:tcPr>
          <w:p>
            <w:pPr>
              <w:ind w:left="300"/>
              <w:spacing w:after="0"/>
              <w:rPr>
                <w:sz w:val="20"/>
                <w:szCs w:val="20"/>
                <w:color w:val="auto"/>
              </w:rPr>
            </w:pPr>
            <w:r>
              <w:rPr>
                <w:rFonts w:ascii="Arial" w:cs="Arial" w:eastAsia="Arial" w:hAnsi="Arial"/>
                <w:sz w:val="22"/>
                <w:szCs w:val="22"/>
                <w:color w:val="auto"/>
              </w:rPr>
              <w:t>No Material Adverse Change</w:t>
            </w: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5.05.</w:t>
            </w:r>
          </w:p>
        </w:tc>
        <w:tc>
          <w:tcPr>
            <w:tcW w:w="7980" w:type="dxa"/>
            <w:vAlign w:val="bottom"/>
          </w:tcPr>
          <w:p>
            <w:pPr>
              <w:ind w:left="300"/>
              <w:spacing w:after="0"/>
              <w:rPr>
                <w:sz w:val="20"/>
                <w:szCs w:val="20"/>
                <w:color w:val="auto"/>
              </w:rPr>
            </w:pPr>
            <w:r>
              <w:rPr>
                <w:rFonts w:ascii="Arial" w:cs="Arial" w:eastAsia="Arial" w:hAnsi="Arial"/>
                <w:sz w:val="22"/>
                <w:szCs w:val="22"/>
                <w:color w:val="auto"/>
              </w:rPr>
              <w:t>Solvency</w:t>
            </w: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5.06.</w:t>
            </w:r>
          </w:p>
        </w:tc>
        <w:tc>
          <w:tcPr>
            <w:tcW w:w="7980" w:type="dxa"/>
            <w:vAlign w:val="bottom"/>
          </w:tcPr>
          <w:p>
            <w:pPr>
              <w:ind w:left="300"/>
              <w:spacing w:after="0"/>
              <w:rPr>
                <w:sz w:val="20"/>
                <w:szCs w:val="20"/>
                <w:color w:val="auto"/>
              </w:rPr>
            </w:pPr>
            <w:r>
              <w:rPr>
                <w:rFonts w:ascii="Arial" w:cs="Arial" w:eastAsia="Arial" w:hAnsi="Arial"/>
                <w:sz w:val="22"/>
                <w:szCs w:val="22"/>
                <w:color w:val="auto"/>
              </w:rPr>
              <w:t>Regulatory Compliance</w:t>
            </w: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5.07.</w:t>
            </w:r>
          </w:p>
        </w:tc>
        <w:tc>
          <w:tcPr>
            <w:tcW w:w="7980" w:type="dxa"/>
            <w:vAlign w:val="bottom"/>
          </w:tcPr>
          <w:p>
            <w:pPr>
              <w:ind w:left="300"/>
              <w:spacing w:after="0"/>
              <w:rPr>
                <w:sz w:val="20"/>
                <w:szCs w:val="20"/>
                <w:color w:val="auto"/>
              </w:rPr>
            </w:pPr>
            <w:r>
              <w:rPr>
                <w:rFonts w:ascii="Arial" w:cs="Arial" w:eastAsia="Arial" w:hAnsi="Arial"/>
                <w:sz w:val="22"/>
                <w:szCs w:val="22"/>
                <w:color w:val="auto"/>
              </w:rPr>
              <w:t>Investments</w:t>
            </w: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5.08.</w:t>
            </w:r>
          </w:p>
        </w:tc>
        <w:tc>
          <w:tcPr>
            <w:tcW w:w="7980" w:type="dxa"/>
            <w:vAlign w:val="bottom"/>
          </w:tcPr>
          <w:p>
            <w:pPr>
              <w:ind w:left="300"/>
              <w:spacing w:after="0"/>
              <w:rPr>
                <w:sz w:val="20"/>
                <w:szCs w:val="20"/>
                <w:color w:val="auto"/>
              </w:rPr>
            </w:pPr>
            <w:r>
              <w:rPr>
                <w:rFonts w:ascii="Arial" w:cs="Arial" w:eastAsia="Arial" w:hAnsi="Arial"/>
                <w:sz w:val="22"/>
                <w:szCs w:val="22"/>
                <w:color w:val="auto"/>
              </w:rPr>
              <w:t>Tax Returns and Payments; Pension Contributions</w:t>
            </w: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5.09.</w:t>
            </w:r>
          </w:p>
        </w:tc>
        <w:tc>
          <w:tcPr>
            <w:tcW w:w="7980" w:type="dxa"/>
            <w:vAlign w:val="bottom"/>
          </w:tcPr>
          <w:p>
            <w:pPr>
              <w:ind w:left="300"/>
              <w:spacing w:after="0"/>
              <w:rPr>
                <w:sz w:val="20"/>
                <w:szCs w:val="20"/>
                <w:color w:val="auto"/>
              </w:rPr>
            </w:pPr>
            <w:r>
              <w:rPr>
                <w:rFonts w:ascii="Arial" w:cs="Arial" w:eastAsia="Arial" w:hAnsi="Arial"/>
                <w:sz w:val="22"/>
                <w:szCs w:val="22"/>
                <w:color w:val="auto"/>
              </w:rPr>
              <w:t>Use of Proceeds</w:t>
            </w:r>
          </w:p>
        </w:tc>
        <w:tc>
          <w:tcPr>
            <w:tcW w:w="18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5.10.</w:t>
            </w:r>
          </w:p>
        </w:tc>
        <w:tc>
          <w:tcPr>
            <w:tcW w:w="7980" w:type="dxa"/>
            <w:vAlign w:val="bottom"/>
          </w:tcPr>
          <w:p>
            <w:pPr>
              <w:ind w:left="300"/>
              <w:spacing w:after="0"/>
              <w:rPr>
                <w:sz w:val="20"/>
                <w:szCs w:val="20"/>
                <w:color w:val="auto"/>
              </w:rPr>
            </w:pPr>
            <w:r>
              <w:rPr>
                <w:rFonts w:ascii="Arial" w:cs="Arial" w:eastAsia="Arial" w:hAnsi="Arial"/>
                <w:sz w:val="22"/>
                <w:szCs w:val="22"/>
                <w:color w:val="auto"/>
              </w:rPr>
              <w:t>Full Disclosure</w:t>
            </w:r>
          </w:p>
        </w:tc>
        <w:tc>
          <w:tcPr>
            <w:tcW w:w="18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5.11.</w:t>
            </w:r>
          </w:p>
        </w:tc>
        <w:tc>
          <w:tcPr>
            <w:tcW w:w="7980" w:type="dxa"/>
            <w:vAlign w:val="bottom"/>
          </w:tcPr>
          <w:p>
            <w:pPr>
              <w:ind w:left="300"/>
              <w:spacing w:after="0"/>
              <w:rPr>
                <w:sz w:val="20"/>
                <w:szCs w:val="20"/>
                <w:color w:val="auto"/>
              </w:rPr>
            </w:pPr>
            <w:r>
              <w:rPr>
                <w:rFonts w:ascii="Arial" w:cs="Arial" w:eastAsia="Arial" w:hAnsi="Arial"/>
                <w:sz w:val="22"/>
                <w:szCs w:val="22"/>
                <w:color w:val="auto"/>
              </w:rPr>
              <w:t>Healthcare Matters</w:t>
            </w:r>
          </w:p>
        </w:tc>
        <w:tc>
          <w:tcPr>
            <w:tcW w:w="18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5.12.</w:t>
            </w:r>
          </w:p>
        </w:tc>
        <w:tc>
          <w:tcPr>
            <w:tcW w:w="7980" w:type="dxa"/>
            <w:vAlign w:val="bottom"/>
          </w:tcPr>
          <w:p>
            <w:pPr>
              <w:ind w:left="300"/>
              <w:spacing w:after="0"/>
              <w:rPr>
                <w:sz w:val="20"/>
                <w:szCs w:val="20"/>
                <w:color w:val="auto"/>
              </w:rPr>
            </w:pPr>
            <w:r>
              <w:rPr>
                <w:rFonts w:ascii="Arial" w:cs="Arial" w:eastAsia="Arial" w:hAnsi="Arial"/>
                <w:sz w:val="22"/>
                <w:szCs w:val="22"/>
                <w:color w:val="auto"/>
              </w:rPr>
              <w:t>Environmental Matters</w:t>
            </w:r>
          </w:p>
        </w:tc>
        <w:tc>
          <w:tcPr>
            <w:tcW w:w="18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5.13.</w:t>
            </w:r>
          </w:p>
        </w:tc>
        <w:tc>
          <w:tcPr>
            <w:tcW w:w="7980" w:type="dxa"/>
            <w:vAlign w:val="bottom"/>
          </w:tcPr>
          <w:p>
            <w:pPr>
              <w:ind w:left="300"/>
              <w:spacing w:after="0"/>
              <w:rPr>
                <w:sz w:val="20"/>
                <w:szCs w:val="20"/>
                <w:color w:val="auto"/>
              </w:rPr>
            </w:pPr>
            <w:r>
              <w:rPr>
                <w:rFonts w:ascii="Arial" w:cs="Arial" w:eastAsia="Arial" w:hAnsi="Arial"/>
                <w:sz w:val="22"/>
                <w:szCs w:val="22"/>
                <w:color w:val="auto"/>
              </w:rPr>
              <w:t>[Intentionally Omitted]</w:t>
            </w:r>
          </w:p>
        </w:tc>
        <w:tc>
          <w:tcPr>
            <w:tcW w:w="18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5.14.</w:t>
            </w:r>
          </w:p>
        </w:tc>
        <w:tc>
          <w:tcPr>
            <w:tcW w:w="7980" w:type="dxa"/>
            <w:vAlign w:val="bottom"/>
          </w:tcPr>
          <w:p>
            <w:pPr>
              <w:ind w:left="300"/>
              <w:spacing w:after="0"/>
              <w:rPr>
                <w:sz w:val="20"/>
                <w:szCs w:val="20"/>
                <w:color w:val="auto"/>
              </w:rPr>
            </w:pPr>
            <w:r>
              <w:rPr>
                <w:rFonts w:ascii="Arial" w:cs="Arial" w:eastAsia="Arial" w:hAnsi="Arial"/>
                <w:sz w:val="22"/>
                <w:szCs w:val="22"/>
                <w:color w:val="auto"/>
              </w:rPr>
              <w:t>Lockboxes</w:t>
            </w:r>
          </w:p>
        </w:tc>
        <w:tc>
          <w:tcPr>
            <w:tcW w:w="18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5.15.</w:t>
            </w:r>
          </w:p>
        </w:tc>
        <w:tc>
          <w:tcPr>
            <w:tcW w:w="7980" w:type="dxa"/>
            <w:vAlign w:val="bottom"/>
          </w:tcPr>
          <w:p>
            <w:pPr>
              <w:ind w:left="300"/>
              <w:spacing w:after="0"/>
              <w:rPr>
                <w:sz w:val="20"/>
                <w:szCs w:val="20"/>
                <w:color w:val="auto"/>
              </w:rPr>
            </w:pPr>
            <w:r>
              <w:rPr>
                <w:rFonts w:ascii="Arial" w:cs="Arial" w:eastAsia="Arial" w:hAnsi="Arial"/>
                <w:sz w:val="22"/>
                <w:szCs w:val="22"/>
                <w:color w:val="auto"/>
              </w:rPr>
              <w:t>Borrowing Base Certificates</w:t>
            </w:r>
          </w:p>
        </w:tc>
        <w:tc>
          <w:tcPr>
            <w:tcW w:w="18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5.16.</w:t>
            </w:r>
          </w:p>
        </w:tc>
        <w:tc>
          <w:tcPr>
            <w:tcW w:w="7980" w:type="dxa"/>
            <w:vAlign w:val="bottom"/>
          </w:tcPr>
          <w:p>
            <w:pPr>
              <w:ind w:left="300"/>
              <w:spacing w:after="0"/>
              <w:rPr>
                <w:sz w:val="20"/>
                <w:szCs w:val="20"/>
                <w:color w:val="auto"/>
              </w:rPr>
            </w:pPr>
            <w:r>
              <w:rPr>
                <w:rFonts w:ascii="Arial" w:cs="Arial" w:eastAsia="Arial" w:hAnsi="Arial"/>
                <w:sz w:val="22"/>
                <w:szCs w:val="22"/>
                <w:color w:val="auto"/>
              </w:rPr>
              <w:t>Accounts</w:t>
            </w:r>
          </w:p>
        </w:tc>
        <w:tc>
          <w:tcPr>
            <w:tcW w:w="18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4"/>
        </w:trPr>
        <w:tc>
          <w:tcPr>
            <w:tcW w:w="1400" w:type="dxa"/>
            <w:vAlign w:val="bottom"/>
          </w:tcPr>
          <w:p>
            <w:pPr>
              <w:ind w:left="660"/>
              <w:spacing w:after="0"/>
              <w:rPr>
                <w:sz w:val="20"/>
                <w:szCs w:val="20"/>
                <w:color w:val="auto"/>
              </w:rPr>
            </w:pPr>
            <w:r>
              <w:rPr>
                <w:rFonts w:ascii="Arial" w:cs="Arial" w:eastAsia="Arial" w:hAnsi="Arial"/>
                <w:sz w:val="22"/>
                <w:szCs w:val="22"/>
                <w:color w:val="auto"/>
              </w:rPr>
              <w:t>5.17.</w:t>
            </w:r>
          </w:p>
        </w:tc>
        <w:tc>
          <w:tcPr>
            <w:tcW w:w="7980" w:type="dxa"/>
            <w:vAlign w:val="bottom"/>
          </w:tcPr>
          <w:p>
            <w:pPr>
              <w:ind w:left="300"/>
              <w:spacing w:after="0"/>
              <w:rPr>
                <w:sz w:val="20"/>
                <w:szCs w:val="20"/>
                <w:color w:val="auto"/>
              </w:rPr>
            </w:pPr>
            <w:r>
              <w:rPr>
                <w:rFonts w:ascii="Arial" w:cs="Arial" w:eastAsia="Arial" w:hAnsi="Arial"/>
                <w:sz w:val="22"/>
                <w:szCs w:val="22"/>
                <w:color w:val="auto"/>
              </w:rPr>
              <w:t>Representations and Warranties for each Revolving Loan</w:t>
            </w:r>
          </w:p>
        </w:tc>
        <w:tc>
          <w:tcPr>
            <w:tcW w:w="18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73"/>
        </w:trPr>
        <w:tc>
          <w:tcPr>
            <w:tcW w:w="9380" w:type="dxa"/>
            <w:vAlign w:val="bottom"/>
            <w:gridSpan w:val="2"/>
          </w:tcPr>
          <w:p>
            <w:pPr>
              <w:ind w:left="20"/>
              <w:spacing w:after="0"/>
              <w:rPr>
                <w:sz w:val="20"/>
                <w:szCs w:val="20"/>
                <w:color w:val="auto"/>
              </w:rPr>
            </w:pPr>
            <w:r>
              <w:rPr>
                <w:rFonts w:ascii="Arial" w:cs="Arial" w:eastAsia="Arial" w:hAnsi="Arial"/>
                <w:sz w:val="22"/>
                <w:szCs w:val="22"/>
                <w:color w:val="auto"/>
              </w:rPr>
              <w:t>ARTICLE 6 AFFIRMATIVE COVENANTS</w:t>
            </w:r>
          </w:p>
        </w:tc>
        <w:tc>
          <w:tcPr>
            <w:tcW w:w="18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55"/>
        </w:trPr>
        <w:tc>
          <w:tcPr>
            <w:tcW w:w="1400" w:type="dxa"/>
            <w:vAlign w:val="bottom"/>
          </w:tcPr>
          <w:p>
            <w:pPr>
              <w:ind w:left="660"/>
              <w:spacing w:after="0"/>
              <w:rPr>
                <w:sz w:val="20"/>
                <w:szCs w:val="20"/>
                <w:color w:val="auto"/>
              </w:rPr>
            </w:pPr>
            <w:r>
              <w:rPr>
                <w:rFonts w:ascii="Arial" w:cs="Arial" w:eastAsia="Arial" w:hAnsi="Arial"/>
                <w:sz w:val="22"/>
                <w:szCs w:val="22"/>
                <w:color w:val="auto"/>
              </w:rPr>
              <w:t>6.01.</w:t>
            </w:r>
          </w:p>
        </w:tc>
        <w:tc>
          <w:tcPr>
            <w:tcW w:w="7980" w:type="dxa"/>
            <w:vAlign w:val="bottom"/>
          </w:tcPr>
          <w:p>
            <w:pPr>
              <w:ind w:left="300"/>
              <w:spacing w:after="0"/>
              <w:rPr>
                <w:sz w:val="20"/>
                <w:szCs w:val="20"/>
                <w:color w:val="auto"/>
              </w:rPr>
            </w:pPr>
            <w:r>
              <w:rPr>
                <w:rFonts w:ascii="Arial" w:cs="Arial" w:eastAsia="Arial" w:hAnsi="Arial"/>
                <w:sz w:val="22"/>
                <w:szCs w:val="22"/>
                <w:color w:val="auto"/>
              </w:rPr>
              <w:t>Compliance with Laws.</w:t>
            </w:r>
          </w:p>
        </w:tc>
        <w:tc>
          <w:tcPr>
            <w:tcW w:w="18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6.02.</w:t>
            </w:r>
          </w:p>
        </w:tc>
        <w:tc>
          <w:tcPr>
            <w:tcW w:w="7980" w:type="dxa"/>
            <w:vAlign w:val="bottom"/>
          </w:tcPr>
          <w:p>
            <w:pPr>
              <w:ind w:left="300"/>
              <w:spacing w:after="0"/>
              <w:rPr>
                <w:sz w:val="20"/>
                <w:szCs w:val="20"/>
                <w:color w:val="auto"/>
              </w:rPr>
            </w:pPr>
            <w:r>
              <w:rPr>
                <w:rFonts w:ascii="Arial" w:cs="Arial" w:eastAsia="Arial" w:hAnsi="Arial"/>
                <w:sz w:val="22"/>
                <w:szCs w:val="22"/>
                <w:color w:val="auto"/>
              </w:rPr>
              <w:t>Financial Statements; Reports and Certificates; Notices</w:t>
            </w:r>
          </w:p>
        </w:tc>
        <w:tc>
          <w:tcPr>
            <w:tcW w:w="18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6.03.</w:t>
            </w:r>
          </w:p>
        </w:tc>
        <w:tc>
          <w:tcPr>
            <w:tcW w:w="7980" w:type="dxa"/>
            <w:vAlign w:val="bottom"/>
          </w:tcPr>
          <w:p>
            <w:pPr>
              <w:ind w:left="300"/>
              <w:spacing w:after="0"/>
              <w:rPr>
                <w:sz w:val="20"/>
                <w:szCs w:val="20"/>
                <w:color w:val="auto"/>
              </w:rPr>
            </w:pPr>
            <w:r>
              <w:rPr>
                <w:rFonts w:ascii="Arial" w:cs="Arial" w:eastAsia="Arial" w:hAnsi="Arial"/>
                <w:sz w:val="22"/>
                <w:szCs w:val="22"/>
                <w:color w:val="auto"/>
              </w:rPr>
              <w:t>Inventory; Returns</w:t>
            </w:r>
          </w:p>
        </w:tc>
        <w:tc>
          <w:tcPr>
            <w:tcW w:w="18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6.04.</w:t>
            </w:r>
          </w:p>
        </w:tc>
        <w:tc>
          <w:tcPr>
            <w:tcW w:w="7980" w:type="dxa"/>
            <w:vAlign w:val="bottom"/>
          </w:tcPr>
          <w:p>
            <w:pPr>
              <w:ind w:left="300"/>
              <w:spacing w:after="0"/>
              <w:rPr>
                <w:sz w:val="20"/>
                <w:szCs w:val="20"/>
                <w:color w:val="auto"/>
              </w:rPr>
            </w:pPr>
            <w:r>
              <w:rPr>
                <w:rFonts w:ascii="Arial" w:cs="Arial" w:eastAsia="Arial" w:hAnsi="Arial"/>
                <w:sz w:val="22"/>
                <w:szCs w:val="22"/>
                <w:color w:val="auto"/>
              </w:rPr>
              <w:t>Taxes; Pension</w:t>
            </w:r>
          </w:p>
        </w:tc>
        <w:tc>
          <w:tcPr>
            <w:tcW w:w="18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6.05.</w:t>
            </w:r>
          </w:p>
        </w:tc>
        <w:tc>
          <w:tcPr>
            <w:tcW w:w="7980" w:type="dxa"/>
            <w:vAlign w:val="bottom"/>
          </w:tcPr>
          <w:p>
            <w:pPr>
              <w:ind w:left="300"/>
              <w:spacing w:after="0"/>
              <w:rPr>
                <w:sz w:val="20"/>
                <w:szCs w:val="20"/>
                <w:color w:val="auto"/>
              </w:rPr>
            </w:pPr>
            <w:r>
              <w:rPr>
                <w:rFonts w:ascii="Arial" w:cs="Arial" w:eastAsia="Arial" w:hAnsi="Arial"/>
                <w:sz w:val="22"/>
                <w:szCs w:val="22"/>
                <w:color w:val="auto"/>
              </w:rPr>
              <w:t>Insurance</w:t>
            </w:r>
          </w:p>
        </w:tc>
        <w:tc>
          <w:tcPr>
            <w:tcW w:w="18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6.06.</w:t>
            </w:r>
          </w:p>
        </w:tc>
        <w:tc>
          <w:tcPr>
            <w:tcW w:w="7980" w:type="dxa"/>
            <w:vAlign w:val="bottom"/>
          </w:tcPr>
          <w:p>
            <w:pPr>
              <w:ind w:left="300"/>
              <w:spacing w:after="0"/>
              <w:rPr>
                <w:sz w:val="20"/>
                <w:szCs w:val="20"/>
                <w:color w:val="auto"/>
              </w:rPr>
            </w:pPr>
            <w:r>
              <w:rPr>
                <w:rFonts w:ascii="Arial" w:cs="Arial" w:eastAsia="Arial" w:hAnsi="Arial"/>
                <w:sz w:val="22"/>
                <w:szCs w:val="22"/>
                <w:color w:val="auto"/>
              </w:rPr>
              <w:t>Control Agreements; Bank Accounts</w:t>
            </w:r>
          </w:p>
        </w:tc>
        <w:tc>
          <w:tcPr>
            <w:tcW w:w="1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6.07.</w:t>
            </w:r>
          </w:p>
        </w:tc>
        <w:tc>
          <w:tcPr>
            <w:tcW w:w="7980" w:type="dxa"/>
            <w:vAlign w:val="bottom"/>
          </w:tcPr>
          <w:p>
            <w:pPr>
              <w:ind w:left="300"/>
              <w:spacing w:after="0"/>
              <w:rPr>
                <w:sz w:val="20"/>
                <w:szCs w:val="20"/>
                <w:color w:val="auto"/>
              </w:rPr>
            </w:pPr>
            <w:r>
              <w:rPr>
                <w:rFonts w:ascii="Arial" w:cs="Arial" w:eastAsia="Arial" w:hAnsi="Arial"/>
                <w:sz w:val="22"/>
                <w:szCs w:val="22"/>
                <w:color w:val="auto"/>
              </w:rPr>
              <w:t>Protection of Intellectual Property Rights</w:t>
            </w:r>
          </w:p>
        </w:tc>
        <w:tc>
          <w:tcPr>
            <w:tcW w:w="1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6.08.</w:t>
            </w:r>
          </w:p>
        </w:tc>
        <w:tc>
          <w:tcPr>
            <w:tcW w:w="7980" w:type="dxa"/>
            <w:vAlign w:val="bottom"/>
          </w:tcPr>
          <w:p>
            <w:pPr>
              <w:ind w:left="300"/>
              <w:spacing w:after="0"/>
              <w:rPr>
                <w:sz w:val="20"/>
                <w:szCs w:val="20"/>
                <w:color w:val="auto"/>
              </w:rPr>
            </w:pPr>
            <w:r>
              <w:rPr>
                <w:rFonts w:ascii="Arial" w:cs="Arial" w:eastAsia="Arial" w:hAnsi="Arial"/>
                <w:sz w:val="22"/>
                <w:szCs w:val="22"/>
                <w:color w:val="auto"/>
              </w:rPr>
              <w:t>Litigation Cooperation</w:t>
            </w:r>
          </w:p>
        </w:tc>
        <w:tc>
          <w:tcPr>
            <w:tcW w:w="1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6.09.</w:t>
            </w:r>
          </w:p>
        </w:tc>
        <w:tc>
          <w:tcPr>
            <w:tcW w:w="7980" w:type="dxa"/>
            <w:vAlign w:val="bottom"/>
          </w:tcPr>
          <w:p>
            <w:pPr>
              <w:ind w:left="300"/>
              <w:spacing w:after="0"/>
              <w:rPr>
                <w:sz w:val="20"/>
                <w:szCs w:val="20"/>
                <w:color w:val="auto"/>
              </w:rPr>
            </w:pPr>
            <w:r>
              <w:rPr>
                <w:rFonts w:ascii="Arial" w:cs="Arial" w:eastAsia="Arial" w:hAnsi="Arial"/>
                <w:sz w:val="22"/>
                <w:szCs w:val="22"/>
                <w:color w:val="auto"/>
              </w:rPr>
              <w:t>Landlord Waivers; Bailee Waivers</w:t>
            </w:r>
          </w:p>
        </w:tc>
        <w:tc>
          <w:tcPr>
            <w:tcW w:w="1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6.10.</w:t>
            </w:r>
          </w:p>
        </w:tc>
        <w:tc>
          <w:tcPr>
            <w:tcW w:w="7980" w:type="dxa"/>
            <w:vAlign w:val="bottom"/>
          </w:tcPr>
          <w:p>
            <w:pPr>
              <w:ind w:left="300"/>
              <w:spacing w:after="0"/>
              <w:rPr>
                <w:sz w:val="20"/>
                <w:szCs w:val="20"/>
                <w:color w:val="auto"/>
              </w:rPr>
            </w:pPr>
            <w:r>
              <w:rPr>
                <w:rFonts w:ascii="Arial" w:cs="Arial" w:eastAsia="Arial" w:hAnsi="Arial"/>
                <w:sz w:val="22"/>
                <w:szCs w:val="22"/>
                <w:color w:val="auto"/>
              </w:rPr>
              <w:t>Creation/Acquisition of Subsidiaries</w:t>
            </w:r>
          </w:p>
        </w:tc>
        <w:tc>
          <w:tcPr>
            <w:tcW w:w="1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6.11.</w:t>
            </w:r>
          </w:p>
        </w:tc>
        <w:tc>
          <w:tcPr>
            <w:tcW w:w="7980" w:type="dxa"/>
            <w:vAlign w:val="bottom"/>
          </w:tcPr>
          <w:p>
            <w:pPr>
              <w:ind w:left="300"/>
              <w:spacing w:after="0"/>
              <w:rPr>
                <w:sz w:val="20"/>
                <w:szCs w:val="20"/>
                <w:color w:val="auto"/>
              </w:rPr>
            </w:pPr>
            <w:r>
              <w:rPr>
                <w:rFonts w:ascii="Arial" w:cs="Arial" w:eastAsia="Arial" w:hAnsi="Arial"/>
                <w:sz w:val="22"/>
                <w:szCs w:val="22"/>
                <w:color w:val="auto"/>
              </w:rPr>
              <w:t>Further Assurances</w:t>
            </w:r>
          </w:p>
        </w:tc>
        <w:tc>
          <w:tcPr>
            <w:tcW w:w="1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6.12.</w:t>
            </w:r>
          </w:p>
        </w:tc>
        <w:tc>
          <w:tcPr>
            <w:tcW w:w="7980" w:type="dxa"/>
            <w:vAlign w:val="bottom"/>
          </w:tcPr>
          <w:p>
            <w:pPr>
              <w:ind w:left="300"/>
              <w:spacing w:after="0"/>
              <w:rPr>
                <w:sz w:val="20"/>
                <w:szCs w:val="20"/>
                <w:color w:val="auto"/>
              </w:rPr>
            </w:pPr>
            <w:r>
              <w:rPr>
                <w:rFonts w:ascii="Arial" w:cs="Arial" w:eastAsia="Arial" w:hAnsi="Arial"/>
                <w:sz w:val="22"/>
                <w:szCs w:val="22"/>
                <w:color w:val="auto"/>
              </w:rPr>
              <w:t>Inspection</w:t>
            </w: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6.13.</w:t>
            </w:r>
          </w:p>
        </w:tc>
        <w:tc>
          <w:tcPr>
            <w:tcW w:w="7980" w:type="dxa"/>
            <w:vAlign w:val="bottom"/>
          </w:tcPr>
          <w:p>
            <w:pPr>
              <w:ind w:left="300"/>
              <w:spacing w:after="0"/>
              <w:rPr>
                <w:sz w:val="20"/>
                <w:szCs w:val="20"/>
                <w:color w:val="auto"/>
              </w:rPr>
            </w:pPr>
            <w:r>
              <w:rPr>
                <w:rFonts w:ascii="Arial" w:cs="Arial" w:eastAsia="Arial" w:hAnsi="Arial"/>
                <w:sz w:val="22"/>
                <w:szCs w:val="22"/>
                <w:color w:val="auto"/>
              </w:rPr>
              <w:t>[Reserved]</w:t>
            </w: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6.14.</w:t>
            </w:r>
          </w:p>
        </w:tc>
        <w:tc>
          <w:tcPr>
            <w:tcW w:w="7980" w:type="dxa"/>
            <w:vAlign w:val="bottom"/>
          </w:tcPr>
          <w:p>
            <w:pPr>
              <w:ind w:left="300"/>
              <w:spacing w:after="0"/>
              <w:rPr>
                <w:sz w:val="20"/>
                <w:szCs w:val="20"/>
                <w:color w:val="auto"/>
              </w:rPr>
            </w:pPr>
            <w:r>
              <w:rPr>
                <w:rFonts w:ascii="Arial" w:cs="Arial" w:eastAsia="Arial" w:hAnsi="Arial"/>
                <w:sz w:val="22"/>
                <w:szCs w:val="22"/>
                <w:color w:val="auto"/>
              </w:rPr>
              <w:t>Notice of Action</w:t>
            </w: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6.15.</w:t>
            </w:r>
          </w:p>
        </w:tc>
        <w:tc>
          <w:tcPr>
            <w:tcW w:w="7980" w:type="dxa"/>
            <w:vAlign w:val="bottom"/>
          </w:tcPr>
          <w:p>
            <w:pPr>
              <w:ind w:left="300"/>
              <w:spacing w:after="0"/>
              <w:rPr>
                <w:sz w:val="20"/>
                <w:szCs w:val="20"/>
                <w:color w:val="auto"/>
              </w:rPr>
            </w:pPr>
            <w:r>
              <w:rPr>
                <w:rFonts w:ascii="Arial" w:cs="Arial" w:eastAsia="Arial" w:hAnsi="Arial"/>
                <w:sz w:val="22"/>
                <w:szCs w:val="22"/>
                <w:color w:val="auto"/>
              </w:rPr>
              <w:t>[Reserved]</w:t>
            </w: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6.16.</w:t>
            </w:r>
          </w:p>
        </w:tc>
        <w:tc>
          <w:tcPr>
            <w:tcW w:w="7980" w:type="dxa"/>
            <w:vAlign w:val="bottom"/>
          </w:tcPr>
          <w:p>
            <w:pPr>
              <w:ind w:left="300"/>
              <w:spacing w:after="0"/>
              <w:rPr>
                <w:sz w:val="20"/>
                <w:szCs w:val="20"/>
                <w:color w:val="auto"/>
              </w:rPr>
            </w:pPr>
            <w:r>
              <w:rPr>
                <w:rFonts w:ascii="Arial" w:cs="Arial" w:eastAsia="Arial" w:hAnsi="Arial"/>
                <w:sz w:val="22"/>
                <w:szCs w:val="22"/>
                <w:color w:val="auto"/>
              </w:rPr>
              <w:t>Accounts Receivables Monitoring System</w:t>
            </w: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50"/>
        </w:trPr>
        <w:tc>
          <w:tcPr>
            <w:tcW w:w="1400" w:type="dxa"/>
            <w:vAlign w:val="bottom"/>
          </w:tcPr>
          <w:p>
            <w:pPr>
              <w:ind w:left="660"/>
              <w:spacing w:after="0" w:line="250" w:lineRule="exact"/>
              <w:rPr>
                <w:sz w:val="20"/>
                <w:szCs w:val="20"/>
                <w:color w:val="auto"/>
              </w:rPr>
            </w:pPr>
            <w:r>
              <w:rPr>
                <w:rFonts w:ascii="Arial" w:cs="Arial" w:eastAsia="Arial" w:hAnsi="Arial"/>
                <w:sz w:val="22"/>
                <w:szCs w:val="22"/>
                <w:color w:val="auto"/>
              </w:rPr>
              <w:t>6.17.</w:t>
            </w:r>
          </w:p>
        </w:tc>
        <w:tc>
          <w:tcPr>
            <w:tcW w:w="7980" w:type="dxa"/>
            <w:vAlign w:val="bottom"/>
          </w:tcPr>
          <w:p>
            <w:pPr>
              <w:ind w:left="300"/>
              <w:spacing w:after="0" w:line="250" w:lineRule="exact"/>
              <w:rPr>
                <w:sz w:val="20"/>
                <w:szCs w:val="20"/>
                <w:color w:val="auto"/>
              </w:rPr>
            </w:pPr>
            <w:r>
              <w:rPr>
                <w:rFonts w:ascii="Arial" w:cs="Arial" w:eastAsia="Arial" w:hAnsi="Arial"/>
                <w:sz w:val="22"/>
                <w:szCs w:val="22"/>
                <w:color w:val="auto"/>
              </w:rPr>
              <w:t>Collateral Reporting</w:t>
            </w:r>
          </w:p>
        </w:tc>
        <w:tc>
          <w:tcPr>
            <w:tcW w:w="1860" w:type="dxa"/>
            <w:vAlign w:val="bottom"/>
          </w:tcPr>
          <w:p>
            <w:pPr>
              <w:jc w:val="right"/>
              <w:spacing w:after="0" w:line="250" w:lineRule="exact"/>
              <w:rPr>
                <w:sz w:val="20"/>
                <w:szCs w:val="20"/>
                <w:color w:val="auto"/>
              </w:rPr>
            </w:pPr>
            <w:r>
              <w:rPr>
                <w:rFonts w:ascii="Arial" w:cs="Arial" w:eastAsia="Arial" w:hAnsi="Arial"/>
                <w:sz w:val="22"/>
                <w:szCs w:val="22"/>
                <w:color w:val="auto"/>
              </w:rPr>
              <w:t>29</w:t>
            </w:r>
          </w:p>
        </w:tc>
      </w:tr>
      <w:tr>
        <w:trPr>
          <w:trHeight w:val="280"/>
        </w:trPr>
        <w:tc>
          <w:tcPr>
            <w:tcW w:w="1400" w:type="dxa"/>
            <w:vAlign w:val="bottom"/>
          </w:tcPr>
          <w:p>
            <w:pPr>
              <w:ind w:left="660"/>
              <w:spacing w:after="0"/>
              <w:rPr>
                <w:sz w:val="20"/>
                <w:szCs w:val="20"/>
                <w:color w:val="auto"/>
              </w:rPr>
            </w:pPr>
            <w:r>
              <w:rPr>
                <w:rFonts w:ascii="Arial" w:cs="Arial" w:eastAsia="Arial" w:hAnsi="Arial"/>
                <w:sz w:val="22"/>
                <w:szCs w:val="22"/>
                <w:color w:val="auto"/>
              </w:rPr>
              <w:t>6.18.</w:t>
            </w:r>
          </w:p>
        </w:tc>
        <w:tc>
          <w:tcPr>
            <w:tcW w:w="7980" w:type="dxa"/>
            <w:vAlign w:val="bottom"/>
          </w:tcPr>
          <w:p>
            <w:pPr>
              <w:ind w:left="300"/>
              <w:spacing w:after="0"/>
              <w:rPr>
                <w:sz w:val="20"/>
                <w:szCs w:val="20"/>
                <w:color w:val="auto"/>
              </w:rPr>
            </w:pPr>
            <w:r>
              <w:rPr>
                <w:rFonts w:ascii="Arial" w:cs="Arial" w:eastAsia="Arial" w:hAnsi="Arial"/>
                <w:sz w:val="22"/>
                <w:szCs w:val="22"/>
                <w:color w:val="auto"/>
              </w:rPr>
              <w:t>Post-Closing Obligations</w:t>
            </w:r>
            <w:r>
              <w:rPr>
                <w:rFonts w:ascii="Arial" w:cs="Arial" w:eastAsia="Arial" w:hAnsi="Arial"/>
                <w:sz w:val="22"/>
                <w:szCs w:val="22"/>
                <w:b w:val="1"/>
                <w:bCs w:val="1"/>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73"/>
        </w:trPr>
        <w:tc>
          <w:tcPr>
            <w:tcW w:w="9380" w:type="dxa"/>
            <w:vAlign w:val="bottom"/>
            <w:gridSpan w:val="2"/>
          </w:tcPr>
          <w:p>
            <w:pPr>
              <w:ind w:left="20"/>
              <w:spacing w:after="0"/>
              <w:rPr>
                <w:sz w:val="20"/>
                <w:szCs w:val="20"/>
                <w:color w:val="auto"/>
              </w:rPr>
            </w:pPr>
            <w:r>
              <w:rPr>
                <w:rFonts w:ascii="Arial" w:cs="Arial" w:eastAsia="Arial" w:hAnsi="Arial"/>
                <w:sz w:val="22"/>
                <w:szCs w:val="22"/>
                <w:color w:val="auto"/>
              </w:rPr>
              <w:t>ARTICLE 7 NEGATIVE COVENANTS</w:t>
            </w:r>
          </w:p>
        </w:tc>
        <w:tc>
          <w:tcPr>
            <w:tcW w:w="18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55"/>
        </w:trPr>
        <w:tc>
          <w:tcPr>
            <w:tcW w:w="1400" w:type="dxa"/>
            <w:vAlign w:val="bottom"/>
          </w:tcPr>
          <w:p>
            <w:pPr>
              <w:ind w:left="660"/>
              <w:spacing w:after="0"/>
              <w:rPr>
                <w:sz w:val="20"/>
                <w:szCs w:val="20"/>
                <w:color w:val="auto"/>
              </w:rPr>
            </w:pPr>
            <w:r>
              <w:rPr>
                <w:rFonts w:ascii="Arial" w:cs="Arial" w:eastAsia="Arial" w:hAnsi="Arial"/>
                <w:sz w:val="22"/>
                <w:szCs w:val="22"/>
                <w:color w:val="auto"/>
              </w:rPr>
              <w:t>7.01.</w:t>
            </w:r>
          </w:p>
        </w:tc>
        <w:tc>
          <w:tcPr>
            <w:tcW w:w="7980" w:type="dxa"/>
            <w:vAlign w:val="bottom"/>
          </w:tcPr>
          <w:p>
            <w:pPr>
              <w:ind w:left="300"/>
              <w:spacing w:after="0"/>
              <w:rPr>
                <w:sz w:val="20"/>
                <w:szCs w:val="20"/>
                <w:color w:val="auto"/>
              </w:rPr>
            </w:pPr>
            <w:r>
              <w:rPr>
                <w:rFonts w:ascii="Arial" w:cs="Arial" w:eastAsia="Arial" w:hAnsi="Arial"/>
                <w:sz w:val="22"/>
                <w:szCs w:val="22"/>
                <w:color w:val="auto"/>
              </w:rPr>
              <w:t>Dispositions</w:t>
            </w:r>
          </w:p>
        </w:tc>
        <w:tc>
          <w:tcPr>
            <w:tcW w:w="18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7.02.</w:t>
            </w:r>
          </w:p>
        </w:tc>
        <w:tc>
          <w:tcPr>
            <w:tcW w:w="7980" w:type="dxa"/>
            <w:vAlign w:val="bottom"/>
          </w:tcPr>
          <w:p>
            <w:pPr>
              <w:ind w:left="300"/>
              <w:spacing w:after="0"/>
              <w:rPr>
                <w:sz w:val="20"/>
                <w:szCs w:val="20"/>
                <w:color w:val="auto"/>
              </w:rPr>
            </w:pPr>
            <w:r>
              <w:rPr>
                <w:rFonts w:ascii="Arial" w:cs="Arial" w:eastAsia="Arial" w:hAnsi="Arial"/>
                <w:sz w:val="22"/>
                <w:szCs w:val="22"/>
                <w:color w:val="auto"/>
              </w:rPr>
              <w:t>Changes in Business, Management, Ownership or Business Locations</w:t>
            </w:r>
          </w:p>
        </w:tc>
        <w:tc>
          <w:tcPr>
            <w:tcW w:w="18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7.03.</w:t>
            </w:r>
          </w:p>
        </w:tc>
        <w:tc>
          <w:tcPr>
            <w:tcW w:w="7980" w:type="dxa"/>
            <w:vAlign w:val="bottom"/>
          </w:tcPr>
          <w:p>
            <w:pPr>
              <w:ind w:left="300"/>
              <w:spacing w:after="0"/>
              <w:rPr>
                <w:sz w:val="20"/>
                <w:szCs w:val="20"/>
                <w:color w:val="auto"/>
              </w:rPr>
            </w:pPr>
            <w:r>
              <w:rPr>
                <w:rFonts w:ascii="Arial" w:cs="Arial" w:eastAsia="Arial" w:hAnsi="Arial"/>
                <w:sz w:val="22"/>
                <w:szCs w:val="22"/>
                <w:color w:val="auto"/>
              </w:rPr>
              <w:t>Mergers or Acquisitions</w:t>
            </w:r>
          </w:p>
        </w:tc>
        <w:tc>
          <w:tcPr>
            <w:tcW w:w="18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7.04.</w:t>
            </w:r>
          </w:p>
        </w:tc>
        <w:tc>
          <w:tcPr>
            <w:tcW w:w="7980" w:type="dxa"/>
            <w:vAlign w:val="bottom"/>
          </w:tcPr>
          <w:p>
            <w:pPr>
              <w:ind w:left="300"/>
              <w:spacing w:after="0"/>
              <w:rPr>
                <w:sz w:val="20"/>
                <w:szCs w:val="20"/>
                <w:color w:val="auto"/>
              </w:rPr>
            </w:pPr>
            <w:r>
              <w:rPr>
                <w:rFonts w:ascii="Arial" w:cs="Arial" w:eastAsia="Arial" w:hAnsi="Arial"/>
                <w:sz w:val="22"/>
                <w:szCs w:val="22"/>
                <w:color w:val="auto"/>
              </w:rPr>
              <w:t>Indebtedness</w:t>
            </w:r>
          </w:p>
        </w:tc>
        <w:tc>
          <w:tcPr>
            <w:tcW w:w="18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7.05.</w:t>
            </w:r>
          </w:p>
        </w:tc>
        <w:tc>
          <w:tcPr>
            <w:tcW w:w="7980" w:type="dxa"/>
            <w:vAlign w:val="bottom"/>
          </w:tcPr>
          <w:p>
            <w:pPr>
              <w:ind w:left="300"/>
              <w:spacing w:after="0"/>
              <w:rPr>
                <w:sz w:val="20"/>
                <w:szCs w:val="20"/>
                <w:color w:val="auto"/>
              </w:rPr>
            </w:pPr>
            <w:r>
              <w:rPr>
                <w:rFonts w:ascii="Arial" w:cs="Arial" w:eastAsia="Arial" w:hAnsi="Arial"/>
                <w:sz w:val="22"/>
                <w:szCs w:val="22"/>
                <w:color w:val="auto"/>
              </w:rPr>
              <w:t>Encumbrance</w:t>
            </w:r>
          </w:p>
        </w:tc>
        <w:tc>
          <w:tcPr>
            <w:tcW w:w="18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4"/>
        </w:trPr>
        <w:tc>
          <w:tcPr>
            <w:tcW w:w="1400" w:type="dxa"/>
            <w:vAlign w:val="bottom"/>
          </w:tcPr>
          <w:p>
            <w:pPr>
              <w:ind w:left="660"/>
              <w:spacing w:after="0"/>
              <w:rPr>
                <w:sz w:val="20"/>
                <w:szCs w:val="20"/>
                <w:color w:val="auto"/>
              </w:rPr>
            </w:pPr>
            <w:r>
              <w:rPr>
                <w:rFonts w:ascii="Arial" w:cs="Arial" w:eastAsia="Arial" w:hAnsi="Arial"/>
                <w:sz w:val="22"/>
                <w:szCs w:val="22"/>
                <w:color w:val="auto"/>
              </w:rPr>
              <w:t>7.06.</w:t>
            </w:r>
          </w:p>
        </w:tc>
        <w:tc>
          <w:tcPr>
            <w:tcW w:w="7980" w:type="dxa"/>
            <w:vAlign w:val="bottom"/>
          </w:tcPr>
          <w:p>
            <w:pPr>
              <w:ind w:left="300"/>
              <w:spacing w:after="0"/>
              <w:rPr>
                <w:sz w:val="20"/>
                <w:szCs w:val="20"/>
                <w:color w:val="auto"/>
              </w:rPr>
            </w:pPr>
            <w:r>
              <w:rPr>
                <w:rFonts w:ascii="Arial" w:cs="Arial" w:eastAsia="Arial" w:hAnsi="Arial"/>
                <w:sz w:val="22"/>
                <w:szCs w:val="22"/>
                <w:color w:val="auto"/>
              </w:rPr>
              <w:t>Maintenance of Collateral Accounts</w:t>
            </w:r>
          </w:p>
        </w:tc>
        <w:tc>
          <w:tcPr>
            <w:tcW w:w="18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72"/>
        </w:trPr>
        <w:tc>
          <w:tcPr>
            <w:tcW w:w="1400" w:type="dxa"/>
            <w:vAlign w:val="bottom"/>
          </w:tcPr>
          <w:p>
            <w:pPr>
              <w:spacing w:after="0"/>
              <w:rPr>
                <w:sz w:val="24"/>
                <w:szCs w:val="24"/>
                <w:color w:val="auto"/>
              </w:rPr>
            </w:pPr>
          </w:p>
        </w:tc>
        <w:tc>
          <w:tcPr>
            <w:tcW w:w="7980" w:type="dxa"/>
            <w:vAlign w:val="bottom"/>
          </w:tcPr>
          <w:p>
            <w:pPr>
              <w:ind w:left="4180"/>
              <w:spacing w:after="0"/>
              <w:rPr>
                <w:sz w:val="20"/>
                <w:szCs w:val="20"/>
                <w:color w:val="auto"/>
              </w:rPr>
            </w:pPr>
            <w:r>
              <w:rPr>
                <w:rFonts w:ascii="Arial" w:cs="Arial" w:eastAsia="Arial" w:hAnsi="Arial"/>
                <w:sz w:val="22"/>
                <w:szCs w:val="22"/>
                <w:color w:val="auto"/>
              </w:rPr>
              <w:t>2</w:t>
            </w:r>
          </w:p>
        </w:tc>
        <w:tc>
          <w:tcPr>
            <w:tcW w:w="1860" w:type="dxa"/>
            <w:vAlign w:val="bottom"/>
          </w:tcPr>
          <w:p>
            <w:pPr>
              <w:spacing w:after="0"/>
              <w:rPr>
                <w:sz w:val="24"/>
                <w:szCs w:val="24"/>
                <w:color w:val="auto"/>
              </w:rPr>
            </w:pPr>
          </w:p>
        </w:tc>
      </w:tr>
      <w:tr>
        <w:trPr>
          <w:trHeight w:val="308"/>
        </w:trPr>
        <w:tc>
          <w:tcPr>
            <w:tcW w:w="140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7.07.</w:t>
            </w:r>
          </w:p>
        </w:tc>
        <w:tc>
          <w:tcPr>
            <w:tcW w:w="4120" w:type="dxa"/>
            <w:vAlign w:val="bottom"/>
          </w:tcPr>
          <w:p>
            <w:pPr>
              <w:ind w:left="300"/>
              <w:spacing w:after="0"/>
              <w:rPr>
                <w:sz w:val="20"/>
                <w:szCs w:val="20"/>
                <w:color w:val="auto"/>
              </w:rPr>
            </w:pPr>
            <w:r>
              <w:rPr>
                <w:rFonts w:ascii="Arial" w:cs="Arial" w:eastAsia="Arial" w:hAnsi="Arial"/>
                <w:sz w:val="22"/>
                <w:szCs w:val="22"/>
                <w:color w:val="auto"/>
              </w:rPr>
              <w:t>Restricted Payments</w:t>
            </w:r>
          </w:p>
        </w:tc>
        <w:tc>
          <w:tcPr>
            <w:tcW w:w="57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7.08.</w:t>
            </w:r>
          </w:p>
        </w:tc>
        <w:tc>
          <w:tcPr>
            <w:tcW w:w="4120" w:type="dxa"/>
            <w:vAlign w:val="bottom"/>
          </w:tcPr>
          <w:p>
            <w:pPr>
              <w:ind w:left="300"/>
              <w:spacing w:after="0"/>
              <w:rPr>
                <w:sz w:val="20"/>
                <w:szCs w:val="20"/>
                <w:color w:val="auto"/>
              </w:rPr>
            </w:pPr>
            <w:r>
              <w:rPr>
                <w:rFonts w:ascii="Arial" w:cs="Arial" w:eastAsia="Arial" w:hAnsi="Arial"/>
                <w:sz w:val="22"/>
                <w:szCs w:val="22"/>
                <w:color w:val="auto"/>
              </w:rPr>
              <w:t>Investment</w:t>
            </w:r>
          </w:p>
        </w:tc>
        <w:tc>
          <w:tcPr>
            <w:tcW w:w="57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7.09.</w:t>
            </w:r>
          </w:p>
        </w:tc>
        <w:tc>
          <w:tcPr>
            <w:tcW w:w="4120" w:type="dxa"/>
            <w:vAlign w:val="bottom"/>
          </w:tcPr>
          <w:p>
            <w:pPr>
              <w:ind w:left="300"/>
              <w:spacing w:after="0"/>
              <w:rPr>
                <w:sz w:val="20"/>
                <w:szCs w:val="20"/>
                <w:color w:val="auto"/>
              </w:rPr>
            </w:pPr>
            <w:r>
              <w:rPr>
                <w:rFonts w:ascii="Arial" w:cs="Arial" w:eastAsia="Arial" w:hAnsi="Arial"/>
                <w:sz w:val="22"/>
                <w:szCs w:val="22"/>
                <w:color w:val="auto"/>
              </w:rPr>
              <w:t>Transactions with Affiliates</w:t>
            </w:r>
          </w:p>
        </w:tc>
        <w:tc>
          <w:tcPr>
            <w:tcW w:w="57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7.10.</w:t>
            </w:r>
          </w:p>
        </w:tc>
        <w:tc>
          <w:tcPr>
            <w:tcW w:w="4120" w:type="dxa"/>
            <w:vAlign w:val="bottom"/>
          </w:tcPr>
          <w:p>
            <w:pPr>
              <w:ind w:left="300"/>
              <w:spacing w:after="0"/>
              <w:rPr>
                <w:sz w:val="20"/>
                <w:szCs w:val="20"/>
                <w:color w:val="auto"/>
              </w:rPr>
            </w:pPr>
            <w:r>
              <w:rPr>
                <w:rFonts w:ascii="Arial" w:cs="Arial" w:eastAsia="Arial" w:hAnsi="Arial"/>
                <w:sz w:val="22"/>
                <w:szCs w:val="22"/>
                <w:color w:val="auto"/>
              </w:rPr>
              <w:t>Term Loan Facility</w:t>
            </w:r>
          </w:p>
        </w:tc>
        <w:tc>
          <w:tcPr>
            <w:tcW w:w="57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7.11.</w:t>
            </w:r>
          </w:p>
        </w:tc>
        <w:tc>
          <w:tcPr>
            <w:tcW w:w="4120" w:type="dxa"/>
            <w:vAlign w:val="bottom"/>
          </w:tcPr>
          <w:p>
            <w:pPr>
              <w:ind w:left="300"/>
              <w:spacing w:after="0"/>
              <w:rPr>
                <w:sz w:val="20"/>
                <w:szCs w:val="20"/>
                <w:color w:val="auto"/>
              </w:rPr>
            </w:pPr>
            <w:r>
              <w:rPr>
                <w:rFonts w:ascii="Arial" w:cs="Arial" w:eastAsia="Arial" w:hAnsi="Arial"/>
                <w:sz w:val="22"/>
                <w:szCs w:val="22"/>
                <w:color w:val="auto"/>
              </w:rPr>
              <w:t>Compliance</w:t>
            </w:r>
          </w:p>
        </w:tc>
        <w:tc>
          <w:tcPr>
            <w:tcW w:w="57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7.12.</w:t>
            </w:r>
          </w:p>
        </w:tc>
        <w:tc>
          <w:tcPr>
            <w:tcW w:w="4120" w:type="dxa"/>
            <w:vAlign w:val="bottom"/>
          </w:tcPr>
          <w:p>
            <w:pPr>
              <w:ind w:left="300"/>
              <w:spacing w:after="0"/>
              <w:rPr>
                <w:sz w:val="20"/>
                <w:szCs w:val="20"/>
                <w:color w:val="auto"/>
              </w:rPr>
            </w:pPr>
            <w:r>
              <w:rPr>
                <w:rFonts w:ascii="Arial" w:cs="Arial" w:eastAsia="Arial" w:hAnsi="Arial"/>
                <w:sz w:val="22"/>
                <w:szCs w:val="22"/>
                <w:color w:val="auto"/>
              </w:rPr>
              <w:t>Compliance with Anti-Terrorism Laws</w:t>
            </w:r>
          </w:p>
        </w:tc>
        <w:tc>
          <w:tcPr>
            <w:tcW w:w="57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4"/>
        </w:trPr>
        <w:tc>
          <w:tcPr>
            <w:tcW w:w="1400" w:type="dxa"/>
            <w:vAlign w:val="bottom"/>
          </w:tcPr>
          <w:p>
            <w:pPr>
              <w:ind w:left="660"/>
              <w:spacing w:after="0"/>
              <w:rPr>
                <w:sz w:val="20"/>
                <w:szCs w:val="20"/>
                <w:color w:val="auto"/>
              </w:rPr>
            </w:pPr>
            <w:r>
              <w:rPr>
                <w:rFonts w:ascii="Arial" w:cs="Arial" w:eastAsia="Arial" w:hAnsi="Arial"/>
                <w:sz w:val="22"/>
                <w:szCs w:val="22"/>
                <w:color w:val="auto"/>
              </w:rPr>
              <w:t>7.14.</w:t>
            </w:r>
          </w:p>
        </w:tc>
        <w:tc>
          <w:tcPr>
            <w:tcW w:w="4120" w:type="dxa"/>
            <w:vAlign w:val="bottom"/>
          </w:tcPr>
          <w:p>
            <w:pPr>
              <w:ind w:left="300"/>
              <w:spacing w:after="0"/>
              <w:rPr>
                <w:sz w:val="20"/>
                <w:szCs w:val="20"/>
                <w:color w:val="auto"/>
              </w:rPr>
            </w:pPr>
            <w:r>
              <w:rPr>
                <w:rFonts w:ascii="Arial" w:cs="Arial" w:eastAsia="Arial" w:hAnsi="Arial"/>
                <w:sz w:val="22"/>
                <w:szCs w:val="22"/>
                <w:color w:val="auto"/>
                <w:w w:val="90"/>
              </w:rPr>
              <w:t>Redemption of Permitted Convertible Debt.</w:t>
            </w:r>
          </w:p>
        </w:tc>
        <w:tc>
          <w:tcPr>
            <w:tcW w:w="57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72"/>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ARTICLE 8 DEFAULT</w:t>
            </w:r>
          </w:p>
        </w:tc>
        <w:tc>
          <w:tcPr>
            <w:tcW w:w="57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55"/>
        </w:trPr>
        <w:tc>
          <w:tcPr>
            <w:tcW w:w="1400" w:type="dxa"/>
            <w:vAlign w:val="bottom"/>
          </w:tcPr>
          <w:p>
            <w:pPr>
              <w:ind w:left="660"/>
              <w:spacing w:after="0"/>
              <w:rPr>
                <w:sz w:val="20"/>
                <w:szCs w:val="20"/>
                <w:color w:val="auto"/>
              </w:rPr>
            </w:pPr>
            <w:r>
              <w:rPr>
                <w:rFonts w:ascii="Arial" w:cs="Arial" w:eastAsia="Arial" w:hAnsi="Arial"/>
                <w:sz w:val="22"/>
                <w:szCs w:val="22"/>
                <w:color w:val="auto"/>
              </w:rPr>
              <w:t>8.01.</w:t>
            </w:r>
          </w:p>
        </w:tc>
        <w:tc>
          <w:tcPr>
            <w:tcW w:w="4120" w:type="dxa"/>
            <w:vAlign w:val="bottom"/>
          </w:tcPr>
          <w:p>
            <w:pPr>
              <w:ind w:left="300"/>
              <w:spacing w:after="0"/>
              <w:rPr>
                <w:sz w:val="20"/>
                <w:szCs w:val="20"/>
                <w:color w:val="auto"/>
              </w:rPr>
            </w:pPr>
            <w:r>
              <w:rPr>
                <w:rFonts w:ascii="Arial" w:cs="Arial" w:eastAsia="Arial" w:hAnsi="Arial"/>
                <w:sz w:val="22"/>
                <w:szCs w:val="22"/>
                <w:color w:val="auto"/>
              </w:rPr>
              <w:t>Events of Default</w:t>
            </w:r>
          </w:p>
        </w:tc>
        <w:tc>
          <w:tcPr>
            <w:tcW w:w="57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8.02.</w:t>
            </w:r>
          </w:p>
        </w:tc>
        <w:tc>
          <w:tcPr>
            <w:tcW w:w="4120" w:type="dxa"/>
            <w:vAlign w:val="bottom"/>
          </w:tcPr>
          <w:p>
            <w:pPr>
              <w:ind w:left="300"/>
              <w:spacing w:after="0"/>
              <w:rPr>
                <w:sz w:val="20"/>
                <w:szCs w:val="20"/>
                <w:color w:val="auto"/>
              </w:rPr>
            </w:pPr>
            <w:r>
              <w:rPr>
                <w:rFonts w:ascii="Arial" w:cs="Arial" w:eastAsia="Arial" w:hAnsi="Arial"/>
                <w:sz w:val="22"/>
                <w:szCs w:val="22"/>
                <w:color w:val="auto"/>
              </w:rPr>
              <w:t>[Reserved]</w:t>
            </w:r>
          </w:p>
        </w:tc>
        <w:tc>
          <w:tcPr>
            <w:tcW w:w="57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8.03.</w:t>
            </w:r>
          </w:p>
        </w:tc>
        <w:tc>
          <w:tcPr>
            <w:tcW w:w="4120" w:type="dxa"/>
            <w:vAlign w:val="bottom"/>
          </w:tcPr>
          <w:p>
            <w:pPr>
              <w:ind w:left="300"/>
              <w:spacing w:after="0"/>
              <w:rPr>
                <w:sz w:val="20"/>
                <w:szCs w:val="20"/>
                <w:color w:val="auto"/>
              </w:rPr>
            </w:pPr>
            <w:r>
              <w:rPr>
                <w:rFonts w:ascii="Arial" w:cs="Arial" w:eastAsia="Arial" w:hAnsi="Arial"/>
                <w:sz w:val="22"/>
                <w:szCs w:val="22"/>
                <w:color w:val="auto"/>
              </w:rPr>
              <w:t>Rights and Remedies on Default.</w:t>
            </w:r>
          </w:p>
        </w:tc>
        <w:tc>
          <w:tcPr>
            <w:tcW w:w="57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8.04.</w:t>
            </w:r>
          </w:p>
        </w:tc>
        <w:tc>
          <w:tcPr>
            <w:tcW w:w="4120" w:type="dxa"/>
            <w:vAlign w:val="bottom"/>
          </w:tcPr>
          <w:p>
            <w:pPr>
              <w:ind w:left="300"/>
              <w:spacing w:after="0"/>
              <w:rPr>
                <w:sz w:val="20"/>
                <w:szCs w:val="20"/>
                <w:color w:val="auto"/>
              </w:rPr>
            </w:pPr>
            <w:r>
              <w:rPr>
                <w:rFonts w:ascii="Arial" w:cs="Arial" w:eastAsia="Arial" w:hAnsi="Arial"/>
                <w:sz w:val="22"/>
                <w:szCs w:val="22"/>
                <w:color w:val="auto"/>
              </w:rPr>
              <w:t>[Intentionally Omitted].</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8.05.</w:t>
            </w:r>
          </w:p>
        </w:tc>
        <w:tc>
          <w:tcPr>
            <w:tcW w:w="4120" w:type="dxa"/>
            <w:vAlign w:val="bottom"/>
          </w:tcPr>
          <w:p>
            <w:pPr>
              <w:ind w:left="300"/>
              <w:spacing w:after="0"/>
              <w:rPr>
                <w:sz w:val="20"/>
                <w:szCs w:val="20"/>
                <w:color w:val="auto"/>
              </w:rPr>
            </w:pPr>
            <w:r>
              <w:rPr>
                <w:rFonts w:ascii="Arial" w:cs="Arial" w:eastAsia="Arial" w:hAnsi="Arial"/>
                <w:sz w:val="22"/>
                <w:szCs w:val="22"/>
                <w:color w:val="auto"/>
              </w:rPr>
              <w:t>Nature of Remedies</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8.06.</w:t>
            </w:r>
          </w:p>
        </w:tc>
        <w:tc>
          <w:tcPr>
            <w:tcW w:w="4120" w:type="dxa"/>
            <w:vAlign w:val="bottom"/>
          </w:tcPr>
          <w:p>
            <w:pPr>
              <w:ind w:left="300"/>
              <w:spacing w:after="0"/>
              <w:rPr>
                <w:sz w:val="20"/>
                <w:szCs w:val="20"/>
                <w:color w:val="auto"/>
              </w:rPr>
            </w:pPr>
            <w:r>
              <w:rPr>
                <w:rFonts w:ascii="Arial" w:cs="Arial" w:eastAsia="Arial" w:hAnsi="Arial"/>
                <w:sz w:val="22"/>
                <w:szCs w:val="22"/>
                <w:color w:val="auto"/>
              </w:rPr>
              <w:t>Set-Off</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4"/>
        </w:trPr>
        <w:tc>
          <w:tcPr>
            <w:tcW w:w="1400" w:type="dxa"/>
            <w:vAlign w:val="bottom"/>
          </w:tcPr>
          <w:p>
            <w:pPr>
              <w:ind w:left="660"/>
              <w:spacing w:after="0"/>
              <w:rPr>
                <w:sz w:val="20"/>
                <w:szCs w:val="20"/>
                <w:color w:val="auto"/>
              </w:rPr>
            </w:pPr>
            <w:r>
              <w:rPr>
                <w:rFonts w:ascii="Arial" w:cs="Arial" w:eastAsia="Arial" w:hAnsi="Arial"/>
                <w:sz w:val="22"/>
                <w:szCs w:val="22"/>
                <w:color w:val="auto"/>
              </w:rPr>
              <w:t>8.07.</w:t>
            </w:r>
          </w:p>
        </w:tc>
        <w:tc>
          <w:tcPr>
            <w:tcW w:w="4120" w:type="dxa"/>
            <w:vAlign w:val="bottom"/>
          </w:tcPr>
          <w:p>
            <w:pPr>
              <w:ind w:left="300"/>
              <w:spacing w:after="0"/>
              <w:rPr>
                <w:sz w:val="20"/>
                <w:szCs w:val="20"/>
                <w:color w:val="auto"/>
              </w:rPr>
            </w:pPr>
            <w:r>
              <w:rPr>
                <w:rFonts w:ascii="Arial" w:cs="Arial" w:eastAsia="Arial" w:hAnsi="Arial"/>
                <w:sz w:val="22"/>
                <w:szCs w:val="22"/>
                <w:color w:val="auto"/>
              </w:rPr>
              <w:t>Application of Proceeds</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73"/>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ARTICLE 9 MISCELLANEOUS</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55"/>
        </w:trPr>
        <w:tc>
          <w:tcPr>
            <w:tcW w:w="1400" w:type="dxa"/>
            <w:vAlign w:val="bottom"/>
          </w:tcPr>
          <w:p>
            <w:pPr>
              <w:ind w:left="660"/>
              <w:spacing w:after="0"/>
              <w:rPr>
                <w:sz w:val="20"/>
                <w:szCs w:val="20"/>
                <w:color w:val="auto"/>
              </w:rPr>
            </w:pPr>
            <w:r>
              <w:rPr>
                <w:rFonts w:ascii="Arial" w:cs="Arial" w:eastAsia="Arial" w:hAnsi="Arial"/>
                <w:sz w:val="22"/>
                <w:szCs w:val="22"/>
                <w:color w:val="auto"/>
              </w:rPr>
              <w:t>9.01.</w:t>
            </w:r>
          </w:p>
        </w:tc>
        <w:tc>
          <w:tcPr>
            <w:tcW w:w="4120" w:type="dxa"/>
            <w:vAlign w:val="bottom"/>
          </w:tcPr>
          <w:p>
            <w:pPr>
              <w:ind w:left="300"/>
              <w:spacing w:after="0"/>
              <w:rPr>
                <w:sz w:val="20"/>
                <w:szCs w:val="20"/>
                <w:color w:val="auto"/>
              </w:rPr>
            </w:pPr>
            <w:r>
              <w:rPr>
                <w:rFonts w:ascii="Arial" w:cs="Arial" w:eastAsia="Arial" w:hAnsi="Arial"/>
                <w:sz w:val="22"/>
                <w:szCs w:val="22"/>
                <w:color w:val="auto"/>
              </w:rPr>
              <w:t>GOVERNING LAW</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9.02.</w:t>
            </w:r>
          </w:p>
        </w:tc>
        <w:tc>
          <w:tcPr>
            <w:tcW w:w="4120" w:type="dxa"/>
            <w:vAlign w:val="bottom"/>
          </w:tcPr>
          <w:p>
            <w:pPr>
              <w:ind w:left="300"/>
              <w:spacing w:after="0"/>
              <w:rPr>
                <w:sz w:val="20"/>
                <w:szCs w:val="20"/>
                <w:color w:val="auto"/>
              </w:rPr>
            </w:pPr>
            <w:r>
              <w:rPr>
                <w:rFonts w:ascii="Arial" w:cs="Arial" w:eastAsia="Arial" w:hAnsi="Arial"/>
                <w:sz w:val="22"/>
                <w:szCs w:val="22"/>
                <w:color w:val="auto"/>
              </w:rPr>
              <w:t>Integrated Agreement</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9.03.</w:t>
            </w:r>
          </w:p>
        </w:tc>
        <w:tc>
          <w:tcPr>
            <w:tcW w:w="4120" w:type="dxa"/>
            <w:vAlign w:val="bottom"/>
          </w:tcPr>
          <w:p>
            <w:pPr>
              <w:ind w:left="300"/>
              <w:spacing w:after="0"/>
              <w:rPr>
                <w:sz w:val="20"/>
                <w:szCs w:val="20"/>
                <w:color w:val="auto"/>
              </w:rPr>
            </w:pPr>
            <w:r>
              <w:rPr>
                <w:rFonts w:ascii="Arial" w:cs="Arial" w:eastAsia="Arial" w:hAnsi="Arial"/>
                <w:sz w:val="22"/>
                <w:szCs w:val="22"/>
                <w:color w:val="auto"/>
              </w:rPr>
              <w:t>Waiver and Indemnity.</w:t>
            </w:r>
          </w:p>
        </w:tc>
        <w:tc>
          <w:tcPr>
            <w:tcW w:w="5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9.04.</w:t>
            </w:r>
          </w:p>
        </w:tc>
        <w:tc>
          <w:tcPr>
            <w:tcW w:w="4120" w:type="dxa"/>
            <w:vAlign w:val="bottom"/>
          </w:tcPr>
          <w:p>
            <w:pPr>
              <w:ind w:left="300"/>
              <w:spacing w:after="0"/>
              <w:rPr>
                <w:sz w:val="20"/>
                <w:szCs w:val="20"/>
                <w:color w:val="auto"/>
              </w:rPr>
            </w:pPr>
            <w:r>
              <w:rPr>
                <w:rFonts w:ascii="Arial" w:cs="Arial" w:eastAsia="Arial" w:hAnsi="Arial"/>
                <w:sz w:val="22"/>
                <w:szCs w:val="22"/>
                <w:color w:val="auto"/>
              </w:rPr>
              <w:t>Time</w:t>
            </w:r>
          </w:p>
        </w:tc>
        <w:tc>
          <w:tcPr>
            <w:tcW w:w="57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9.05.</w:t>
            </w:r>
          </w:p>
        </w:tc>
        <w:tc>
          <w:tcPr>
            <w:tcW w:w="4120" w:type="dxa"/>
            <w:vAlign w:val="bottom"/>
          </w:tcPr>
          <w:p>
            <w:pPr>
              <w:ind w:left="300"/>
              <w:spacing w:after="0"/>
              <w:rPr>
                <w:sz w:val="20"/>
                <w:szCs w:val="20"/>
                <w:color w:val="auto"/>
              </w:rPr>
            </w:pPr>
            <w:r>
              <w:rPr>
                <w:rFonts w:ascii="Arial" w:cs="Arial" w:eastAsia="Arial" w:hAnsi="Arial"/>
                <w:sz w:val="22"/>
                <w:szCs w:val="22"/>
                <w:color w:val="auto"/>
              </w:rPr>
              <w:t>Expenses of Lender.</w:t>
            </w:r>
          </w:p>
        </w:tc>
        <w:tc>
          <w:tcPr>
            <w:tcW w:w="57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9.06.</w:t>
            </w:r>
          </w:p>
        </w:tc>
        <w:tc>
          <w:tcPr>
            <w:tcW w:w="4120" w:type="dxa"/>
            <w:vAlign w:val="bottom"/>
          </w:tcPr>
          <w:p>
            <w:pPr>
              <w:ind w:left="300"/>
              <w:spacing w:after="0"/>
              <w:rPr>
                <w:sz w:val="20"/>
                <w:szCs w:val="20"/>
                <w:color w:val="auto"/>
              </w:rPr>
            </w:pPr>
            <w:r>
              <w:rPr>
                <w:rFonts w:ascii="Arial" w:cs="Arial" w:eastAsia="Arial" w:hAnsi="Arial"/>
                <w:sz w:val="22"/>
                <w:szCs w:val="22"/>
                <w:color w:val="auto"/>
              </w:rPr>
              <w:t>Confidentiality</w:t>
            </w:r>
          </w:p>
        </w:tc>
        <w:tc>
          <w:tcPr>
            <w:tcW w:w="57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9.07.</w:t>
            </w:r>
          </w:p>
        </w:tc>
        <w:tc>
          <w:tcPr>
            <w:tcW w:w="4120" w:type="dxa"/>
            <w:vAlign w:val="bottom"/>
          </w:tcPr>
          <w:p>
            <w:pPr>
              <w:ind w:left="300"/>
              <w:spacing w:after="0"/>
              <w:rPr>
                <w:sz w:val="20"/>
                <w:szCs w:val="20"/>
                <w:color w:val="auto"/>
              </w:rPr>
            </w:pPr>
            <w:r>
              <w:rPr>
                <w:rFonts w:ascii="Arial" w:cs="Arial" w:eastAsia="Arial" w:hAnsi="Arial"/>
                <w:sz w:val="22"/>
                <w:szCs w:val="22"/>
                <w:color w:val="auto"/>
              </w:rPr>
              <w:t>Notices.</w:t>
            </w:r>
          </w:p>
        </w:tc>
        <w:tc>
          <w:tcPr>
            <w:tcW w:w="57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9.08.</w:t>
            </w:r>
          </w:p>
        </w:tc>
        <w:tc>
          <w:tcPr>
            <w:tcW w:w="4120" w:type="dxa"/>
            <w:vAlign w:val="bottom"/>
          </w:tcPr>
          <w:p>
            <w:pPr>
              <w:ind w:left="300"/>
              <w:spacing w:after="0"/>
              <w:rPr>
                <w:sz w:val="20"/>
                <w:szCs w:val="20"/>
                <w:color w:val="auto"/>
              </w:rPr>
            </w:pPr>
            <w:r>
              <w:rPr>
                <w:rFonts w:ascii="Arial" w:cs="Arial" w:eastAsia="Arial" w:hAnsi="Arial"/>
                <w:sz w:val="22"/>
                <w:szCs w:val="22"/>
                <w:color w:val="auto"/>
              </w:rPr>
              <w:t>Brokerage</w:t>
            </w:r>
          </w:p>
        </w:tc>
        <w:tc>
          <w:tcPr>
            <w:tcW w:w="57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9.09.</w:t>
            </w:r>
          </w:p>
        </w:tc>
        <w:tc>
          <w:tcPr>
            <w:tcW w:w="4120" w:type="dxa"/>
            <w:vAlign w:val="bottom"/>
          </w:tcPr>
          <w:p>
            <w:pPr>
              <w:ind w:left="300"/>
              <w:spacing w:after="0"/>
              <w:rPr>
                <w:sz w:val="20"/>
                <w:szCs w:val="20"/>
                <w:color w:val="auto"/>
              </w:rPr>
            </w:pPr>
            <w:r>
              <w:rPr>
                <w:rFonts w:ascii="Arial" w:cs="Arial" w:eastAsia="Arial" w:hAnsi="Arial"/>
                <w:sz w:val="22"/>
                <w:szCs w:val="22"/>
                <w:color w:val="auto"/>
              </w:rPr>
              <w:t>Headings</w:t>
            </w:r>
          </w:p>
        </w:tc>
        <w:tc>
          <w:tcPr>
            <w:tcW w:w="57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9.10.</w:t>
            </w:r>
          </w:p>
        </w:tc>
        <w:tc>
          <w:tcPr>
            <w:tcW w:w="4120" w:type="dxa"/>
            <w:vAlign w:val="bottom"/>
          </w:tcPr>
          <w:p>
            <w:pPr>
              <w:ind w:left="300"/>
              <w:spacing w:after="0"/>
              <w:rPr>
                <w:sz w:val="20"/>
                <w:szCs w:val="20"/>
                <w:color w:val="auto"/>
              </w:rPr>
            </w:pPr>
            <w:r>
              <w:rPr>
                <w:rFonts w:ascii="Arial" w:cs="Arial" w:eastAsia="Arial" w:hAnsi="Arial"/>
                <w:sz w:val="22"/>
                <w:szCs w:val="22"/>
                <w:color w:val="auto"/>
              </w:rPr>
              <w:t>Survival</w:t>
            </w:r>
          </w:p>
        </w:tc>
        <w:tc>
          <w:tcPr>
            <w:tcW w:w="57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9.11.</w:t>
            </w:r>
          </w:p>
        </w:tc>
        <w:tc>
          <w:tcPr>
            <w:tcW w:w="4120" w:type="dxa"/>
            <w:vAlign w:val="bottom"/>
          </w:tcPr>
          <w:p>
            <w:pPr>
              <w:ind w:left="300"/>
              <w:spacing w:after="0"/>
              <w:rPr>
                <w:sz w:val="20"/>
                <w:szCs w:val="20"/>
                <w:color w:val="auto"/>
              </w:rPr>
            </w:pPr>
            <w:r>
              <w:rPr>
                <w:rFonts w:ascii="Arial" w:cs="Arial" w:eastAsia="Arial" w:hAnsi="Arial"/>
                <w:sz w:val="22"/>
                <w:szCs w:val="22"/>
                <w:color w:val="auto"/>
              </w:rPr>
              <w:t>[Reserved]</w:t>
            </w:r>
          </w:p>
        </w:tc>
        <w:tc>
          <w:tcPr>
            <w:tcW w:w="57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9.12.</w:t>
            </w:r>
          </w:p>
        </w:tc>
        <w:tc>
          <w:tcPr>
            <w:tcW w:w="4120" w:type="dxa"/>
            <w:vAlign w:val="bottom"/>
          </w:tcPr>
          <w:p>
            <w:pPr>
              <w:ind w:left="300"/>
              <w:spacing w:after="0"/>
              <w:rPr>
                <w:sz w:val="20"/>
                <w:szCs w:val="20"/>
                <w:color w:val="auto"/>
              </w:rPr>
            </w:pPr>
            <w:r>
              <w:rPr>
                <w:rFonts w:ascii="Arial" w:cs="Arial" w:eastAsia="Arial" w:hAnsi="Arial"/>
                <w:sz w:val="22"/>
                <w:szCs w:val="22"/>
                <w:color w:val="auto"/>
              </w:rPr>
              <w:t>Duplicate Originals</w:t>
            </w:r>
          </w:p>
        </w:tc>
        <w:tc>
          <w:tcPr>
            <w:tcW w:w="5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9.13.</w:t>
            </w:r>
          </w:p>
        </w:tc>
        <w:tc>
          <w:tcPr>
            <w:tcW w:w="4120" w:type="dxa"/>
            <w:vAlign w:val="bottom"/>
          </w:tcPr>
          <w:p>
            <w:pPr>
              <w:ind w:left="300"/>
              <w:spacing w:after="0"/>
              <w:rPr>
                <w:sz w:val="20"/>
                <w:szCs w:val="20"/>
                <w:color w:val="auto"/>
              </w:rPr>
            </w:pPr>
            <w:r>
              <w:rPr>
                <w:rFonts w:ascii="Arial" w:cs="Arial" w:eastAsia="Arial" w:hAnsi="Arial"/>
                <w:sz w:val="22"/>
                <w:szCs w:val="22"/>
                <w:color w:val="auto"/>
              </w:rPr>
              <w:t>Modification</w:t>
            </w:r>
          </w:p>
        </w:tc>
        <w:tc>
          <w:tcPr>
            <w:tcW w:w="5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9.14.</w:t>
            </w:r>
          </w:p>
        </w:tc>
        <w:tc>
          <w:tcPr>
            <w:tcW w:w="4120" w:type="dxa"/>
            <w:vAlign w:val="bottom"/>
          </w:tcPr>
          <w:p>
            <w:pPr>
              <w:ind w:left="300"/>
              <w:spacing w:after="0"/>
              <w:rPr>
                <w:sz w:val="20"/>
                <w:szCs w:val="20"/>
                <w:color w:val="auto"/>
              </w:rPr>
            </w:pPr>
            <w:r>
              <w:rPr>
                <w:rFonts w:ascii="Arial" w:cs="Arial" w:eastAsia="Arial" w:hAnsi="Arial"/>
                <w:sz w:val="22"/>
                <w:szCs w:val="22"/>
                <w:color w:val="auto"/>
              </w:rPr>
              <w:t>Signatories</w:t>
            </w:r>
          </w:p>
        </w:tc>
        <w:tc>
          <w:tcPr>
            <w:tcW w:w="5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9.15.</w:t>
            </w:r>
          </w:p>
        </w:tc>
        <w:tc>
          <w:tcPr>
            <w:tcW w:w="4120" w:type="dxa"/>
            <w:vAlign w:val="bottom"/>
          </w:tcPr>
          <w:p>
            <w:pPr>
              <w:ind w:left="300"/>
              <w:spacing w:after="0"/>
              <w:rPr>
                <w:sz w:val="20"/>
                <w:szCs w:val="20"/>
                <w:color w:val="auto"/>
              </w:rPr>
            </w:pPr>
            <w:r>
              <w:rPr>
                <w:rFonts w:ascii="Arial" w:cs="Arial" w:eastAsia="Arial" w:hAnsi="Arial"/>
                <w:sz w:val="22"/>
                <w:szCs w:val="22"/>
                <w:color w:val="auto"/>
              </w:rPr>
              <w:t>Third Parties</w:t>
            </w:r>
          </w:p>
        </w:tc>
        <w:tc>
          <w:tcPr>
            <w:tcW w:w="5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9.16.</w:t>
            </w:r>
          </w:p>
        </w:tc>
        <w:tc>
          <w:tcPr>
            <w:tcW w:w="4120" w:type="dxa"/>
            <w:vAlign w:val="bottom"/>
          </w:tcPr>
          <w:p>
            <w:pPr>
              <w:ind w:left="300"/>
              <w:spacing w:after="0"/>
              <w:rPr>
                <w:sz w:val="20"/>
                <w:szCs w:val="20"/>
                <w:color w:val="auto"/>
              </w:rPr>
            </w:pPr>
            <w:r>
              <w:rPr>
                <w:rFonts w:ascii="Arial" w:cs="Arial" w:eastAsia="Arial" w:hAnsi="Arial"/>
                <w:sz w:val="22"/>
                <w:szCs w:val="22"/>
                <w:color w:val="auto"/>
              </w:rPr>
              <w:t>Waivers</w:t>
            </w:r>
          </w:p>
        </w:tc>
        <w:tc>
          <w:tcPr>
            <w:tcW w:w="5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9.17.</w:t>
            </w:r>
          </w:p>
        </w:tc>
        <w:tc>
          <w:tcPr>
            <w:tcW w:w="4120" w:type="dxa"/>
            <w:vAlign w:val="bottom"/>
          </w:tcPr>
          <w:p>
            <w:pPr>
              <w:ind w:left="300"/>
              <w:spacing w:after="0"/>
              <w:rPr>
                <w:sz w:val="20"/>
                <w:szCs w:val="20"/>
                <w:color w:val="auto"/>
              </w:rPr>
            </w:pPr>
            <w:r>
              <w:rPr>
                <w:rFonts w:ascii="Arial" w:cs="Arial" w:eastAsia="Arial" w:hAnsi="Arial"/>
                <w:sz w:val="22"/>
                <w:szCs w:val="22"/>
                <w:color w:val="auto"/>
              </w:rPr>
              <w:t>CONSENT TO JURISDICTION</w:t>
            </w:r>
          </w:p>
        </w:tc>
        <w:tc>
          <w:tcPr>
            <w:tcW w:w="57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9.18.</w:t>
            </w:r>
          </w:p>
        </w:tc>
        <w:tc>
          <w:tcPr>
            <w:tcW w:w="4120" w:type="dxa"/>
            <w:vAlign w:val="bottom"/>
          </w:tcPr>
          <w:p>
            <w:pPr>
              <w:ind w:left="300"/>
              <w:spacing w:after="0"/>
              <w:rPr>
                <w:sz w:val="20"/>
                <w:szCs w:val="20"/>
                <w:color w:val="auto"/>
              </w:rPr>
            </w:pPr>
            <w:r>
              <w:rPr>
                <w:rFonts w:ascii="Arial" w:cs="Arial" w:eastAsia="Arial" w:hAnsi="Arial"/>
                <w:sz w:val="22"/>
                <w:szCs w:val="22"/>
                <w:color w:val="auto"/>
              </w:rPr>
              <w:t>WAIVER OF JURY TRIAL</w:t>
            </w:r>
          </w:p>
        </w:tc>
        <w:tc>
          <w:tcPr>
            <w:tcW w:w="57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9.19.</w:t>
            </w:r>
          </w:p>
        </w:tc>
        <w:tc>
          <w:tcPr>
            <w:tcW w:w="4120" w:type="dxa"/>
            <w:vAlign w:val="bottom"/>
          </w:tcPr>
          <w:p>
            <w:pPr>
              <w:ind w:left="300"/>
              <w:spacing w:after="0"/>
              <w:rPr>
                <w:sz w:val="20"/>
                <w:szCs w:val="20"/>
                <w:color w:val="auto"/>
              </w:rPr>
            </w:pPr>
            <w:r>
              <w:rPr>
                <w:rFonts w:ascii="Arial" w:cs="Arial" w:eastAsia="Arial" w:hAnsi="Arial"/>
                <w:sz w:val="22"/>
                <w:szCs w:val="22"/>
                <w:color w:val="auto"/>
              </w:rPr>
              <w:t>Publication</w:t>
            </w:r>
          </w:p>
        </w:tc>
        <w:tc>
          <w:tcPr>
            <w:tcW w:w="57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9.20.</w:t>
            </w:r>
          </w:p>
        </w:tc>
        <w:tc>
          <w:tcPr>
            <w:tcW w:w="4120" w:type="dxa"/>
            <w:vAlign w:val="bottom"/>
          </w:tcPr>
          <w:p>
            <w:pPr>
              <w:ind w:left="300"/>
              <w:spacing w:after="0"/>
              <w:rPr>
                <w:sz w:val="20"/>
                <w:szCs w:val="20"/>
                <w:color w:val="auto"/>
              </w:rPr>
            </w:pPr>
            <w:r>
              <w:rPr>
                <w:rFonts w:ascii="Arial" w:cs="Arial" w:eastAsia="Arial" w:hAnsi="Arial"/>
                <w:sz w:val="22"/>
                <w:szCs w:val="22"/>
                <w:color w:val="auto"/>
              </w:rPr>
              <w:t>[Reserved]</w:t>
            </w:r>
          </w:p>
        </w:tc>
        <w:tc>
          <w:tcPr>
            <w:tcW w:w="57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9.21.</w:t>
            </w:r>
          </w:p>
        </w:tc>
        <w:tc>
          <w:tcPr>
            <w:tcW w:w="4120" w:type="dxa"/>
            <w:vAlign w:val="bottom"/>
          </w:tcPr>
          <w:p>
            <w:pPr>
              <w:ind w:left="300"/>
              <w:spacing w:after="0"/>
              <w:rPr>
                <w:sz w:val="20"/>
                <w:szCs w:val="20"/>
                <w:color w:val="auto"/>
              </w:rPr>
            </w:pPr>
            <w:r>
              <w:rPr>
                <w:rFonts w:ascii="Arial" w:cs="Arial" w:eastAsia="Arial" w:hAnsi="Arial"/>
                <w:sz w:val="22"/>
                <w:szCs w:val="22"/>
                <w:color w:val="auto"/>
              </w:rPr>
              <w:t>Injunctive Relief</w:t>
            </w:r>
          </w:p>
        </w:tc>
        <w:tc>
          <w:tcPr>
            <w:tcW w:w="57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9.22.</w:t>
            </w:r>
          </w:p>
        </w:tc>
        <w:tc>
          <w:tcPr>
            <w:tcW w:w="4120" w:type="dxa"/>
            <w:vAlign w:val="bottom"/>
          </w:tcPr>
          <w:p>
            <w:pPr>
              <w:ind w:left="300"/>
              <w:spacing w:after="0"/>
              <w:rPr>
                <w:sz w:val="20"/>
                <w:szCs w:val="20"/>
                <w:color w:val="auto"/>
              </w:rPr>
            </w:pPr>
            <w:r>
              <w:rPr>
                <w:rFonts w:ascii="Arial" w:cs="Arial" w:eastAsia="Arial" w:hAnsi="Arial"/>
                <w:sz w:val="22"/>
                <w:szCs w:val="22"/>
                <w:color w:val="auto"/>
              </w:rPr>
              <w:t>Successors and Assigns</w:t>
            </w:r>
          </w:p>
        </w:tc>
        <w:tc>
          <w:tcPr>
            <w:tcW w:w="57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9.23.</w:t>
            </w:r>
          </w:p>
        </w:tc>
        <w:tc>
          <w:tcPr>
            <w:tcW w:w="4120" w:type="dxa"/>
            <w:vAlign w:val="bottom"/>
          </w:tcPr>
          <w:p>
            <w:pPr>
              <w:ind w:left="300"/>
              <w:spacing w:after="0"/>
              <w:rPr>
                <w:sz w:val="20"/>
                <w:szCs w:val="20"/>
                <w:color w:val="auto"/>
              </w:rPr>
            </w:pPr>
            <w:r>
              <w:rPr>
                <w:rFonts w:ascii="Arial" w:cs="Arial" w:eastAsia="Arial" w:hAnsi="Arial"/>
                <w:sz w:val="22"/>
                <w:szCs w:val="22"/>
                <w:color w:val="auto"/>
              </w:rPr>
              <w:t>Severability</w:t>
            </w:r>
          </w:p>
        </w:tc>
        <w:tc>
          <w:tcPr>
            <w:tcW w:w="57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9.24.</w:t>
            </w:r>
          </w:p>
        </w:tc>
        <w:tc>
          <w:tcPr>
            <w:tcW w:w="4120" w:type="dxa"/>
            <w:vAlign w:val="bottom"/>
          </w:tcPr>
          <w:p>
            <w:pPr>
              <w:ind w:left="300"/>
              <w:spacing w:after="0"/>
              <w:rPr>
                <w:sz w:val="20"/>
                <w:szCs w:val="20"/>
                <w:color w:val="auto"/>
              </w:rPr>
            </w:pPr>
            <w:r>
              <w:rPr>
                <w:rFonts w:ascii="Arial" w:cs="Arial" w:eastAsia="Arial" w:hAnsi="Arial"/>
                <w:sz w:val="22"/>
                <w:szCs w:val="22"/>
                <w:color w:val="auto"/>
              </w:rPr>
              <w:t>Authority</w:t>
            </w:r>
          </w:p>
        </w:tc>
        <w:tc>
          <w:tcPr>
            <w:tcW w:w="57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57"/>
        </w:trPr>
        <w:tc>
          <w:tcPr>
            <w:tcW w:w="1400" w:type="dxa"/>
            <w:vAlign w:val="bottom"/>
          </w:tcPr>
          <w:p>
            <w:pPr>
              <w:ind w:left="660"/>
              <w:spacing w:after="0"/>
              <w:rPr>
                <w:sz w:val="20"/>
                <w:szCs w:val="20"/>
                <w:color w:val="auto"/>
              </w:rPr>
            </w:pPr>
            <w:r>
              <w:rPr>
                <w:rFonts w:ascii="Arial" w:cs="Arial" w:eastAsia="Arial" w:hAnsi="Arial"/>
                <w:sz w:val="22"/>
                <w:szCs w:val="22"/>
                <w:color w:val="auto"/>
              </w:rPr>
              <w:t>9.25.</w:t>
            </w:r>
          </w:p>
        </w:tc>
        <w:tc>
          <w:tcPr>
            <w:tcW w:w="4120" w:type="dxa"/>
            <w:vAlign w:val="bottom"/>
          </w:tcPr>
          <w:p>
            <w:pPr>
              <w:ind w:left="300"/>
              <w:spacing w:after="0"/>
              <w:rPr>
                <w:sz w:val="20"/>
                <w:szCs w:val="20"/>
                <w:color w:val="auto"/>
              </w:rPr>
            </w:pPr>
            <w:r>
              <w:rPr>
                <w:rFonts w:ascii="Arial" w:cs="Arial" w:eastAsia="Arial" w:hAnsi="Arial"/>
                <w:sz w:val="22"/>
                <w:szCs w:val="22"/>
                <w:color w:val="auto"/>
              </w:rPr>
              <w:t>Usury Limit</w:t>
            </w:r>
          </w:p>
        </w:tc>
        <w:tc>
          <w:tcPr>
            <w:tcW w:w="57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56"/>
        </w:trPr>
        <w:tc>
          <w:tcPr>
            <w:tcW w:w="1400" w:type="dxa"/>
            <w:vAlign w:val="bottom"/>
          </w:tcPr>
          <w:p>
            <w:pPr>
              <w:ind w:left="660"/>
              <w:spacing w:after="0"/>
              <w:rPr>
                <w:sz w:val="20"/>
                <w:szCs w:val="20"/>
                <w:color w:val="auto"/>
              </w:rPr>
            </w:pPr>
            <w:r>
              <w:rPr>
                <w:rFonts w:ascii="Arial" w:cs="Arial" w:eastAsia="Arial" w:hAnsi="Arial"/>
                <w:sz w:val="22"/>
                <w:szCs w:val="22"/>
                <w:color w:val="auto"/>
              </w:rPr>
              <w:t>9.26.</w:t>
            </w:r>
          </w:p>
        </w:tc>
        <w:tc>
          <w:tcPr>
            <w:tcW w:w="4120" w:type="dxa"/>
            <w:vAlign w:val="bottom"/>
          </w:tcPr>
          <w:p>
            <w:pPr>
              <w:ind w:left="300"/>
              <w:spacing w:after="0"/>
              <w:rPr>
                <w:sz w:val="20"/>
                <w:szCs w:val="20"/>
                <w:color w:val="auto"/>
              </w:rPr>
            </w:pPr>
            <w:r>
              <w:rPr>
                <w:rFonts w:ascii="Arial" w:cs="Arial" w:eastAsia="Arial" w:hAnsi="Arial"/>
                <w:sz w:val="22"/>
                <w:szCs w:val="22"/>
                <w:color w:val="auto"/>
              </w:rPr>
              <w:t>Termination</w:t>
            </w:r>
          </w:p>
        </w:tc>
        <w:tc>
          <w:tcPr>
            <w:tcW w:w="57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4"/>
        </w:trPr>
        <w:tc>
          <w:tcPr>
            <w:tcW w:w="1400" w:type="dxa"/>
            <w:vAlign w:val="bottom"/>
          </w:tcPr>
          <w:p>
            <w:pPr>
              <w:ind w:left="660"/>
              <w:spacing w:after="0"/>
              <w:rPr>
                <w:sz w:val="20"/>
                <w:szCs w:val="20"/>
                <w:color w:val="auto"/>
              </w:rPr>
            </w:pPr>
            <w:r>
              <w:rPr>
                <w:rFonts w:ascii="Arial" w:cs="Arial" w:eastAsia="Arial" w:hAnsi="Arial"/>
                <w:sz w:val="22"/>
                <w:szCs w:val="22"/>
                <w:color w:val="auto"/>
              </w:rPr>
              <w:t>9.27.</w:t>
            </w:r>
          </w:p>
        </w:tc>
        <w:tc>
          <w:tcPr>
            <w:tcW w:w="4120" w:type="dxa"/>
            <w:vAlign w:val="bottom"/>
          </w:tcPr>
          <w:p>
            <w:pPr>
              <w:ind w:left="300"/>
              <w:spacing w:after="0"/>
              <w:rPr>
                <w:sz w:val="20"/>
                <w:szCs w:val="20"/>
                <w:color w:val="auto"/>
              </w:rPr>
            </w:pPr>
            <w:r>
              <w:rPr>
                <w:rFonts w:ascii="Arial" w:cs="Arial" w:eastAsia="Arial" w:hAnsi="Arial"/>
                <w:sz w:val="22"/>
                <w:szCs w:val="22"/>
                <w:color w:val="auto"/>
              </w:rPr>
              <w:t>Release of Collateral</w:t>
            </w:r>
          </w:p>
        </w:tc>
        <w:tc>
          <w:tcPr>
            <w:tcW w:w="57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73"/>
        </w:trPr>
        <w:tc>
          <w:tcPr>
            <w:tcW w:w="14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720" w:type="dxa"/>
            <w:vAlign w:val="bottom"/>
          </w:tcPr>
          <w:p>
            <w:pPr>
              <w:jc w:val="right"/>
              <w:ind w:right="5452"/>
              <w:spacing w:after="0"/>
              <w:rPr>
                <w:sz w:val="20"/>
                <w:szCs w:val="20"/>
                <w:color w:val="auto"/>
              </w:rPr>
            </w:pPr>
            <w:r>
              <w:rPr>
                <w:rFonts w:ascii="Arial" w:cs="Arial" w:eastAsia="Arial" w:hAnsi="Arial"/>
                <w:sz w:val="22"/>
                <w:szCs w:val="22"/>
                <w:color w:val="auto"/>
              </w:rPr>
              <w:t>3</w:t>
            </w:r>
          </w:p>
        </w:tc>
      </w:tr>
      <w:tr>
        <w:trPr>
          <w:trHeight w:val="308"/>
        </w:trPr>
        <w:tc>
          <w:tcPr>
            <w:tcW w:w="14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236855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98" w:name="page99"/>
    <w:bookmarkEnd w:id="98"/>
    <w:p>
      <w:pPr>
        <w:jc w:val="right"/>
        <w:ind w:right="2439"/>
        <w:spacing w:after="0"/>
        <w:rPr>
          <w:sz w:val="20"/>
          <w:szCs w:val="20"/>
          <w:color w:val="auto"/>
        </w:rPr>
      </w:pPr>
      <w:r>
        <w:rPr>
          <w:rFonts w:ascii="Arial" w:cs="Arial" w:eastAsia="Arial" w:hAnsi="Arial"/>
          <w:sz w:val="18"/>
          <w:szCs w:val="18"/>
          <w:b w:val="1"/>
          <w:bCs w:val="1"/>
          <w:color w:val="auto"/>
        </w:rPr>
        <w:t>LIST OF ANNEXES, EXHIBITS AND SCHEDULES</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7"/>
          <w:szCs w:val="17"/>
          <w:color w:val="auto"/>
        </w:rPr>
        <w:t>Definitions</w:t>
      </w:r>
    </w:p>
    <w:p>
      <w:pPr>
        <w:spacing w:after="0" w:line="21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Exhibit 2.01(b)</w:t>
      </w:r>
      <w:r>
        <w:rPr>
          <w:sz w:val="20"/>
          <w:szCs w:val="20"/>
          <w:color w:val="auto"/>
        </w:rPr>
        <w:tab/>
      </w:r>
      <w:r>
        <w:rPr>
          <w:rFonts w:ascii="Arial" w:cs="Arial" w:eastAsia="Arial" w:hAnsi="Arial"/>
          <w:sz w:val="16"/>
          <w:szCs w:val="16"/>
          <w:color w:val="auto"/>
        </w:rPr>
        <w:t>Form of Revolving Note</w:t>
      </w:r>
    </w:p>
    <w:p>
      <w:pPr>
        <w:spacing w:after="0" w:line="1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Exhibit 2.02(a)</w:t>
      </w:r>
      <w:r>
        <w:rPr>
          <w:sz w:val="20"/>
          <w:szCs w:val="20"/>
          <w:color w:val="auto"/>
        </w:rPr>
        <w:tab/>
      </w:r>
      <w:r>
        <w:rPr>
          <w:rFonts w:ascii="Arial" w:cs="Arial" w:eastAsia="Arial" w:hAnsi="Arial"/>
          <w:sz w:val="16"/>
          <w:szCs w:val="16"/>
          <w:color w:val="auto"/>
        </w:rPr>
        <w:t>Form of Loan Request</w:t>
      </w:r>
    </w:p>
    <w:p>
      <w:pPr>
        <w:spacing w:after="0" w:line="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Exhibit 4.02(c)</w:t>
      </w:r>
      <w:r>
        <w:rPr>
          <w:sz w:val="20"/>
          <w:szCs w:val="20"/>
          <w:color w:val="auto"/>
        </w:rPr>
        <w:tab/>
      </w:r>
      <w:r>
        <w:rPr>
          <w:rFonts w:ascii="Arial" w:cs="Arial" w:eastAsia="Arial" w:hAnsi="Arial"/>
          <w:sz w:val="16"/>
          <w:szCs w:val="16"/>
          <w:color w:val="auto"/>
        </w:rPr>
        <w:t>Form of Notice Letter Re: Commercial Obligors</w:t>
      </w:r>
    </w:p>
    <w:p>
      <w:pPr>
        <w:spacing w:after="0"/>
        <w:tabs>
          <w:tab w:leader="none" w:pos="1420" w:val="left"/>
        </w:tabs>
        <w:rPr>
          <w:sz w:val="20"/>
          <w:szCs w:val="20"/>
          <w:color w:val="auto"/>
        </w:rPr>
      </w:pPr>
      <w:r>
        <w:rPr>
          <w:rFonts w:ascii="Arial" w:cs="Arial" w:eastAsia="Arial" w:hAnsi="Arial"/>
          <w:sz w:val="18"/>
          <w:szCs w:val="18"/>
          <w:color w:val="auto"/>
        </w:rPr>
        <w:t>Exhibit 6.02</w:t>
      </w:r>
      <w:r>
        <w:rPr>
          <w:sz w:val="20"/>
          <w:szCs w:val="20"/>
          <w:color w:val="auto"/>
        </w:rPr>
        <w:tab/>
      </w:r>
      <w:r>
        <w:rPr>
          <w:rFonts w:ascii="Arial" w:cs="Arial" w:eastAsia="Arial" w:hAnsi="Arial"/>
          <w:sz w:val="16"/>
          <w:szCs w:val="16"/>
          <w:color w:val="auto"/>
        </w:rPr>
        <w:t>Form of Compliance Certificate</w:t>
      </w:r>
    </w:p>
    <w:p>
      <w:pPr>
        <w:spacing w:after="0" w:line="19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1.01 –</w:t>
      </w:r>
      <w:r>
        <w:rPr>
          <w:sz w:val="20"/>
          <w:szCs w:val="20"/>
          <w:color w:val="auto"/>
        </w:rPr>
        <w:tab/>
      </w:r>
      <w:r>
        <w:rPr>
          <w:rFonts w:ascii="Arial" w:cs="Arial" w:eastAsia="Arial" w:hAnsi="Arial"/>
          <w:sz w:val="16"/>
          <w:szCs w:val="16"/>
          <w:color w:val="auto"/>
        </w:rPr>
        <w:t>Ineligible Obligors and Concentration Limits</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5.12 –</w:t>
      </w:r>
      <w:r>
        <w:rPr>
          <w:sz w:val="20"/>
          <w:szCs w:val="20"/>
          <w:color w:val="auto"/>
        </w:rPr>
        <w:tab/>
      </w:r>
      <w:r>
        <w:rPr>
          <w:rFonts w:ascii="Arial" w:cs="Arial" w:eastAsia="Arial" w:hAnsi="Arial"/>
          <w:sz w:val="16"/>
          <w:szCs w:val="16"/>
          <w:color w:val="auto"/>
        </w:rPr>
        <w:t>Environmental Matters</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THIS CREDIT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dated this 3rd day of November, 2022, by and among</w:t>
      </w:r>
      <w:r>
        <w:rPr>
          <w:rFonts w:ascii="Arial" w:cs="Arial" w:eastAsia="Arial" w:hAnsi="Arial"/>
          <w:sz w:val="18"/>
          <w:szCs w:val="18"/>
          <w:b w:val="1"/>
          <w:bCs w:val="1"/>
          <w:color w:val="auto"/>
        </w:rPr>
        <w:t xml:space="preserve"> OUTSET MEDICAL,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Outset Medical</w:t>
      </w:r>
      <w:r>
        <w:rPr>
          <w:rFonts w:ascii="Arial" w:cs="Arial" w:eastAsia="Arial" w:hAnsi="Arial"/>
          <w:sz w:val="18"/>
          <w:szCs w:val="18"/>
          <w:color w:val="auto"/>
        </w:rPr>
        <w:t>”), and such other Persons joined hereto as Borrower from time to time (together with Outset Medical, individually and collectively,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GEMINO HEALTHCARE FINANCE, LLC d/b/a SLR HEALTHCARE ABL</w:t>
      </w:r>
      <w:r>
        <w:rPr>
          <w:rFonts w:ascii="Arial" w:cs="Arial" w:eastAsia="Arial" w:hAnsi="Arial"/>
          <w:sz w:val="18"/>
          <w:szCs w:val="18"/>
          <w:color w:val="auto"/>
        </w:rPr>
        <w:t>, a Delaware limited liability company, as lender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has requested that Lender make available to Borrower a Credit Facility in the maximum principal amount of up to Fifty</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No/100 Dollars ($50,000,000) which will be secured by a first priority perfected security interest in the Collateral;</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Lender is willing to make the Credit Facility available to Borrower pursuant to the terms and provisions hereinafter set forth; and</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set forth the terms and conditions of their relationship in writing.</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intending to be legally bound,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ACCOUNTING TERMS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PRINCIPLES OF CONSTRUCTION</w:t>
      </w:r>
    </w:p>
    <w:p>
      <w:pPr>
        <w:spacing w:after="0" w:line="19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Terms Defined. As used in this Agreement, those terms set forth in Annex I shall have the respective meanings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1372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1.02. Accounting Terms. Any accounting term used but not defined herein shall be construed in accordance with GAAP and all calculations shall be made in accordance with GAAP. The term “financial statements” shall include the accompanying notes and schedules. Notwithstanding anything to the contrary contained herein, for covenant compliance purpose, (a) all financial definitions, calculations and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and (b) with respect to the accounting for leases as either operating leases or capital leases and the impact of such accounting in accordance with Accounting Standards Codification 840, GAAP as in effect on December 31, 2018 shall be applied.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-1071880</wp:posOffset>
            </wp:positionV>
            <wp:extent cx="13023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167"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UCC. Any terms used in this Agreement that are defined in the UCC shall be construed and defined as set forth in the UCC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6915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91515" cy="8890"/>
                    </a:xfrm>
                    <a:prstGeom prst="rect">
                      <a:avLst/>
                    </a:prstGeom>
                    <a:noFill/>
                  </pic:spPr>
                </pic:pic>
              </a:graphicData>
            </a:graphic>
          </wp:anchor>
        </w:drawing>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otherwise defined herein; provided, that to the extent that the UCC is used to define any term herein and such term is defined differently in different Articles of the UCC, the definition of such term contained in Article 9 of the UCC shall govern.</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Construction. Unless the context of this Agreement or any other Loan Document clearly requires otherwise, references to the plural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471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jc w:val="both"/>
        <w:spacing w:after="0" w:line="257" w:lineRule="auto"/>
        <w:rPr>
          <w:sz w:val="20"/>
          <w:szCs w:val="20"/>
          <w:color w:val="auto"/>
        </w:rPr>
      </w:pPr>
      <w:r>
        <w:rPr>
          <w:rFonts w:ascii="Arial" w:cs="Arial" w:eastAsia="Arial" w:hAnsi="Arial"/>
          <w:sz w:val="17"/>
          <w:szCs w:val="17"/>
          <w:color w:val="auto"/>
        </w:rPr>
        <w:t>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expenses that have accrued and are unpaid regardless of whether demand has been made therefor, (iii) all fees or charges that have accrued hereunder or under any other Loan Document and are unpaid, (b) the receipt by Lender of cash collateral in order to secure any contingent Obligations for which a claim or demand for payment has been made on or prior to such time or in respect of matters or circumstances known to Lender at such time that are reasonably expected to result in any loss, cost, damage, or expense (including attorneys’ fees and legal expenses), such cash collateral to be in such amount as Lender reasonably determines is appropriate to secure such contingent Obligations, (c) the payment or repayment in full in immediately available funds of all other outstanding Obligations other than unasserted contingent indemnification Obligations, and (d) the termination of all of the commitments of Lender. Any reference herein to any Person shall be construed to include such Person’s successors and assigns. Any requirement of a writing contained herein or in any other Loan Document shall be satisfied by the transmission of information that is inscribed on a tangible medium or that is stored in an electronic or other medium and is retrievable in perceivable form.</w:t>
      </w:r>
    </w:p>
    <w:p>
      <w:pPr>
        <w:spacing w:after="0" w:line="17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Time References. Unless the context of this Agreement or any other Loan Document clearly requires otherwise, all references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2299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of day refer to Eastern standard time or Eastern daylight saving time, as in effect in the State of New York on such day. For purposes of the computation of a period of time from a specified date to a later specified date, the word “from” means “from and including” and the words “to” and “until” each means “to and including”; provided that, with respect to a computation of fees or interest payable to Lender, such period shall in any event consist of at least one full day.</w:t>
      </w:r>
    </w:p>
    <w:p>
      <w:pPr>
        <w:spacing w:after="0" w:line="187" w:lineRule="exact"/>
        <w:rPr>
          <w:sz w:val="20"/>
          <w:szCs w:val="20"/>
          <w:color w:val="auto"/>
        </w:rPr>
      </w:pPr>
    </w:p>
    <w:p>
      <w:pPr>
        <w:ind w:left="760"/>
        <w:spacing w:after="0"/>
        <w:tabs>
          <w:tab w:leader="none" w:pos="1460" w:val="left"/>
          <w:tab w:leader="none" w:pos="3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Schedules and Exhibits .</w:t>
      </w:r>
      <w:r>
        <w:rPr>
          <w:sz w:val="20"/>
          <w:szCs w:val="20"/>
          <w:color w:val="auto"/>
        </w:rPr>
        <w:tab/>
      </w:r>
      <w:r>
        <w:rPr>
          <w:rFonts w:ascii="Arial" w:cs="Arial" w:eastAsia="Arial" w:hAnsi="Arial"/>
          <w:sz w:val="17"/>
          <w:szCs w:val="17"/>
          <w:color w:val="auto"/>
        </w:rPr>
        <w:t>All of the schedules and exhibits attached to this Agreement shall be deemed incorporated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5919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reference.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LOANS</w:t>
      </w:r>
    </w:p>
    <w:p>
      <w:pPr>
        <w:spacing w:after="0" w:line="21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Credit Facility –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7957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1795780" cy="8890"/>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57" w:lineRule="auto"/>
        <w:tabs>
          <w:tab w:leader="none" w:pos="1857"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Lender hereby establishes for the benefit of Borrower a credit facility (“</w:t>
      </w:r>
      <w:r>
        <w:rPr>
          <w:rFonts w:ascii="Arial" w:cs="Arial" w:eastAsia="Arial" w:hAnsi="Arial"/>
          <w:sz w:val="17"/>
          <w:szCs w:val="17"/>
          <w:u w:val="single" w:color="auto"/>
          <w:color w:val="auto"/>
        </w:rPr>
        <w:t>Credit Facility</w:t>
      </w:r>
      <w:r>
        <w:rPr>
          <w:rFonts w:ascii="Arial" w:cs="Arial" w:eastAsia="Arial" w:hAnsi="Arial"/>
          <w:sz w:val="17"/>
          <w:szCs w:val="17"/>
          <w:color w:val="auto"/>
        </w:rPr>
        <w:t>”) which shall include Advances which may be extended by Lender to or for the benefit of Borrower from time to time hereunder in the form of revolving loans (“</w:t>
      </w:r>
      <w:r>
        <w:rPr>
          <w:rFonts w:ascii="Arial" w:cs="Arial" w:eastAsia="Arial" w:hAnsi="Arial"/>
          <w:sz w:val="17"/>
          <w:szCs w:val="17"/>
          <w:u w:val="single" w:color="auto"/>
          <w:color w:val="auto"/>
        </w:rPr>
        <w:t>Revolving Loans</w:t>
      </w:r>
      <w:r>
        <w:rPr>
          <w:rFonts w:ascii="Arial" w:cs="Arial" w:eastAsia="Arial" w:hAnsi="Arial"/>
          <w:sz w:val="17"/>
          <w:szCs w:val="17"/>
          <w:color w:val="auto"/>
        </w:rPr>
        <w:t>”) consisting of a line of credit facility which shall be made available to Borrower after the Closing Date in an aggregate principal amount equal to the Initial Loan Commitment provided Borrower provides Lender not less than thirty (30) days’ prior written notice requesting the initial Advance hereunder (such date of the initial Advance hereunder being referred to as the “</w:t>
      </w:r>
      <w:r>
        <w:rPr>
          <w:rFonts w:ascii="Arial" w:cs="Arial" w:eastAsia="Arial" w:hAnsi="Arial"/>
          <w:sz w:val="17"/>
          <w:szCs w:val="17"/>
          <w:u w:val="single" w:color="auto"/>
          <w:color w:val="auto"/>
        </w:rPr>
        <w:t>Initial Revolving Loan Advance Date</w:t>
      </w:r>
      <w:r>
        <w:rPr>
          <w:rFonts w:ascii="Arial" w:cs="Arial" w:eastAsia="Arial" w:hAnsi="Arial"/>
          <w:sz w:val="17"/>
          <w:szCs w:val="17"/>
          <w:color w:val="auto"/>
        </w:rPr>
        <w:t>”). After the Closing Date, so long as no Default or Event of Default exists and subject to the terms of this Agreement and with the prior written consent of Lender in its sole discretion, the Revolving Loan Commitment shall be increased upon the written request of Borrower (which such request shall be made at least ten (10) Business Days prior to the proposed effective date of such Additional Tranche) to Lender to activate the Additional Tranche. The aggregate outstanding amount of all Advances shall not, at any time, exceed the Revolving Loan Commitment; and the aggregate outstanding amount of all Revolving Loans shall not, at any time, exceed the Borrowing Base. In no event shall the initial principal amount of any Revolving Loan be less than $25,000.00. Subject to such limitation, the outstanding balance of all Revolving Loans may fluctuate from time to time, to be reduced by repayments made by Borrower, to be increased by future Revolving Loans which may be made by Lender. If the aggregate outstanding amount of all Revolving Loans exceeds the Borrowing Base, or if the aggregate outstanding amount of all Advances (whether in the form of Revolving Loans or otherwise), exceeds the Revolving Loan Commitment, Borrower shall immediately repay such excess in full pursuant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jc w:val="both"/>
        <w:spacing w:after="0" w:line="245"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hereof. Lender has the right at any time, and from time to time, to set aside reserves against the Borrowing Base in such amounts as it may deem appropriate in Lender’s Permitted Discretion. To the extent there is more than one Borrower hereunder, the Obligations of such Borrower under the Credit Facility and this Agreement are joint and several and shall at all times be absolute and unconditional. Notwithstanding anything to the contrary herein or in any Loan Document, in no event shall the aggregate principal amount of Revolving Loans and Term Loans outstanding exceed (and Lender shall not be obligated to make any Advances of Revolving Loans if the making of such Advance would cause the aggregate principal amount of Revolving Loans and Term Loans outstanding to exceed) (x) prior to satisfaction of the Initial Upsize Conditions, Two Hundred Million Dollars ($200,000,000.00) and (y) upon satisfaction of the Initial Upsize Conditions but prior to the satisfaction of the Second Upsize Condition, Two Hundred Fifty Million Dollars ($250,000,000.00).</w:t>
      </w:r>
    </w:p>
    <w:p>
      <w:pPr>
        <w:spacing w:after="0" w:line="186" w:lineRule="exact"/>
        <w:rPr>
          <w:sz w:val="20"/>
          <w:szCs w:val="20"/>
          <w:color w:val="auto"/>
        </w:rPr>
      </w:pPr>
    </w:p>
    <w:p>
      <w:pPr>
        <w:jc w:val="both"/>
        <w:ind w:firstLine="1505"/>
        <w:spacing w:after="0" w:line="261" w:lineRule="auto"/>
        <w:tabs>
          <w:tab w:leader="none" w:pos="1857"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Closing, Borrower shall execute and deliver a promissory note to Lender in the principal amount of the Revolving Loan Commitment (as may be amended, modified or replaced from time to time, the “</w:t>
      </w:r>
      <w:r>
        <w:rPr>
          <w:rFonts w:ascii="Arial" w:cs="Arial" w:eastAsia="Arial" w:hAnsi="Arial"/>
          <w:sz w:val="17"/>
          <w:szCs w:val="17"/>
          <w:u w:val="single" w:color="auto"/>
          <w:color w:val="auto"/>
        </w:rPr>
        <w:t>Revolving Note</w:t>
      </w:r>
      <w:r>
        <w:rPr>
          <w:rFonts w:ascii="Arial" w:cs="Arial" w:eastAsia="Arial" w:hAnsi="Arial"/>
          <w:sz w:val="17"/>
          <w:szCs w:val="17"/>
          <w:color w:val="auto"/>
        </w:rPr>
        <w:t xml:space="preserve">”). Upon activation of the Additional Tranche in accordance with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hereof, Borrower shall deliver to Lender an amended and restated Revolving Note evidencing the Revolving Loan Commitment. The Revolving Note shall evidence Borrower’s joint and several, absolute and unconditional obligation to repay Lender for all Revolving Loans made by Lender under the Credit Facility, with interest as herein and therein provided. Each and every Revolving Loan under the Credit Facility shall be deemed evidenced by the Revolving Note, which is deemed incorporated herein by reference and made a part hereof. The Revolving Note shall be substantially in the form set forth in </w:t>
      </w:r>
      <w:r>
        <w:rPr>
          <w:rFonts w:ascii="Arial" w:cs="Arial" w:eastAsia="Arial" w:hAnsi="Arial"/>
          <w:sz w:val="17"/>
          <w:szCs w:val="17"/>
          <w:u w:val="single" w:color="auto"/>
          <w:color w:val="auto"/>
        </w:rPr>
        <w:t>Exhibit 2.01(b)</w:t>
      </w:r>
      <w:r>
        <w:rPr>
          <w:rFonts w:ascii="Arial" w:cs="Arial" w:eastAsia="Arial" w:hAnsi="Arial"/>
          <w:sz w:val="17"/>
          <w:szCs w:val="17"/>
          <w:color w:val="auto"/>
        </w:rPr>
        <w:t xml:space="preserve"> attached hereto and made a part hereof.</w:t>
      </w:r>
    </w:p>
    <w:p>
      <w:pPr>
        <w:spacing w:after="0" w:line="172" w:lineRule="exact"/>
        <w:rPr>
          <w:rFonts w:ascii="Arial" w:cs="Arial" w:eastAsia="Arial" w:hAnsi="Arial"/>
          <w:sz w:val="17"/>
          <w:szCs w:val="17"/>
          <w:color w:val="auto"/>
        </w:rPr>
      </w:pPr>
    </w:p>
    <w:p>
      <w:pPr>
        <w:ind w:left="1860" w:hanging="355"/>
        <w:spacing w:after="0"/>
        <w:tabs>
          <w:tab w:leader="none" w:pos="1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1"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initial term of the Credit Facility (the “</w:t>
      </w:r>
      <w:r>
        <w:rPr>
          <w:rFonts w:ascii="Arial" w:cs="Arial" w:eastAsia="Arial" w:hAnsi="Arial"/>
          <w:sz w:val="18"/>
          <w:szCs w:val="18"/>
          <w:u w:val="single" w:color="auto"/>
          <w:color w:val="auto"/>
        </w:rPr>
        <w:t>Initial Term</w:t>
      </w:r>
      <w:r>
        <w:rPr>
          <w:rFonts w:ascii="Arial" w:cs="Arial" w:eastAsia="Arial" w:hAnsi="Arial"/>
          <w:sz w:val="18"/>
          <w:szCs w:val="18"/>
          <w:color w:val="auto"/>
        </w:rPr>
        <w:t>”) shall expire on November 1, 2027. All Revolving Loans shall be repaid on or before the earlier of the last day of the Initial Term or upon termination of the Credit Facility or termination of this Agreement (the “</w:t>
      </w:r>
      <w:r>
        <w:rPr>
          <w:rFonts w:ascii="Arial" w:cs="Arial" w:eastAsia="Arial" w:hAnsi="Arial"/>
          <w:sz w:val="18"/>
          <w:szCs w:val="18"/>
          <w:u w:val="single" w:color="auto"/>
          <w:color w:val="auto"/>
        </w:rPr>
        <w:t>Maturity Date</w:t>
      </w:r>
      <w:r>
        <w:rPr>
          <w:rFonts w:ascii="Arial" w:cs="Arial" w:eastAsia="Arial" w:hAnsi="Arial"/>
          <w:sz w:val="18"/>
          <w:szCs w:val="18"/>
          <w:color w:val="auto"/>
        </w:rPr>
        <w:t>”). After the Maturity Date no further Revolving Loans shall be available from Lender.</w:t>
      </w:r>
    </w:p>
    <w:p>
      <w:pPr>
        <w:spacing w:after="0" w:line="174" w:lineRule="exact"/>
        <w:rPr>
          <w:rFonts w:ascii="Arial" w:cs="Arial" w:eastAsia="Arial" w:hAnsi="Arial"/>
          <w:sz w:val="18"/>
          <w:szCs w:val="18"/>
          <w:color w:val="auto"/>
        </w:rPr>
      </w:pPr>
    </w:p>
    <w:p>
      <w:pPr>
        <w:ind w:right="20" w:firstLine="1505"/>
        <w:spacing w:after="0" w:line="277" w:lineRule="auto"/>
        <w:tabs>
          <w:tab w:leader="none" w:pos="18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Lender may adjust the Advance Rate in order to reflect, in Lender’s Permitted Discretion, the experience with Borrower or the aggregate amount or percentage of the Collections with respect to the Accounts and the Inventory.</w:t>
      </w:r>
    </w:p>
    <w:p>
      <w:pPr>
        <w:spacing w:after="0" w:line="157"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color w:val="auto"/>
        </w:rPr>
        <w:t>Funding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4027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192" w:lineRule="exact"/>
        <w:rPr>
          <w:sz w:val="20"/>
          <w:szCs w:val="20"/>
          <w:color w:val="auto"/>
        </w:rPr>
      </w:pPr>
    </w:p>
    <w:p>
      <w:pPr>
        <w:jc w:val="both"/>
        <w:ind w:firstLine="1505"/>
        <w:spacing w:after="0" w:line="273" w:lineRule="auto"/>
        <w:tabs>
          <w:tab w:leader="none" w:pos="1857"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and so long as no Default or Event of Default has occurred hereunder, on and after the Initial Revolving Loan Advance Date, Lender will make Revolving Loans to Borrower. Lender shall provide Borrower with a report regarding the Borrowing Base then in effect (a “</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(i) prior to the Initial Revolving Loan Advance Date, on a specified Business Day of each month and (ii) on and after the Initial Revolving Loan Advance Date, on a specified Business Day of each week (such weekly or monthly day to be mutually agreeable to Borrower and Lender (each such date shall be referred to herein as the “</w:t>
      </w:r>
      <w:r>
        <w:rPr>
          <w:rFonts w:ascii="Arial" w:cs="Arial" w:eastAsia="Arial" w:hAnsi="Arial"/>
          <w:sz w:val="16"/>
          <w:szCs w:val="16"/>
          <w:u w:val="single" w:color="auto"/>
          <w:color w:val="auto"/>
        </w:rPr>
        <w:t>Settlement Date</w:t>
      </w:r>
      <w:r>
        <w:rPr>
          <w:rFonts w:ascii="Arial" w:cs="Arial" w:eastAsia="Arial" w:hAnsi="Arial"/>
          <w:sz w:val="16"/>
          <w:szCs w:val="16"/>
          <w:color w:val="auto"/>
        </w:rPr>
        <w:t>,” whether or not Borrower has requested a Revolving Loan to be made on such date)). Prior to the Initial Revolving Loan Advance Date, Borrower Representative shall cause the Borrowing Base Certificate received from Lender on the monthly Settlement Date to be executed by a duly Authorized Officer or the Designated Signatory and shall return such duly executed Borrowing Base Certificate to Lender within five (5) Business Days of such monthly Settlement Date. If Borrower does not request a Revolving Loan on any weekly Settlement Date, Borrower Representative shall cause the Borrowing Base Certificate to be executed by a duly Authorized Officer or the Designated Signatory and return such duly executed Borrowing Base Certificate to Lender within one (1) Business Day. Borrower may request a Revolving Loan on any Settlement Date or any other day of the week (such day on which a Revolving Loan is requested to be made is referred to herein as the “</w:t>
      </w:r>
      <w:r>
        <w:rPr>
          <w:rFonts w:ascii="Arial" w:cs="Arial" w:eastAsia="Arial" w:hAnsi="Arial"/>
          <w:sz w:val="16"/>
          <w:szCs w:val="16"/>
          <w:u w:val="single" w:color="auto"/>
          <w:color w:val="auto"/>
        </w:rPr>
        <w:t>Funding Date</w:t>
      </w:r>
      <w:r>
        <w:rPr>
          <w:rFonts w:ascii="Arial" w:cs="Arial" w:eastAsia="Arial" w:hAnsi="Arial"/>
          <w:sz w:val="16"/>
          <w:szCs w:val="16"/>
          <w:color w:val="auto"/>
        </w:rPr>
        <w:t xml:space="preserve">”). Upon request by Borrower of a Revolving Loan on any Funding Date, which such request shall be received by Lender no later than 12:00 P.M. on such Funding Date, Lender shall prepare a Borrowing Base Certificate and a written request for such Revolving Loan substantially in the form of </w:t>
      </w:r>
      <w:r>
        <w:rPr>
          <w:rFonts w:ascii="Arial" w:cs="Arial" w:eastAsia="Arial" w:hAnsi="Arial"/>
          <w:sz w:val="16"/>
          <w:szCs w:val="16"/>
          <w:u w:val="single" w:color="auto"/>
          <w:color w:val="auto"/>
        </w:rPr>
        <w:t>Exhibit 2.02(a)</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Loan Request</w:t>
      </w:r>
      <w:r>
        <w:rPr>
          <w:rFonts w:ascii="Arial" w:cs="Arial" w:eastAsia="Arial" w:hAnsi="Arial"/>
          <w:sz w:val="16"/>
          <w:szCs w:val="16"/>
          <w:color w:val="auto"/>
        </w:rPr>
        <w:t>”) and forward such Loan Request to Borrower Representative or the Designated Signatory for execution. Subject to the terms and conditions of this Agreement, if the executed Borrowing Base Certificate and Loan Request are received by Lender before 4:00 P.M. on any Funding Date, Lender will advance on such Funding Date (or the next Business Day if the executed Borrowing Base Certificate and Loan Request are received by Lender after 4:00 P.M.) to Borrower a Revolving Loan in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2" w:name="page103"/>
    <w:bookmarkEnd w:id="102"/>
    <w:p>
      <w:pPr>
        <w:jc w:val="both"/>
        <w:spacing w:after="0" w:line="249" w:lineRule="auto"/>
        <w:rPr>
          <w:sz w:val="20"/>
          <w:szCs w:val="20"/>
          <w:color w:val="auto"/>
        </w:rPr>
      </w:pPr>
      <w:r>
        <w:rPr>
          <w:rFonts w:ascii="Arial" w:cs="Arial" w:eastAsia="Arial" w:hAnsi="Arial"/>
          <w:sz w:val="18"/>
          <w:szCs w:val="18"/>
          <w:color w:val="auto"/>
        </w:rPr>
        <w:t>amount equal to the lesser of (i) the amount of the Revolving Loan requested by Borrower in the Loan Request, or (ii) the Borrowing Base Excess as of such date. Any Advances made by Lender hereunder shall be treated for all purposes as, and shall accrue interest at the same rate applicable to, Revolving Loans. In the event that the Loan Request does not comply with the foregoing requirements within the timing parameters set forth above, Lender is under no obligation to provide the requested Advance.</w:t>
      </w:r>
    </w:p>
    <w:p>
      <w:pPr>
        <w:spacing w:after="0" w:line="194" w:lineRule="exact"/>
        <w:rPr>
          <w:sz w:val="20"/>
          <w:szCs w:val="20"/>
          <w:color w:val="auto"/>
        </w:rPr>
      </w:pPr>
    </w:p>
    <w:p>
      <w:pPr>
        <w:jc w:val="both"/>
        <w:ind w:firstLine="1505"/>
        <w:spacing w:after="0" w:line="248" w:lineRule="auto"/>
        <w:tabs>
          <w:tab w:leader="none" w:pos="18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Borrowing Base Certificate and the Loan Request may be delivered via facsimile or digitally scanned and delivered by internet electronic mail, and Borrower acknowledges that Lender may rely on Borrower’s signature by facsimile or by scanned image, which shall be legally binding upon Borrower.</w:t>
      </w:r>
    </w:p>
    <w:p>
      <w:pPr>
        <w:spacing w:after="0" w:line="195" w:lineRule="exact"/>
        <w:rPr>
          <w:rFonts w:ascii="Arial" w:cs="Arial" w:eastAsia="Arial" w:hAnsi="Arial"/>
          <w:sz w:val="18"/>
          <w:szCs w:val="18"/>
          <w:color w:val="auto"/>
        </w:rPr>
      </w:pPr>
    </w:p>
    <w:p>
      <w:pPr>
        <w:jc w:val="both"/>
        <w:ind w:firstLine="1505"/>
        <w:spacing w:after="0" w:line="248" w:lineRule="auto"/>
        <w:tabs>
          <w:tab w:leader="none" w:pos="18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or not Borrower has requested a Revolving Loan to be made on such date, Lender may at any time charge against the Borrowing Base an amount equal to all fees, Expenses, principal, interest or other amounts as and when due and payable to Lender hereunder, and such charge shall be deemed to be a Revolving Loan and an Advance hereunder.</w:t>
      </w:r>
    </w:p>
    <w:p>
      <w:pPr>
        <w:spacing w:after="0" w:line="181" w:lineRule="exact"/>
        <w:rPr>
          <w:rFonts w:ascii="Arial" w:cs="Arial" w:eastAsia="Arial" w:hAnsi="Arial"/>
          <w:sz w:val="18"/>
          <w:szCs w:val="18"/>
          <w:color w:val="auto"/>
        </w:rPr>
      </w:pPr>
    </w:p>
    <w:p>
      <w:pPr>
        <w:ind w:left="1860" w:hanging="355"/>
        <w:spacing w:after="0"/>
        <w:tabs>
          <w:tab w:leader="none" w:pos="18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Monthly Accounts Detail File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3003"/>
        <w:spacing w:after="0" w:line="261" w:lineRule="auto"/>
        <w:tabs>
          <w:tab w:leader="none" w:pos="3355"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Not later than 5:00 P.M. on the tenth (10th) day after the preceding month-end (the “ </w:t>
      </w:r>
      <w:r>
        <w:rPr>
          <w:rFonts w:ascii="Arial" w:cs="Arial" w:eastAsia="Arial" w:hAnsi="Arial"/>
          <w:sz w:val="17"/>
          <w:szCs w:val="17"/>
          <w:u w:val="single" w:color="auto"/>
          <w:color w:val="auto"/>
        </w:rPr>
        <w:t>Download Date</w:t>
      </w:r>
      <w:r>
        <w:rPr>
          <w:rFonts w:ascii="Arial" w:cs="Arial" w:eastAsia="Arial" w:hAnsi="Arial"/>
          <w:sz w:val="17"/>
          <w:szCs w:val="17"/>
          <w:color w:val="auto"/>
        </w:rPr>
        <w:t>”), Borrower will deliver to Lender a system-generated month end data file associated with the Accounts and Inventory, which shall include, without limitation, the information required by Lender to enable Lender to process and value the outstanding Accounts and Inventory of Borrower, as well as bill and collect such Accounts following an Event of Default (“</w:t>
      </w:r>
      <w:r>
        <w:rPr>
          <w:rFonts w:ascii="Arial" w:cs="Arial" w:eastAsia="Arial" w:hAnsi="Arial"/>
          <w:sz w:val="17"/>
          <w:szCs w:val="17"/>
          <w:u w:val="single" w:color="auto"/>
          <w:color w:val="auto"/>
        </w:rPr>
        <w:t>Accounts Detail File</w:t>
      </w:r>
      <w:r>
        <w:rPr>
          <w:rFonts w:ascii="Arial" w:cs="Arial" w:eastAsia="Arial" w:hAnsi="Arial"/>
          <w:sz w:val="17"/>
          <w:szCs w:val="17"/>
          <w:color w:val="auto"/>
        </w:rPr>
        <w:t xml:space="preserve">”). Upon completion of the processing of the data with respect to such Accounts and such Inventory, Lender or its agent will prepare and deliver to Borrower Representative a Borrowing Base Certificate by no later than 12:00 P.M. on the next Settlement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the Accounts Detail File is received less than one (1) Business Day prior to the Settlement Date, the Borrowing Base will not be updated until the next Settlement Date.</w:t>
      </w:r>
    </w:p>
    <w:p>
      <w:pPr>
        <w:spacing w:after="0" w:line="172" w:lineRule="exact"/>
        <w:rPr>
          <w:rFonts w:ascii="Arial" w:cs="Arial" w:eastAsia="Arial" w:hAnsi="Arial"/>
          <w:sz w:val="17"/>
          <w:szCs w:val="17"/>
          <w:color w:val="auto"/>
        </w:rPr>
      </w:pPr>
    </w:p>
    <w:p>
      <w:pPr>
        <w:jc w:val="both"/>
        <w:ind w:firstLine="3003"/>
        <w:spacing w:after="0" w:line="245" w:lineRule="auto"/>
        <w:tabs>
          <w:tab w:leader="none" w:pos="33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later than 5:00 P.M. (Eastern time) on the tenth (10th) day after the preceding month end, Borrower will deliver to Lender, (A) a system-generated billed claim file (the “</w:t>
      </w:r>
      <w:r>
        <w:rPr>
          <w:rFonts w:ascii="Arial" w:cs="Arial" w:eastAsia="Arial" w:hAnsi="Arial"/>
          <w:sz w:val="18"/>
          <w:szCs w:val="18"/>
          <w:u w:val="single" w:color="auto"/>
          <w:color w:val="auto"/>
        </w:rPr>
        <w:t>Billed Claim File</w:t>
      </w:r>
      <w:r>
        <w:rPr>
          <w:rFonts w:ascii="Arial" w:cs="Arial" w:eastAsia="Arial" w:hAnsi="Arial"/>
          <w:sz w:val="18"/>
          <w:szCs w:val="18"/>
          <w:color w:val="auto"/>
        </w:rPr>
        <w:t>”), reflecting all billed claims for a rolling six-month period (or such other timeframe as reasonably specified by Lender) with such rolling six-month period beginning ten months prior to the most recent month end; and (B) a system-generated transaction file, reflecting all transactional activity on the billed claims reflected in the Billed Claim File for the most recent trailing ten month period (or such other timeframe as reasonably specified by Lender).</w:t>
      </w:r>
    </w:p>
    <w:p>
      <w:pPr>
        <w:spacing w:after="0" w:line="199" w:lineRule="exact"/>
        <w:rPr>
          <w:rFonts w:ascii="Arial" w:cs="Arial" w:eastAsia="Arial" w:hAnsi="Arial"/>
          <w:sz w:val="18"/>
          <w:szCs w:val="18"/>
          <w:color w:val="auto"/>
        </w:rPr>
      </w:pPr>
    </w:p>
    <w:p>
      <w:pPr>
        <w:ind w:right="40" w:firstLine="3003"/>
        <w:spacing w:after="0" w:line="261" w:lineRule="auto"/>
        <w:tabs>
          <w:tab w:leader="none" w:pos="33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later than 5:00 P.M. ten (10) days after the preceding month end Borrower will deliver to Lender a system-generated monthly cash posting file for such preceding month.</w:t>
      </w:r>
    </w:p>
    <w:p>
      <w:pPr>
        <w:spacing w:after="0" w:line="170" w:lineRule="exact"/>
        <w:rPr>
          <w:rFonts w:ascii="Arial" w:cs="Arial" w:eastAsia="Arial" w:hAnsi="Arial"/>
          <w:sz w:val="18"/>
          <w:szCs w:val="18"/>
          <w:color w:val="auto"/>
        </w:rPr>
      </w:pPr>
    </w:p>
    <w:p>
      <w:pPr>
        <w:ind w:right="20" w:firstLine="1505"/>
        <w:spacing w:after="0" w:line="324" w:lineRule="auto"/>
        <w:tabs>
          <w:tab w:leader="none" w:pos="1857" w:val="left"/>
        </w:tabs>
        <w:numPr>
          <w:ilvl w:val="0"/>
          <w:numId w:val="70"/>
        </w:numPr>
        <w:rPr>
          <w:rFonts w:ascii="Arial" w:cs="Arial" w:eastAsia="Arial" w:hAnsi="Arial"/>
          <w:sz w:val="16"/>
          <w:szCs w:val="16"/>
          <w:color w:val="auto"/>
        </w:rPr>
      </w:pPr>
      <w:r>
        <w:rPr>
          <w:rFonts w:ascii="Arial" w:cs="Arial" w:eastAsia="Arial" w:hAnsi="Arial"/>
          <w:sz w:val="16"/>
          <w:szCs w:val="16"/>
          <w:color w:val="auto"/>
        </w:rPr>
        <w:t>Lender’s determination of the Estimated Net Value of the Eligible Accounts and other amounts to be determined or calculated under this Agreement shall, in the absence of manifest error and so long as exercised in its Permitted Discretion, be binding and conclusive.</w:t>
      </w:r>
    </w:p>
    <w:p>
      <w:pPr>
        <w:spacing w:after="0" w:line="138"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5"/>
          <w:szCs w:val="15"/>
          <w:color w:val="auto"/>
        </w:rPr>
        <w:t>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2598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92" w:lineRule="exact"/>
        <w:rPr>
          <w:sz w:val="20"/>
          <w:szCs w:val="20"/>
          <w:color w:val="auto"/>
        </w:rPr>
      </w:pPr>
    </w:p>
    <w:p>
      <w:pPr>
        <w:jc w:val="both"/>
        <w:ind w:firstLine="1505"/>
        <w:spacing w:after="0" w:line="246" w:lineRule="auto"/>
        <w:tabs>
          <w:tab w:leader="none" w:pos="18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Revolving Loan shall bear interest on the outstanding principal amount thereof from the date made until such Revolving Loan is paid in full, at a floating rate per annum equal to the Term SOFR plus the Applicable Rate (together, the “</w:t>
      </w:r>
      <w:r>
        <w:rPr>
          <w:rFonts w:ascii="Arial" w:cs="Arial" w:eastAsia="Arial" w:hAnsi="Arial"/>
          <w:sz w:val="18"/>
          <w:szCs w:val="18"/>
          <w:u w:val="single" w:color="auto"/>
          <w:color w:val="auto"/>
        </w:rPr>
        <w:t>Interest Rate</w:t>
      </w:r>
      <w:r>
        <w:rPr>
          <w:rFonts w:ascii="Arial" w:cs="Arial" w:eastAsia="Arial" w:hAnsi="Arial"/>
          <w:sz w:val="18"/>
          <w:szCs w:val="18"/>
          <w:color w:val="auto"/>
        </w:rPr>
        <w:t>”). In connection with the use or administration of Term SOFR, the Lender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Lender will promptly notify Borrower of the effectiveness of any Conforming Changes in connection with the use or administration of Term SOFR.</w:t>
      </w:r>
    </w:p>
    <w:p>
      <w:pPr>
        <w:sectPr>
          <w:pgSz w:w="11900" w:h="16838" w:orient="portrait"/>
          <w:cols w:equalWidth="0" w:num="1">
            <w:col w:w="11240"/>
          </w:cols>
          <w:pgMar w:left="320" w:top="328" w:right="339" w:bottom="1440" w:gutter="0" w:footer="0" w:header="0"/>
        </w:sectPr>
      </w:pP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shall be the Default Rate.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hanging="55"/>
        <w:spacing w:after="0" w:line="261" w:lineRule="auto"/>
        <w:rPr>
          <w:sz w:val="20"/>
          <w:szCs w:val="20"/>
          <w:color w:val="auto"/>
        </w:rPr>
      </w:pPr>
      <w:r>
        <w:rPr>
          <w:rFonts w:ascii="Arial" w:cs="Arial" w:eastAsia="Arial" w:hAnsi="Arial"/>
          <w:sz w:val="18"/>
          <w:szCs w:val="18"/>
          <w:color w:val="auto"/>
        </w:rPr>
        <w:t>If any Event of Default shall occur and be continuing, the rate of interest applicable to each Revolving Loan then outstanding The Default Rate shall apply from the date of the Event</w:t>
      </w:r>
    </w:p>
    <w:p>
      <w:pPr>
        <w:spacing w:after="0" w:line="177" w:lineRule="exact"/>
        <w:rPr>
          <w:sz w:val="20"/>
          <w:szCs w:val="20"/>
          <w:color w:val="auto"/>
        </w:rPr>
      </w:pPr>
    </w:p>
    <w:p>
      <w:pPr>
        <w:sectPr>
          <w:pgSz w:w="11900" w:h="16838" w:orient="portrait"/>
          <w:cols w:equalWidth="0" w:num="2">
            <w:col w:w="1840" w:space="80"/>
            <w:col w:w="9320"/>
          </w:cols>
          <w:pgMar w:left="320" w:top="328"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of Default until the date such Event of Default is cured or waived, and interest accruing at the Default Rate shall be payable upon demand.</w:t>
      </w:r>
    </w:p>
    <w:p>
      <w:pPr>
        <w:spacing w:after="0" w:line="225" w:lineRule="exact"/>
        <w:rPr>
          <w:sz w:val="20"/>
          <w:szCs w:val="20"/>
          <w:color w:val="auto"/>
        </w:rPr>
      </w:pPr>
    </w:p>
    <w:p>
      <w:pPr>
        <w:jc w:val="both"/>
        <w:ind w:firstLine="1505"/>
        <w:spacing w:after="0" w:line="259" w:lineRule="auto"/>
        <w:tabs>
          <w:tab w:leader="none" w:pos="1857" w:val="left"/>
        </w:tabs>
        <w:numPr>
          <w:ilvl w:val="0"/>
          <w:numId w:val="72"/>
        </w:numPr>
        <w:rPr>
          <w:rFonts w:ascii="Arial" w:cs="Arial" w:eastAsia="Arial" w:hAnsi="Arial"/>
          <w:sz w:val="17"/>
          <w:szCs w:val="17"/>
          <w:color w:val="auto"/>
        </w:rPr>
      </w:pPr>
      <w:r>
        <w:rPr>
          <w:rFonts w:ascii="Arial" w:cs="Arial" w:eastAsia="Arial" w:hAnsi="Arial"/>
          <w:sz w:val="17"/>
          <w:szCs w:val="17"/>
          <w:color w:val="auto"/>
        </w:rPr>
        <w:t>Should the Credit Facility be terminated for any reason prior to the last day of the Initial Term, in addition to repayment of all Obligations then outstanding and termination of Lender’s commitment hereunder, Borrower shall unconditionally be obligated to pay at the time of such termination, a Termination Fee. Borrower acknowledges that the Termination Fee is an estimate of Lender’s damages in the event of early termination and is not a penalty. In the event of termination of the Credit Facility, all of the Obligations shall be immediately due and payable upon the termination date stated in any notice of termination. All undertakings, agreements, covenants, warranties and representations of Borrower contained in the Loan Documents which by their terms specifically survive termination shall survive any such termination, and Lender shall retain its security interests in the Collateral and all of its rights and remedies under the Loan Documents notwithstanding such termination until Borrower has paid the Obligations to Lender, in full, in immediately available funds, together with the applicable Termination Fee, if any.</w:t>
      </w:r>
    </w:p>
    <w:p>
      <w:pPr>
        <w:spacing w:after="0" w:line="175" w:lineRule="exact"/>
        <w:rPr>
          <w:rFonts w:ascii="Arial" w:cs="Arial" w:eastAsia="Arial" w:hAnsi="Arial"/>
          <w:sz w:val="17"/>
          <w:szCs w:val="17"/>
          <w:color w:val="auto"/>
        </w:rPr>
      </w:pPr>
    </w:p>
    <w:p>
      <w:pPr>
        <w:ind w:firstLine="1505"/>
        <w:spacing w:after="0" w:line="261" w:lineRule="auto"/>
        <w:tabs>
          <w:tab w:leader="none" w:pos="18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Borrower shall pay to Lender, when due and payable under the terms of the Fee Letter, the fees set forth in the Fee Letter, which shall be deemed fully earned and non-refundable upon payment.</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Additional Interest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8567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92" w:lineRule="exact"/>
        <w:rPr>
          <w:sz w:val="20"/>
          <w:szCs w:val="20"/>
          <w:color w:val="auto"/>
        </w:rPr>
      </w:pPr>
    </w:p>
    <w:p>
      <w:pPr>
        <w:ind w:firstLine="1505"/>
        <w:spacing w:after="0" w:line="261" w:lineRule="auto"/>
        <w:tabs>
          <w:tab w:leader="none" w:pos="185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Calculation of Interest</w:t>
      </w:r>
      <w:r>
        <w:rPr>
          <w:rFonts w:ascii="Arial" w:cs="Arial" w:eastAsia="Arial" w:hAnsi="Arial"/>
          <w:sz w:val="18"/>
          <w:szCs w:val="18"/>
          <w:color w:val="auto"/>
        </w:rPr>
        <w:t>. Interest on the Revolving Loans shall be based on a year of three hundred sixty (360) days and charged pro rata for the actual number of days elapsed.</w:t>
      </w:r>
    </w:p>
    <w:p>
      <w:pPr>
        <w:spacing w:after="0" w:line="184" w:lineRule="exact"/>
        <w:rPr>
          <w:rFonts w:ascii="Arial" w:cs="Arial" w:eastAsia="Arial" w:hAnsi="Arial"/>
          <w:sz w:val="18"/>
          <w:szCs w:val="18"/>
          <w:color w:val="auto"/>
        </w:rPr>
      </w:pPr>
    </w:p>
    <w:p>
      <w:pPr>
        <w:jc w:val="both"/>
        <w:ind w:firstLine="1505"/>
        <w:spacing w:after="0" w:line="248" w:lineRule="auto"/>
        <w:tabs>
          <w:tab w:leader="none" w:pos="185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Continuation of Interest Charges</w:t>
      </w:r>
      <w:r>
        <w:rPr>
          <w:rFonts w:ascii="Arial" w:cs="Arial" w:eastAsia="Arial" w:hAnsi="Arial"/>
          <w:sz w:val="18"/>
          <w:szCs w:val="18"/>
          <w:color w:val="auto"/>
        </w:rPr>
        <w:t>. All contractual rates of interest chargeable on outstanding Revolving Loans shall continue to accrue and be paid even after default, maturity, acceleration, termination of the Credit Facility, judgment, bankruptcy or insolvency proceedings of any kind or the happening of any event or occurrence similar or dissimilar.</w:t>
      </w:r>
    </w:p>
    <w:p>
      <w:pPr>
        <w:spacing w:after="0" w:line="195" w:lineRule="exact"/>
        <w:rPr>
          <w:rFonts w:ascii="Arial" w:cs="Arial" w:eastAsia="Arial" w:hAnsi="Arial"/>
          <w:sz w:val="18"/>
          <w:szCs w:val="18"/>
          <w:color w:val="auto"/>
        </w:rPr>
      </w:pPr>
    </w:p>
    <w:p>
      <w:pPr>
        <w:jc w:val="both"/>
        <w:ind w:firstLine="1505"/>
        <w:spacing w:after="0" w:line="263" w:lineRule="auto"/>
        <w:tabs>
          <w:tab w:leader="none" w:pos="188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Applicable Interest Limitations</w:t>
      </w:r>
      <w:r>
        <w:rPr>
          <w:rFonts w:ascii="Arial" w:cs="Arial" w:eastAsia="Arial" w:hAnsi="Arial"/>
          <w:sz w:val="17"/>
          <w:szCs w:val="17"/>
          <w:color w:val="auto"/>
        </w:rPr>
        <w:t>. In no contingency or event whatsoever shall the aggregate of all amounts deemed interest hereunder and charged or collected pursuant to the terms of this Agreement exceed the highest rate permissible under any law which a court of competent jurisdiction shall, in a final determination, deem applicable hereto. In the event that such court determines Lender has charged or received interest hereunder in excess of the highest applicable rate, Lender shall, in its sole discretion, apply and set off such excess interest received by Lender against other Obligations due or to become due and such rate shall automatically be reduced to the maximum rate permitted by such law.</w:t>
      </w:r>
    </w:p>
    <w:p>
      <w:pPr>
        <w:spacing w:after="0" w:line="17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296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70" w:lineRule="auto"/>
        <w:tabs>
          <w:tab w:leader="none" w:pos="18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accrued interest on the Revolving Loans shall be due and payable monthly on the first calendar day of each month commencing with the first calendar day of the month immediately following the Initial Revolving Loan Advance Date. Any accrued Unused Line Fees and Collateral Monitoring Fees for each calendar month shall be due and payable monthly on the first calendar day of the following calendar month.</w:t>
      </w:r>
    </w:p>
    <w:p>
      <w:pPr>
        <w:spacing w:after="0" w:line="163" w:lineRule="exact"/>
        <w:rPr>
          <w:rFonts w:ascii="Arial" w:cs="Arial" w:eastAsia="Arial" w:hAnsi="Arial"/>
          <w:sz w:val="17"/>
          <w:szCs w:val="17"/>
          <w:color w:val="auto"/>
        </w:rPr>
      </w:pPr>
    </w:p>
    <w:p>
      <w:pPr>
        <w:jc w:val="both"/>
        <w:ind w:firstLine="1505"/>
        <w:spacing w:after="0" w:line="256" w:lineRule="auto"/>
        <w:tabs>
          <w:tab w:leader="none" w:pos="18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at any time the aggregate principal amount of all Revolving Loans outstanding exceeds the Borrowing Base then in effect, or, the aggregate of all Advances exceeds the Revolving Loan Commitment, Borrower shall immediately make such principal prepayments of the Revolving Loans (subject to the terms of Section 2.03(c)) as is necessary to eliminate such excess.</w:t>
      </w:r>
    </w:p>
    <w:p>
      <w:pPr>
        <w:spacing w:after="0" w:line="174" w:lineRule="exact"/>
        <w:rPr>
          <w:rFonts w:ascii="Arial" w:cs="Arial" w:eastAsia="Arial" w:hAnsi="Arial"/>
          <w:sz w:val="18"/>
          <w:szCs w:val="18"/>
          <w:color w:val="auto"/>
        </w:rPr>
      </w:pPr>
    </w:p>
    <w:p>
      <w:pPr>
        <w:ind w:right="40" w:firstLine="1505"/>
        <w:spacing w:after="0" w:line="308" w:lineRule="auto"/>
        <w:tabs>
          <w:tab w:leader="none" w:pos="18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entire principal balance of all of the outstanding Advances, together with all unpaid accrued interest thereon and the Termination Fee, if any, and any unpaid Unused Line Fees and Collateral Monitoring Fees shall be due and payable on the Maturity Date.</w:t>
      </w:r>
    </w:p>
    <w:p>
      <w:pPr>
        <w:spacing w:after="0" w:line="132" w:lineRule="exact"/>
        <w:rPr>
          <w:rFonts w:ascii="Arial" w:cs="Arial" w:eastAsia="Arial" w:hAnsi="Arial"/>
          <w:sz w:val="17"/>
          <w:szCs w:val="17"/>
          <w:color w:val="auto"/>
        </w:rPr>
      </w:pPr>
    </w:p>
    <w:p>
      <w:pPr>
        <w:ind w:left="1860" w:hanging="355"/>
        <w:spacing w:after="0"/>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4" w:name="page105"/>
    <w:bookmarkEnd w:id="104"/>
    <w:p>
      <w:pPr>
        <w:ind w:left="1860" w:hanging="355"/>
        <w:spacing w:after="0"/>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05"/>
        <w:spacing w:after="0" w:line="275" w:lineRule="auto"/>
        <w:tabs>
          <w:tab w:leader="none" w:pos="18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All payments and prepayments shall be applied as set forth in Section 2.07(f) and Section 2.08(b). Except as otherwise provided herein, all payments by (or on behalf of) Borrower hereunder (including principal, interest, fees and any other amount due hereunder) shall be remitted to Lender in immediately available funds not later than 2:00 P.M. on the date specified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any such payments shall be deemed not to have been received by Lender on any day unless immediately available funds have been credited to the Collection Account prior 2:00 P.M. on such day. Any payment received by Lender in immediately available funds in the Collection Account later than 2:00 P.M. shall be deemed to have been received on the following day and any applicable interest, fee or other amount shall continue to accrue until such following day. Whenever any payment is stated as due on a calendar day which is not a Business Day, the maturity of such payment shall be extended to the next succeeding Business Day, and interest and any other amount due hereunder shall continue to accrue during such extension. In addition, and notwithstanding anything to the contrary contained in this Agreement, each Borrower hereby authorizes Lender to charge interest, principal, fees and all other amounts due to Lender hereunder as and when due against the Borrowing Base with respect to any such payments due and payable under the Revolving Loans, and each such charge shall be deemed to be a Revolving Loan and an Advance hereunder, as of the date on which such payment is due.</w:t>
      </w:r>
    </w:p>
    <w:p>
      <w:pPr>
        <w:spacing w:after="0" w:line="165"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Taxes; Increased Costs. Borrower and Lender each hereby agree to the terms and conditions set forth on Annex II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5024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1502410" cy="8255"/>
                    </a:xfrm>
                    <a:prstGeom prst="rect">
                      <a:avLst/>
                    </a:prstGeom>
                    <a:noFill/>
                  </pic:spPr>
                </pic:pic>
              </a:graphicData>
            </a:graphic>
          </wp:anchor>
        </w:drawing>
      </w:r>
    </w:p>
    <w:p>
      <w:pPr>
        <w:spacing w:after="0" w:line="19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color w:val="auto"/>
        </w:rPr>
        <w:t>Lockboxes and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7291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44" w:lineRule="auto"/>
        <w:tabs>
          <w:tab w:leader="none" w:pos="18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the Initial Revolving Loan Advance Date, Borrower will enter into springing Control Agreements in respect of the Commercial Lockbox in such form and with the Lockbox Bank or such other bank as is acceptable to Lender. On and after the Initial Revolving Loan Advance Date, Borrower will enter into Depository Agreements in respect of the Commercial Lockbox in such form and with the Lockbox Bank or such other bank as is acceptable to Lender and shall instruct the Lockbox Bank maintaining the Commercial Lockbox that all Collections sent to the Commercial Lockbox shall be deposited into a bank account at the Lockbox Bank in the name of Lender. Borrower shall also instruct the Lockbox Bank as described further in the Depository Agreements to initiate or accept initiation by Lender of a daily transfer of all available funds to an account of Lender to be designated by Lender (the “</w:t>
      </w:r>
      <w:r>
        <w:rPr>
          <w:rFonts w:ascii="Arial" w:cs="Arial" w:eastAsia="Arial" w:hAnsi="Arial"/>
          <w:sz w:val="18"/>
          <w:szCs w:val="18"/>
          <w:u w:val="single" w:color="auto"/>
          <w:color w:val="auto"/>
        </w:rPr>
        <w:t>Collection Account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505"/>
        <w:spacing w:after="0" w:line="268" w:lineRule="auto"/>
        <w:tabs>
          <w:tab w:leader="none" w:pos="1857"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Borrower will cause all Collections with respect to all of the Accounts to be sent directly to the Commercial Lockbox. In the event that Borrower receives any Collections that should have been sent to the Commercial Lockbox, Borrower will, promptly upon receipt and in any event within one (1) Business Day of receipt, forward such Collections directly to the Commercial Lockbox, in the form received, and if requested by Lender, shall promptly notify Lender of such event. Until so forwarded, such Collections shall be held in trust for the Lender.</w:t>
      </w:r>
    </w:p>
    <w:p>
      <w:pPr>
        <w:spacing w:after="0" w:line="166" w:lineRule="exact"/>
        <w:rPr>
          <w:rFonts w:ascii="Arial" w:cs="Arial" w:eastAsia="Arial" w:hAnsi="Arial"/>
          <w:sz w:val="17"/>
          <w:szCs w:val="17"/>
          <w:color w:val="auto"/>
        </w:rPr>
      </w:pPr>
    </w:p>
    <w:p>
      <w:pPr>
        <w:ind w:right="20" w:firstLine="1505"/>
        <w:spacing w:after="0" w:line="291" w:lineRule="auto"/>
        <w:tabs>
          <w:tab w:leader="none" w:pos="1857"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Borrower shall not withdraw any amounts from the accounts into which the Collections remitted to the Commercial Lockbox are deposited, nor shall Borrower change the procedures under the agreements governing the Commercial Lockbox and related accounts.</w:t>
      </w:r>
    </w:p>
    <w:p>
      <w:pPr>
        <w:spacing w:after="0" w:line="160" w:lineRule="exact"/>
        <w:rPr>
          <w:rFonts w:ascii="Arial" w:cs="Arial" w:eastAsia="Arial" w:hAnsi="Arial"/>
          <w:sz w:val="17"/>
          <w:szCs w:val="17"/>
          <w:color w:val="auto"/>
        </w:rPr>
      </w:pPr>
    </w:p>
    <w:p>
      <w:pPr>
        <w:jc w:val="both"/>
        <w:ind w:firstLine="1505"/>
        <w:spacing w:after="0" w:line="261" w:lineRule="auto"/>
        <w:tabs>
          <w:tab w:leader="none" w:pos="1857"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Borrower will cooperate with Lender in the identification and reconciliation on a monthly basis of all amounts received in the Commercial Lockbox. If more than ten percent (10%) of the Collections since the prior month end is not identified or reconciled to the satisfaction of Lender within ten (10) Business Days of receipt, Lender shall not be obligated to make further Revolving Loans until such unidentified or unreconciled Collections are identified or reconciled to the reasonable satisfaction of Lender, as the case may be. In addition, if any such amount cannot be identified or reconciled to the satisfaction of Lender within the time period specified above, Lender may utilize its own staff or, if it deems necessary, engage an outside auditor, in either case at Borrower’s expense (which, in the case of Lender’s own staff, shall be in accordance with Lender’s then-prevailing customary charges (plus expenses)), to make such examination and report as may be necessary to identify and reconcile such amount.</w:t>
      </w:r>
    </w:p>
    <w:p>
      <w:pPr>
        <w:spacing w:after="0" w:line="172" w:lineRule="exact"/>
        <w:rPr>
          <w:rFonts w:ascii="Arial" w:cs="Arial" w:eastAsia="Arial" w:hAnsi="Arial"/>
          <w:sz w:val="17"/>
          <w:szCs w:val="17"/>
          <w:color w:val="auto"/>
        </w:rPr>
      </w:pPr>
    </w:p>
    <w:p>
      <w:pPr>
        <w:ind w:left="1860" w:hanging="355"/>
        <w:spacing w:after="0"/>
        <w:tabs>
          <w:tab w:leader="none" w:pos="1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Borrower will not send to or deposit in the Commercial Lockbox any funds other than payments made with respect to Accounts.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jc w:val="both"/>
        <w:ind w:firstLine="1505"/>
        <w:spacing w:after="0" w:line="256" w:lineRule="auto"/>
        <w:tabs>
          <w:tab w:leader="none" w:pos="1857"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subject to the provisions of Section 2.05(g), on each Business Day, Lender shall cause all Collections deposited and/or transferred to the Collection Account on the prior Business Day to be disbursed in the following order of priority:</w:t>
      </w:r>
    </w:p>
    <w:p>
      <w:pPr>
        <w:spacing w:after="0" w:line="174" w:lineRule="exact"/>
        <w:rPr>
          <w:rFonts w:ascii="Arial" w:cs="Arial" w:eastAsia="Arial" w:hAnsi="Arial"/>
          <w:sz w:val="18"/>
          <w:szCs w:val="18"/>
          <w:color w:val="auto"/>
        </w:rPr>
      </w:pPr>
    </w:p>
    <w:p>
      <w:pPr>
        <w:ind w:right="40" w:firstLine="3003"/>
        <w:spacing w:after="0" w:line="277" w:lineRule="auto"/>
        <w:tabs>
          <w:tab w:leader="none" w:pos="33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Lender, any costs and Expenses of Lender required to be paid or reimbursed by Borrower under this Agreement or under any of the other Loan Documents;</w:t>
      </w:r>
    </w:p>
    <w:p>
      <w:pPr>
        <w:spacing w:after="0" w:line="156" w:lineRule="exact"/>
        <w:rPr>
          <w:rFonts w:ascii="Arial" w:cs="Arial" w:eastAsia="Arial" w:hAnsi="Arial"/>
          <w:sz w:val="18"/>
          <w:szCs w:val="18"/>
          <w:color w:val="auto"/>
        </w:rPr>
      </w:pPr>
    </w:p>
    <w:p>
      <w:pPr>
        <w:ind w:left="3360" w:hanging="357"/>
        <w:spacing w:after="0"/>
        <w:tabs>
          <w:tab w:leader="none" w:pos="33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to Lender, in the amount of any Borrowing Base Deficiency, if any, to be applied against the Obligations;</w:t>
      </w:r>
    </w:p>
    <w:p>
      <w:pPr>
        <w:spacing w:after="0" w:line="223" w:lineRule="exact"/>
        <w:rPr>
          <w:rFonts w:ascii="Arial" w:cs="Arial" w:eastAsia="Arial" w:hAnsi="Arial"/>
          <w:sz w:val="17"/>
          <w:szCs w:val="17"/>
          <w:color w:val="auto"/>
        </w:rPr>
      </w:pPr>
    </w:p>
    <w:p>
      <w:pPr>
        <w:ind w:right="20" w:firstLine="3003"/>
        <w:spacing w:after="0" w:line="277" w:lineRule="auto"/>
        <w:tabs>
          <w:tab w:leader="none" w:pos="33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subject to Section 2.03(c), to Lender, the amount of any prepayment of principal of which Borrower has given at least two (2) Business Days prior written notice; and</w:t>
      </w:r>
    </w:p>
    <w:p>
      <w:pPr>
        <w:spacing w:after="0" w:line="156" w:lineRule="exact"/>
        <w:rPr>
          <w:rFonts w:ascii="Arial" w:cs="Arial" w:eastAsia="Arial" w:hAnsi="Arial"/>
          <w:sz w:val="18"/>
          <w:szCs w:val="18"/>
          <w:color w:val="auto"/>
        </w:rPr>
      </w:pPr>
    </w:p>
    <w:p>
      <w:pPr>
        <w:ind w:left="3360" w:hanging="357"/>
        <w:spacing w:after="0"/>
        <w:tabs>
          <w:tab w:leader="none" w:pos="33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Lender, to be applied to any Advances outstanding under the Revolving Loans.</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In addition, on each Settlement Date, Lender shall disburse to Borrower the amount, if any, by which the collected balance in the Collection Account exceeds the aggregate outstanding principal amount of the Advances and all interest and other amounts that will be payable on or before the next Settlement Date. Subject to the foregoing, any additional repayment of principal amounts hereunder shall require at least two (2) Business Days’ prior notice from Borrower to Lender.</w:t>
      </w:r>
    </w:p>
    <w:p>
      <w:pPr>
        <w:spacing w:after="0" w:line="18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color w:val="auto"/>
        </w:rPr>
        <w:t>Application of Proceeds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1926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205" w:lineRule="exact"/>
        <w:rPr>
          <w:sz w:val="20"/>
          <w:szCs w:val="20"/>
          <w:color w:val="auto"/>
        </w:rPr>
      </w:pPr>
    </w:p>
    <w:p>
      <w:pPr>
        <w:ind w:left="1860" w:hanging="355"/>
        <w:spacing w:after="0"/>
        <w:tabs>
          <w:tab w:leader="none" w:pos="18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Unless this Agreement expressly provides otherwise, Lender agrees to apply all Collections as set forth in Section 2.07(f) hereof.</w:t>
      </w:r>
    </w:p>
    <w:p>
      <w:pPr>
        <w:spacing w:after="0" w:line="234" w:lineRule="exact"/>
        <w:rPr>
          <w:rFonts w:ascii="Arial" w:cs="Arial" w:eastAsia="Arial" w:hAnsi="Arial"/>
          <w:sz w:val="16"/>
          <w:szCs w:val="16"/>
          <w:color w:val="auto"/>
        </w:rPr>
      </w:pPr>
    </w:p>
    <w:p>
      <w:pPr>
        <w:jc w:val="both"/>
        <w:ind w:right="20" w:firstLine="1505"/>
        <w:spacing w:after="0" w:line="256" w:lineRule="auto"/>
        <w:tabs>
          <w:tab w:leader="none" w:pos="18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 Event of Default shall have occurred and remain outstanding, Lender may apply Collections, any other proceeds of Collateral and all other payments received by Lender to the payment of the Obligations in such manner and in such order as Lender may elect in its sole discretion.</w:t>
      </w:r>
    </w:p>
    <w:p>
      <w:pPr>
        <w:spacing w:after="0" w:line="175"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7"/>
          <w:szCs w:val="17"/>
          <w:color w:val="auto"/>
        </w:rPr>
        <w:t>2.09. Commitment Fee. As of the Closing, Lender has fully earned, and Borrower shall have paid to Lender, a non-refundable commitment fee as set forth in the Fee Letter. As of funding of the Additional Tranche, Lender shall have fully earned, and Borrower shall have paid to Lender an additional non-refundable commitment fee as set forth in the Fee Letter, each of which shall be deemed non-refundable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-309880</wp:posOffset>
            </wp:positionV>
            <wp:extent cx="12534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w:t>
      </w:r>
    </w:p>
    <w:p>
      <w:pPr>
        <w:spacing w:after="0" w:line="21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3.01. Description. To secure the prompt payment and performance in full when due, whether by lapse of time, acceleration, mandatory prepayment or otherwise, of the Obligations, Borrower hereby grants to the Lender a continuing security interest in, and a right to set off against, any and all right, title and interest of Borrower in and to all of the following, whether now owned or existing or owned, acquired, or arising hereafter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(a) all Accounts; (b) all cash and currency; (c) all Chattel Paper; (d) those certain Commercial Tort Claims set forth on the Perfection Certificate; (e) all Deposit Accounts; (f) all Documents; (g) all Equipment; (h) all Fixtures; (i) all General Intangibles; (j) all Instruments; (k) all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-538480</wp:posOffset>
            </wp:positionV>
            <wp:extent cx="9988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jc w:val="both"/>
        <w:ind w:firstLine="8"/>
        <w:spacing w:after="0" w:line="246" w:lineRule="auto"/>
        <w:tabs>
          <w:tab w:leader="none" w:pos="22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Investment Property; (m) all Letter-of-Credit Rights; (n) all Goods; (o) all oil, gas or other minerals before extraction; (p) all pledged equity; (q) all other Property and assets owned by such Borrower; (r) all books and records pertaining to the foregoing; and (s) all collections, Accessions, receipts and all Proceeds of any and all of the foregoing.</w:t>
      </w:r>
    </w:p>
    <w:p>
      <w:pPr>
        <w:spacing w:after="0" w:line="18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All capitalized terms in this Section 3.01 shall have the meanings set forth in the Uniform Commercial Code unless otherwise defined herein.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p>
      <w:pPr>
        <w:jc w:val="both"/>
        <w:ind w:firstLine="749"/>
        <w:spacing w:after="0" w:line="257" w:lineRule="auto"/>
        <w:rPr>
          <w:sz w:val="20"/>
          <w:szCs w:val="20"/>
          <w:color w:val="auto"/>
        </w:rPr>
      </w:pPr>
      <w:r>
        <w:rPr>
          <w:rFonts w:ascii="Arial" w:cs="Arial" w:eastAsia="Arial" w:hAnsi="Arial"/>
          <w:sz w:val="17"/>
          <w:szCs w:val="17"/>
          <w:color w:val="auto"/>
        </w:rPr>
        <w:t>Notwithstanding the foregoing, the Collateral does not include (collectively, “</w:t>
      </w:r>
      <w:r>
        <w:rPr>
          <w:rFonts w:ascii="Arial" w:cs="Arial" w:eastAsia="Arial" w:hAnsi="Arial"/>
          <w:sz w:val="17"/>
          <w:szCs w:val="17"/>
          <w:u w:val="single" w:color="auto"/>
          <w:color w:val="auto"/>
        </w:rPr>
        <w:t>Excluded Assets</w:t>
      </w:r>
      <w:r>
        <w:rPr>
          <w:rFonts w:ascii="Arial" w:cs="Arial" w:eastAsia="Arial" w:hAnsi="Arial"/>
          <w:sz w:val="17"/>
          <w:szCs w:val="17"/>
          <w:color w:val="auto"/>
        </w:rPr>
        <w:t>”): (a) more than sixty-five percent (65%) of the presently existing and hereafter arising issued and outstanding equity interests of any Excluded Subsidiary of the type described in clause (e) of the definition thereof which equity interests entitle the holder thereof to vote for directors or any other matter, provided that the Collateral shall include one hundred percent (100%) of the issued and outstanding non-voting equity interests of such Excluded Subsidiary; (b) any interest of Borrower as a lessee or sublessee under a real property lease; (c) rights held under a license or other contract that are not assignable by their terms without the consent of the licensor thereof (but only to the extent such restriction on assignment is effective under Section 9-406, 9-407, 9-408 or 9-409 of the UCC (or any successor provision or provisions) of any relevant jurisdiction or any other applicable law (including the Bankruptcy Code) or principles of equity); (d)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Lender; (e) any “intent to use” trademark applications for which a statement of use has not been filed (but only until such statement is filed); (f) any property and assets subject to Permitted Liens securing Permitted Indebtedness; (g) motor vehicles and other similar assets subject to certificates of title or ownership (except to the extent a security interest therein can be perfected by the filing of a financing statement); and (h) Excluded Accounts.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Borrower and the Lender hereby acknowledge and agree that the security interest created hereby in the Collateral (i) constitutes continuing collateral security for all of the Obligations, whether now existing or hereafter arising and (ii) is not to be construed as an assignment of any copyrights, copyright licenses, patents, patent licenses, trademarks or trademark licenses.</w:t>
      </w:r>
    </w:p>
    <w:p>
      <w:pPr>
        <w:spacing w:after="0" w:line="175"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color w:val="auto"/>
        </w:rPr>
        <w:t>Extent of Security Interests .  The security interest granted in Section 3.01 hereof shall extend and attach to all Collateral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7551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presently in existence or hereafter acquired and which is owned by Borrower or in which Borrower has any interest, whether held by Borrower or by others for Borrower’s account, and wherever located.</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color w:val="auto"/>
        </w:rPr>
        <w:t>Lien Documents. At Closing and thereafter as Lender deems necessary, Borrower shall execute (if required) and deliver to Lender,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2153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shall have executed (if required) and delivered (all in form and substance reasonably satisfactory to Lender):</w:t>
      </w:r>
    </w:p>
    <w:p>
      <w:pPr>
        <w:spacing w:after="0" w:line="197" w:lineRule="exact"/>
        <w:rPr>
          <w:sz w:val="20"/>
          <w:szCs w:val="20"/>
          <w:color w:val="auto"/>
        </w:rPr>
      </w:pPr>
    </w:p>
    <w:p>
      <w:pPr>
        <w:ind w:right="20" w:firstLine="1505"/>
        <w:spacing w:after="0" w:line="261" w:lineRule="auto"/>
        <w:tabs>
          <w:tab w:leader="none" w:pos="185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Financing statements pursuant to the UCC, which Lender may file in the jurisdiction in which Borrower is organized and in any other jurisdiction that Lender deems appropriate; and</w:t>
      </w:r>
    </w:p>
    <w:p>
      <w:pPr>
        <w:spacing w:after="0" w:line="184" w:lineRule="exact"/>
        <w:rPr>
          <w:rFonts w:ascii="Arial" w:cs="Arial" w:eastAsia="Arial" w:hAnsi="Arial"/>
          <w:sz w:val="18"/>
          <w:szCs w:val="18"/>
          <w:color w:val="auto"/>
        </w:rPr>
      </w:pPr>
    </w:p>
    <w:p>
      <w:pPr>
        <w:jc w:val="both"/>
        <w:ind w:firstLine="1505"/>
        <w:spacing w:after="0" w:line="284" w:lineRule="auto"/>
        <w:tabs>
          <w:tab w:leader="none" w:pos="185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Other Agreements</w:t>
      </w:r>
      <w:r>
        <w:rPr>
          <w:rFonts w:ascii="Arial" w:cs="Arial" w:eastAsia="Arial" w:hAnsi="Arial"/>
          <w:sz w:val="16"/>
          <w:szCs w:val="16"/>
          <w:color w:val="auto"/>
        </w:rPr>
        <w:t>. Any other agreements, documents, instruments and writings, including security agreements, deposit account control agreements, deeds of trust or mortgages with respect to any real property owned by Borrower, and assignment agreements, reasonably required by Lender to evidence, perfect or protect Lender’s Liens and security interest in the Collateral or as Lender may reasonably request from time to time, including a waiver agreement from each landlord with respect to any real property leased by Borrower, in form and substance satisfactory to Lender.</w:t>
      </w:r>
    </w:p>
    <w:p>
      <w:pPr>
        <w:spacing w:after="0" w:line="169"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Other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1296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192" w:lineRule="exact"/>
        <w:rPr>
          <w:sz w:val="20"/>
          <w:szCs w:val="20"/>
          <w:color w:val="auto"/>
        </w:rPr>
      </w:pPr>
    </w:p>
    <w:p>
      <w:pPr>
        <w:jc w:val="both"/>
        <w:ind w:firstLine="1505"/>
        <w:spacing w:after="0" w:line="263" w:lineRule="auto"/>
        <w:tabs>
          <w:tab w:leader="none" w:pos="1857"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addition to the foregoing, Borrower shall do anything further that may be lawfully and reasonably required by Lender to perfect its security interests and to effectuate the intentions and objectives of this Agreement, including, but not limited to, the execution (if required) and delivery of continuation statements, amendments to financing statements, security agreements, contracts and any other documents required hereunder. At Lender’s request, Borrower shall also immediately deliver (with execution by Borrower of all necessary documents or forms to reflect Lender’s security interest therein) to Lender all items for which Lender must or may receive possession to obtain a perfected security interest.</w:t>
      </w:r>
    </w:p>
    <w:p>
      <w:pPr>
        <w:spacing w:after="0" w:line="184" w:lineRule="exact"/>
        <w:rPr>
          <w:rFonts w:ascii="Arial" w:cs="Arial" w:eastAsia="Arial" w:hAnsi="Arial"/>
          <w:sz w:val="17"/>
          <w:szCs w:val="17"/>
          <w:color w:val="auto"/>
        </w:rPr>
      </w:pPr>
    </w:p>
    <w:p>
      <w:pPr>
        <w:jc w:val="both"/>
        <w:ind w:firstLine="1505"/>
        <w:spacing w:after="0" w:line="294" w:lineRule="auto"/>
        <w:tabs>
          <w:tab w:leader="none" w:pos="1857"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Lender is hereby authorized to file financing statements naming Borrower as debtor, in accordance with the Uniform Commercial Code, and if necessary, to the extent applicable, to otherwise file financing statements without Borrower’s signature if permitted by law. Borrower hereby authorizes Lender to file all financing statements and amendments to financing statements describing the Collateral in any filing office as Lender, in its sole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7" w:name="page108"/>
    <w:bookmarkEnd w:id="107"/>
    <w:p>
      <w:pPr>
        <w:jc w:val="both"/>
        <w:spacing w:after="0" w:line="249" w:lineRule="auto"/>
        <w:rPr>
          <w:sz w:val="20"/>
          <w:szCs w:val="20"/>
          <w:color w:val="auto"/>
        </w:rPr>
      </w:pPr>
      <w:r>
        <w:rPr>
          <w:rFonts w:ascii="Arial" w:cs="Arial" w:eastAsia="Arial" w:hAnsi="Arial"/>
          <w:sz w:val="18"/>
          <w:szCs w:val="18"/>
          <w:color w:val="auto"/>
        </w:rPr>
        <w:t>discretion may determine, Borrower agrees to comply with the requirements of all federal and state laws and requests of Lender in order for Lender to have and maintain a valid and perfected first priority security interest in the Collateral including executing and causing any other Person to execute such documents as Lender may require to obtain Control (as defined in the UCC) over all Deposit Accounts, Electronic Chattel Paper, Letter-of-Credit Rights and Investment Property (each as defined in the UCC).</w:t>
      </w:r>
    </w:p>
    <w:p>
      <w:pPr>
        <w:spacing w:after="0" w:line="194"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3.05. Searches. Lender shall, prior to or at Closing, and thereafter as Lender may reasonably determine from time to time, at Borrower’s expense, obtain the following searches (the results of which are to be consistent with the warranties made by Borrower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-179705</wp:posOffset>
            </wp:positionV>
            <wp:extent cx="8718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27" w:lineRule="exact"/>
        <w:rPr>
          <w:sz w:val="20"/>
          <w:szCs w:val="20"/>
          <w:color w:val="auto"/>
        </w:rPr>
      </w:pPr>
    </w:p>
    <w:p>
      <w:pPr>
        <w:ind w:firstLine="1505"/>
        <w:spacing w:after="0" w:line="308" w:lineRule="auto"/>
        <w:tabs>
          <w:tab w:leader="none" w:pos="185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UCC Searches</w:t>
      </w:r>
      <w:r>
        <w:rPr>
          <w:rFonts w:ascii="Arial" w:cs="Arial" w:eastAsia="Arial" w:hAnsi="Arial"/>
          <w:sz w:val="17"/>
          <w:szCs w:val="17"/>
          <w:color w:val="auto"/>
        </w:rPr>
        <w:t>. With respect to Borrower, UCC searches with the Secretary of State and local filing office of its jurisdiction of organization and local filing office of each state where Borrower maintains its chief executive office and/or a place of business or assets;</w:t>
      </w:r>
    </w:p>
    <w:p>
      <w:pPr>
        <w:spacing w:after="0" w:line="132" w:lineRule="exact"/>
        <w:rPr>
          <w:rFonts w:ascii="Arial" w:cs="Arial" w:eastAsia="Arial" w:hAnsi="Arial"/>
          <w:sz w:val="17"/>
          <w:szCs w:val="17"/>
          <w:color w:val="auto"/>
        </w:rPr>
      </w:pPr>
    </w:p>
    <w:p>
      <w:pPr>
        <w:ind w:firstLine="1505"/>
        <w:spacing w:after="0" w:line="261" w:lineRule="auto"/>
        <w:tabs>
          <w:tab w:leader="none" w:pos="185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Judgments, Etc.</w:t>
      </w:r>
      <w:r>
        <w:rPr>
          <w:rFonts w:ascii="Arial" w:cs="Arial" w:eastAsia="Arial" w:hAnsi="Arial"/>
          <w:sz w:val="18"/>
          <w:szCs w:val="18"/>
          <w:color w:val="auto"/>
        </w:rPr>
        <w:t xml:space="preserve"> Judgment, federal tax Lien and corporate tax Lien searches against Borrower, in all applicable filing offices of each state searched under Section 3.05(a) hereof.</w:t>
      </w:r>
    </w:p>
    <w:p>
      <w:pPr>
        <w:spacing w:after="0" w:line="17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color w:val="auto"/>
        </w:rPr>
        <w:t>Credit Balances; Additional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2402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2240280" cy="8255"/>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60" w:lineRule="auto"/>
        <w:tabs>
          <w:tab w:leader="none" w:pos="1857"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rights and security interests granted to the Lender hereunder shall continue in full force and effect, notwithstanding the termination of this Agreement or the fact that the Revolving Loans may from time to time be temporarily in a credit position, until the termination of this Agreement and the full and final payment and satisfaction of the Obligations. Any reserves or balances to the credit of Borrower, and any other Property of Borrower in the possession of Lender, may be held by Lender and applied in whole or partial satisfaction of such Obligations which are then due and payable in accordance with the terms of this Agreement. The Liens and security interests granted to Lender herein and any other Lien or security interest which Lender may have in any other assets of Borrower secure payment and performance of all present and future Obligations.</w:t>
      </w:r>
    </w:p>
    <w:p>
      <w:pPr>
        <w:spacing w:after="0" w:line="187" w:lineRule="exact"/>
        <w:rPr>
          <w:rFonts w:ascii="Arial" w:cs="Arial" w:eastAsia="Arial" w:hAnsi="Arial"/>
          <w:sz w:val="17"/>
          <w:szCs w:val="17"/>
          <w:color w:val="auto"/>
        </w:rPr>
      </w:pPr>
    </w:p>
    <w:p>
      <w:pPr>
        <w:jc w:val="both"/>
        <w:ind w:firstLine="1505"/>
        <w:spacing w:after="0" w:line="245" w:lineRule="auto"/>
        <w:tabs>
          <w:tab w:leader="none" w:pos="185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Lender’s security interests in the Collateral, to the extent that the Obligations are now or hereafter secured by any assets or Property other than the Collateral, or by the guaranty, endorsement, assets or property of any other Person, Lender shall have the right in its sole discretion to determine which rights, security, Liens, security interests or remedies Lender shall at any time pursue, foreclose upon, relinquish, subordinate, modify or take any other action with respect to, without in any way modifying or affecting any of such rights, security, Liens, security interests or remedies, or any of Lender’s rights under this Agreement.</w:t>
      </w:r>
    </w:p>
    <w:p>
      <w:pPr>
        <w:spacing w:after="0" w:line="18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color w:val="auto"/>
        </w:rPr>
        <w:t>Reference to Other Loan Documents. Reference is hereby made to the other Loan Documents for additional representations,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1386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21386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other agreements of Borrower regarding the Collateral covered by such Loan Documents.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AND CONDITIONS PRECEDENT TO ADVANCES</w:t>
      </w:r>
    </w:p>
    <w:p>
      <w:pPr>
        <w:spacing w:after="0" w:line="229"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Closing under this Agreement and the making of each Revolving Loan are subject to the following conditions precedent (all documents to be in form and substance satisfactory to Lender and Lender’s counsel):</w:t>
      </w:r>
    </w:p>
    <w:p>
      <w:pPr>
        <w:spacing w:after="0" w:line="17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Resolutions, Opinions and Other Documents. Prior to the Closing, Borrower shall have delivered to Lender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5038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2503805" cy="8890"/>
                    </a:xfrm>
                    <a:prstGeom prst="rect">
                      <a:avLst/>
                    </a:prstGeom>
                    <a:noFill/>
                  </pic:spPr>
                </pic:pic>
              </a:graphicData>
            </a:graphic>
          </wp:anchor>
        </w:drawing>
      </w:r>
    </w:p>
    <w:p>
      <w:pPr>
        <w:spacing w:after="0" w:line="205" w:lineRule="exact"/>
        <w:rPr>
          <w:sz w:val="20"/>
          <w:szCs w:val="20"/>
          <w:color w:val="auto"/>
        </w:rPr>
      </w:pPr>
    </w:p>
    <w:p>
      <w:pPr>
        <w:ind w:left="1860" w:hanging="355"/>
        <w:spacing w:after="0"/>
        <w:tabs>
          <w:tab w:leader="none" w:pos="1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Closing Date;</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8" w:name="page109"/>
    <w:bookmarkEnd w:id="108"/>
    <w:p>
      <w:pPr>
        <w:ind w:left="1860" w:hanging="355"/>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duly executed Fee Letter;</w:t>
      </w:r>
    </w:p>
    <w:p>
      <w:pPr>
        <w:spacing w:after="0" w:line="225"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payoff letter in form and substance satisfactory to the Lender evidencing the repayment in full and release of liens with respect to the Existing Loan Agreement;</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duly executed copies of the Term Loan Agreement, Intercreditor Agreement and the other Term Loan Documents, each dated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Closing Date;</w:t>
      </w:r>
    </w:p>
    <w:p>
      <w:pPr>
        <w:spacing w:after="0" w:line="197" w:lineRule="exact"/>
        <w:rPr>
          <w:rFonts w:ascii="Arial" w:cs="Arial" w:eastAsia="Arial" w:hAnsi="Arial"/>
          <w:sz w:val="16"/>
          <w:szCs w:val="16"/>
          <w:color w:val="auto"/>
        </w:rPr>
      </w:pPr>
    </w:p>
    <w:p>
      <w:pPr>
        <w:jc w:val="both"/>
        <w:ind w:firstLine="1505"/>
        <w:spacing w:after="0" w:line="249"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where failure to be so qualified could result in a Material Adverse Change, each as of a date no earlier than thirty (30) days prior to the Closing Date;</w:t>
      </w:r>
    </w:p>
    <w:p>
      <w:pPr>
        <w:spacing w:after="0" w:line="180"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certificate of Borrower in substantially the form of Exhibit F to the Term Loan Agreement executed by the Secretary of Borrower with appropriate insertions and attachments, including with respect to (i) the Operating Documents of Borrower (which Certificate of Incorporation of Borrower shall be certified by the Secretary of State of the State of Delaware) and (ii) the resolutions adopted by Borrower’s board of directors for the purpose of approving the transactions contemplated by the Loan Documents;</w:t>
      </w:r>
    </w:p>
    <w:p>
      <w:pPr>
        <w:spacing w:after="0" w:line="180" w:lineRule="exact"/>
        <w:rPr>
          <w:rFonts w:ascii="Arial" w:cs="Arial" w:eastAsia="Arial" w:hAnsi="Arial"/>
          <w:sz w:val="18"/>
          <w:szCs w:val="18"/>
          <w:color w:val="auto"/>
        </w:rPr>
      </w:pPr>
    </w:p>
    <w:p>
      <w:pPr>
        <w:ind w:left="1860" w:hanging="355"/>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incumbency certificates identifying all Authorized Officers of Borrower, with specimen signatures;</w:t>
      </w:r>
    </w:p>
    <w:p>
      <w:pPr>
        <w:spacing w:after="0" w:line="225" w:lineRule="exact"/>
        <w:rPr>
          <w:rFonts w:ascii="Arial" w:cs="Arial" w:eastAsia="Arial" w:hAnsi="Arial"/>
          <w:sz w:val="18"/>
          <w:szCs w:val="18"/>
          <w:color w:val="auto"/>
        </w:rPr>
      </w:pPr>
    </w:p>
    <w:p>
      <w:pPr>
        <w:jc w:val="both"/>
        <w:ind w:firstLine="1505"/>
        <w:spacing w:after="0" w:line="270" w:lineRule="auto"/>
        <w:tabs>
          <w:tab w:leader="none" w:pos="1857" w:val="left"/>
        </w:tabs>
        <w:numPr>
          <w:ilvl w:val="0"/>
          <w:numId w:val="85"/>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Closing Date, of financing statement searches, as Lender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77" w:lineRule="exact"/>
        <w:rPr>
          <w:rFonts w:ascii="Arial" w:cs="Arial" w:eastAsia="Arial" w:hAnsi="Arial"/>
          <w:sz w:val="17"/>
          <w:szCs w:val="17"/>
          <w:color w:val="auto"/>
        </w:rPr>
      </w:pPr>
    </w:p>
    <w:p>
      <w:pPr>
        <w:ind w:right="20" w:firstLine="1505"/>
        <w:spacing w:after="0" w:line="261"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by Borrower of all Expenses associated with the Credit Facility incurred to the Closing Date and any fees payable on the Closing Date pursuant to the Fee Letter;</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background checks on the senior management of Borrower;</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evidence satisfactory to the Lender that the insurance policies required by Section 6.05 hereof are in full force and effect, together with appropriate evidence showing loss payable and/or additional insured clauses or endorsements in favor of the Lender;</w:t>
      </w:r>
    </w:p>
    <w:p>
      <w:pPr>
        <w:spacing w:after="0" w:line="184" w:lineRule="exact"/>
        <w:rPr>
          <w:rFonts w:ascii="Arial" w:cs="Arial" w:eastAsia="Arial" w:hAnsi="Arial"/>
          <w:sz w:val="18"/>
          <w:szCs w:val="18"/>
          <w:color w:val="auto"/>
        </w:rPr>
      </w:pPr>
    </w:p>
    <w:p>
      <w:pPr>
        <w:jc w:val="both"/>
        <w:ind w:firstLine="1505"/>
        <w:spacing w:after="0" w:line="294" w:lineRule="auto"/>
        <w:tabs>
          <w:tab w:leader="none" w:pos="1857"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UCC financing statements and similar documents required to be filed in order to create in favor of Lender a first priority and exclusive (except for Permitted Liens) perfected security interest in the Collateral (to the extent that such a security interest may be perfected by a filing under the UCC or Applicable Law), shall have been (or will be simultaneous with the Closing) properly filed in each office in each jurisdiction required;</w:t>
      </w:r>
    </w:p>
    <w:p>
      <w:pPr>
        <w:spacing w:after="0" w:line="147" w:lineRule="exact"/>
        <w:rPr>
          <w:rFonts w:ascii="Arial" w:cs="Arial" w:eastAsia="Arial" w:hAnsi="Arial"/>
          <w:sz w:val="16"/>
          <w:szCs w:val="16"/>
          <w:color w:val="auto"/>
        </w:rPr>
      </w:pPr>
    </w:p>
    <w:p>
      <w:pPr>
        <w:ind w:right="40" w:firstLine="1505"/>
        <w:spacing w:after="0" w:line="277"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information necessary for Lender to issue wire transfer instructions on behalf of Borrower for the initial and subsequent Revolving Loans and/or Advances, including disbursement authorizations in form acceptable to Lender;</w:t>
      </w:r>
    </w:p>
    <w:p>
      <w:pPr>
        <w:spacing w:after="0" w:line="156" w:lineRule="exact"/>
        <w:rPr>
          <w:rFonts w:ascii="Arial" w:cs="Arial" w:eastAsia="Arial" w:hAnsi="Arial"/>
          <w:sz w:val="18"/>
          <w:szCs w:val="18"/>
          <w:color w:val="auto"/>
        </w:rPr>
      </w:pPr>
    </w:p>
    <w:p>
      <w:pPr>
        <w:ind w:firstLine="1505"/>
        <w:spacing w:after="0" w:line="291" w:lineRule="auto"/>
        <w:tabs>
          <w:tab w:leader="none" w:pos="1857"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certificate dated the Closing Date and signed by an Authorized Officer of Borrower certifying that all of the conditions specified in this Section 4.01 hereof have been fulfilled and that there has not occurred any Material Adverse Change since December 31, 2021</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160" w:lineRule="exact"/>
        <w:rPr>
          <w:rFonts w:ascii="Arial" w:cs="Arial" w:eastAsia="Arial" w:hAnsi="Arial"/>
          <w:sz w:val="17"/>
          <w:szCs w:val="17"/>
          <w:color w:val="auto"/>
        </w:rPr>
      </w:pPr>
    </w:p>
    <w:p>
      <w:pPr>
        <w:ind w:right="40" w:firstLine="1505"/>
        <w:spacing w:after="0" w:line="261" w:lineRule="auto"/>
        <w:tabs>
          <w:tab w:leader="none" w:pos="18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other documents, information and reports required or requested to be executed and/or delivered by Borrower under any provision of this Agreement or any of the Loan Documents.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ind w:left="760"/>
        <w:spacing w:after="0"/>
        <w:tabs>
          <w:tab w:leader="none" w:pos="146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Additional Preconditions to Revolving Loans. Lender’s obligation to make the initial Revolving Loan and each subsequent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5406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Loan shall be subject to the satisfaction of each of the following conditions:</w:t>
      </w:r>
    </w:p>
    <w:p>
      <w:pPr>
        <w:spacing w:after="0" w:line="197" w:lineRule="exact"/>
        <w:rPr>
          <w:sz w:val="20"/>
          <w:szCs w:val="20"/>
          <w:color w:val="auto"/>
        </w:rPr>
      </w:pPr>
    </w:p>
    <w:p>
      <w:pPr>
        <w:jc w:val="both"/>
        <w:ind w:firstLine="1505"/>
        <w:spacing w:after="0" w:line="256" w:lineRule="auto"/>
        <w:tabs>
          <w:tab w:leader="none" w:pos="18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After giving effect to each such Revolving Loan, (i) the aggregate principal amount of all Revolving Loans outstanding shall not exceed the Borrowing Base then in effect and the aggregate amount of all Advances shall not exceed the Revolving Loan Commitment and (ii) the ENV of all Eligible Accounts shall not exceed any of the Concentration Limits.</w:t>
      </w:r>
    </w:p>
    <w:p>
      <w:pPr>
        <w:spacing w:after="0" w:line="174"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representations and warranties of Borrower shall be deemed reaffirmed as of the making of such Revolving Loan and shall be true in all material respects (or, if any such representation or warranty is by its term qualified by concepts of materiality, such representation or warranty is true and correct in all respects) both before and after giving effect to such Revolving Loan, and no Default or Event of Default shall have occurred and be continuing, and Borrower shall have certified such matters to Lender.</w:t>
      </w:r>
    </w:p>
    <w:p>
      <w:pPr>
        <w:spacing w:after="0" w:line="180"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After the Initial Revolving Loan Advance Date, to the extent any Obligor is not then making payments to the Commercial Lockbox, Borrower shall have signed and delivered to Lender notices, in the form of </w:t>
      </w:r>
      <w:r>
        <w:rPr>
          <w:rFonts w:ascii="Arial" w:cs="Arial" w:eastAsia="Arial" w:hAnsi="Arial"/>
          <w:sz w:val="18"/>
          <w:szCs w:val="18"/>
          <w:u w:val="single" w:color="auto"/>
          <w:color w:val="auto"/>
        </w:rPr>
        <w:t>Exhibit 4.02(c)</w:t>
      </w:r>
      <w:r>
        <w:rPr>
          <w:rFonts w:ascii="Arial" w:cs="Arial" w:eastAsia="Arial" w:hAnsi="Arial"/>
          <w:sz w:val="18"/>
          <w:szCs w:val="18"/>
          <w:color w:val="auto"/>
        </w:rPr>
        <w:t>, directing such Obligor(s) to make payment to the Commercial Lockbox.</w:t>
      </w:r>
    </w:p>
    <w:p>
      <w:pPr>
        <w:spacing w:after="0" w:line="174"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Borrower shall have taken all actions necessary to permit Lender’s accounts receivable monitoring system to interpret the files (including the Accounts Detail File) provided by Borrower to Lender with respect to all of the Eligible Accounts.</w:t>
      </w:r>
    </w:p>
    <w:p>
      <w:pPr>
        <w:spacing w:after="0" w:line="184"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lockbox arrangements required by Section 2.07 hereof shall be in effect, and the amounts received in the lockboxes shall have been identified or reconciled to Lender’s satisfaction, as required by Section 2.07(d) hereof.</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Borrower shall have taken such other actions, including the delivery of documents and opinions, as Lender may reasonably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request.</w:t>
      </w:r>
    </w:p>
    <w:p>
      <w:pPr>
        <w:spacing w:after="0" w:line="197" w:lineRule="exact"/>
        <w:rPr>
          <w:rFonts w:ascii="Arial" w:cs="Arial" w:eastAsia="Arial" w:hAnsi="Arial"/>
          <w:sz w:val="17"/>
          <w:szCs w:val="17"/>
          <w:color w:val="auto"/>
        </w:rPr>
      </w:pPr>
    </w:p>
    <w:p>
      <w:pPr>
        <w:ind w:left="1860" w:hanging="355"/>
        <w:spacing w:after="0"/>
        <w:tabs>
          <w:tab w:leader="none" w:pos="1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Default or Event of Default hereunder shall have occurred and be continuing.</w:t>
      </w:r>
    </w:p>
    <w:p>
      <w:pPr>
        <w:spacing w:after="0" w:line="211"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Borrower shall have performed and complied with all agreements, covenants and conditions contained herein including the provisions of Articles 6 and 7 hereof, which are required to be performed or complied with by Borrower before or at the Closing Date and as of the date of the making of each Advance.</w:t>
      </w:r>
    </w:p>
    <w:p>
      <w:pPr>
        <w:spacing w:after="0" w:line="175"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7"/>
          <w:szCs w:val="17"/>
          <w:color w:val="auto"/>
        </w:rPr>
        <w:t>Closing. Subject to the conditions of this Article 4, the Credit Facility shall be made available on the date (the “</w:t>
      </w:r>
      <w:r>
        <w:rPr>
          <w:rFonts w:ascii="Arial" w:cs="Arial" w:eastAsia="Arial" w:hAnsi="Arial"/>
          <w:sz w:val="17"/>
          <w:szCs w:val="17"/>
          <w:u w:val="single" w:color="auto"/>
          <w:color w:val="auto"/>
        </w:rPr>
        <w:t>Closing Date</w:t>
      </w:r>
      <w:r>
        <w:rPr>
          <w:rFonts w:ascii="Arial" w:cs="Arial" w:eastAsia="Arial" w:hAnsi="Arial"/>
          <w:sz w:val="17"/>
          <w:szCs w:val="17"/>
          <w:color w:val="auto"/>
        </w:rPr>
        <w: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8128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Agreement is executed and all of the conditions contained in Sections 4.01 and 4.02 hereof are completed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9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4.04. Non-Waiver of Rights. By completing the Closing hereunder, or by making Advances hereunder, Lender does not thereby waive a breach of any warranty, representation or covenant made by Borrower hereunder or under any agreement, document, or instrument delivered to Lender or otherwise referred to herein, and any claims and rights of Lender resulting from any breach or misrepresentation by Borrower are specifically reserved by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4954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To induce Lender to complete the Closing and make the Revolving Loans under the Credit Facility to Borrower, Borrower warrants and represents to Lender that:</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Due Organization, Authorization, Power and Authority</w:t>
      </w:r>
      <w:r>
        <w:rPr>
          <w:rFonts w:ascii="Arial" w:cs="Arial" w:eastAsia="Arial" w:hAnsi="Arial"/>
          <w:sz w:val="18"/>
          <w:szCs w:val="18"/>
          <w:color w:val="auto"/>
        </w:rPr>
        <w:t>. Borrower and each of its Subsidiaries is duly existing and in good 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so qualified except where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0" w:name="page111"/>
    <w:bookmarkEnd w:id="110"/>
    <w:p>
      <w:pPr>
        <w:jc w:val="both"/>
        <w:spacing w:after="0" w:line="246" w:lineRule="auto"/>
        <w:rPr>
          <w:sz w:val="20"/>
          <w:szCs w:val="20"/>
          <w:color w:val="auto"/>
        </w:rPr>
      </w:pPr>
      <w:r>
        <w:rPr>
          <w:rFonts w:ascii="Arial" w:cs="Arial" w:eastAsia="Arial" w:hAnsi="Arial"/>
          <w:sz w:val="18"/>
          <w:szCs w:val="18"/>
          <w:color w:val="auto"/>
        </w:rPr>
        <w:t>failure to do so could not reasonably be expected to have a Material Adverse Change. In connection with this Agreement, Borrower and each of its Subsidiaries has delivered to Lender a completed perfection certificate and any updates or supplements thereto on, before or after the Closing Date (each a “</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Perfection Certificates</w:t>
      </w:r>
      <w:r>
        <w:rPr>
          <w:rFonts w:ascii="Arial" w:cs="Arial" w:eastAsia="Arial" w:hAnsi="Arial"/>
          <w:sz w:val="18"/>
          <w:szCs w:val="18"/>
          <w:color w:val="auto"/>
        </w:rPr>
        <w:t>”). For the avoidance of doubt, Lender agrees that the Borrower may from time to time update certain information in the Perfection Certificates after the Closing Date to the extent permitted by one or more specific provisions in this Agreement. Borrower represents and warrants that all the information set forth on the Perfection Certificates pertaining to Borrower and each of its Subsidiaries is accurate and complete, in all non-ministerial respects.</w:t>
      </w:r>
    </w:p>
    <w:p>
      <w:pPr>
        <w:spacing w:after="0" w:line="185"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6.01, or (v) constitute an event of default under any Material Agreement by which Borrower, any of its Subsidiaries or any of their respective properties, is bound. Neither Borrower nor any of its Subsidiaries is in default under any Material Agreement to which it is a party or by which it or any of its assets is bound in which such default could reasonably be expected to have a Material Adverse Change.</w:t>
      </w:r>
    </w:p>
    <w:p>
      <w:pPr>
        <w:spacing w:after="0" w:line="16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5.02. Collateral. 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(or Compliance Certificate or such other updates permitted by this Agreement) delivered to Lender in connection herewith in respect of which Borrower or such Subsidiary has given Lender notice and taken such actions as are necessary to give Lender a perfected security interest therein as required under this Agreement. The Accounts are bona fide, existing obligations of the Account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-814070</wp:posOffset>
            </wp:positionV>
            <wp:extent cx="9074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167" w:lineRule="exact"/>
        <w:rPr>
          <w:sz w:val="20"/>
          <w:szCs w:val="20"/>
          <w:color w:val="auto"/>
        </w:rPr>
      </w:pPr>
    </w:p>
    <w:p>
      <w:pPr>
        <w:ind w:firstLine="1505"/>
        <w:spacing w:after="0" w:line="277" w:lineRule="auto"/>
        <w:tabs>
          <w:tab w:leader="none" w:pos="185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security interest granted herein is a first priority perfected (to the extent required hereunder) security interest in the Collateral, subject only to involuntary Permitted Liens that, under applicable law, have priority over Lender’s Lien.</w:t>
      </w:r>
    </w:p>
    <w:p>
      <w:pPr>
        <w:spacing w:after="0" w:line="156" w:lineRule="exact"/>
        <w:rPr>
          <w:rFonts w:ascii="Arial" w:cs="Arial" w:eastAsia="Arial" w:hAnsi="Arial"/>
          <w:sz w:val="18"/>
          <w:szCs w:val="18"/>
          <w:color w:val="auto"/>
        </w:rPr>
      </w:pPr>
    </w:p>
    <w:p>
      <w:pPr>
        <w:jc w:val="both"/>
        <w:ind w:right="20" w:firstLine="1505"/>
        <w:spacing w:after="0" w:line="248" w:lineRule="auto"/>
        <w:tabs>
          <w:tab w:leader="none" w:pos="1857"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the Closing Date, and except as disclosed on the Perfection Certificate (i) the Collateral is not in the possession of any third party bailee (other than such immaterial Collateral not in excess of One Million Dollars ($1,000,000.00)), and (ii) no such third party bailee possesses components of the Collateral in excess of One Million Dollars ($1,000,000.00).</w:t>
      </w:r>
    </w:p>
    <w:p>
      <w:pPr>
        <w:spacing w:after="0" w:line="195"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Inventory (to the extent that have passed inspection and accepted by Borrower or its Subsidiaries) and Equipment is in all material respects of good and marketable quality, free from material defects.</w:t>
      </w:r>
    </w:p>
    <w:p>
      <w:pPr>
        <w:spacing w:after="0" w:line="170"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free and clear of all Liens other than Permitted Liens and over the counter software that is commercially available to the public. Except as noted on the Perfection Certificate (which, upon the consummation of a transaction not prohibited by this Agreement, may be updated to reflect such transaction), public reports filed with the SEC or such other updates permitted by this Agreement, neither Borrower nor any of its Subsidiaries is a party to, nor is bound by, any material license or other Material Agreement.</w:t>
      </w:r>
    </w:p>
    <w:p>
      <w:pPr>
        <w:spacing w:after="0" w:line="181"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 of Borrower or any of its Subsidiaries has used any software or other materials that are subject to an open-source or similar license (including the General Public License, Lesser General Public License, Mozilla Public License, or Affero License) (collectively, “</w:t>
      </w:r>
      <w:r>
        <w:rPr>
          <w:rFonts w:ascii="Arial" w:cs="Arial" w:eastAsia="Arial" w:hAnsi="Arial"/>
          <w:sz w:val="18"/>
          <w:szCs w:val="18"/>
          <w:u w:val="single" w:color="auto"/>
          <w:color w:val="auto"/>
        </w:rPr>
        <w:t>Open Source</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Licenses</w:t>
      </w:r>
      <w:r>
        <w:rPr>
          <w:rFonts w:ascii="Arial" w:cs="Arial" w:eastAsia="Arial" w:hAnsi="Arial"/>
          <w:sz w:val="18"/>
          <w:szCs w:val="18"/>
          <w:color w:val="auto"/>
        </w:rPr>
        <w:t>”) in a manner that would cause any software or other materials owned by any Borrower or used in any Borrower products to have to be (i) distributed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8"/>
          <w:szCs w:val="18"/>
          <w:color w:val="auto"/>
        </w:rPr>
        <w:t>third parties at no charge or a minimal charge, (ii) licensed to third parties for the purpose of creating modifications or derivative works, or (iii) subject to the terms of such Open Source License.</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5.03. Litigation . Except as disclosed on the Perfection Certificate or with respect to which Borrower has provided notice as required hereunder, there are no actions, suits, investigations, or proceedings pending or, to the Knowledge of the Responsible Officers, threatened in writing by or against Borrower or any of its Subsidiaries involving more than One Million Dollars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-299720</wp:posOffset>
            </wp:positionV>
            <wp:extent cx="9245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color w:val="auto"/>
        </w:rPr>
        <w:t>5.04. No Material Adverse Change . Lender fairly present,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-152400</wp:posOffset>
            </wp:positionV>
            <wp:extent cx="18764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91"/>
        <w:spacing w:after="0" w:line="265" w:lineRule="auto"/>
        <w:rPr>
          <w:sz w:val="20"/>
          <w:szCs w:val="20"/>
          <w:color w:val="auto"/>
        </w:rPr>
      </w:pPr>
      <w:r>
        <w:rPr>
          <w:rFonts w:ascii="Arial" w:cs="Arial" w:eastAsia="Arial" w:hAnsi="Arial"/>
          <w:sz w:val="17"/>
          <w:szCs w:val="17"/>
          <w:color w:val="auto"/>
        </w:rPr>
        <w:t>All consolidated financial statements for Borrower and its consolidated Subsidiaries, delivered to and in all material respects the consolidated financial condition of Borrower and its consolidated</w:t>
      </w:r>
    </w:p>
    <w:p>
      <w:pPr>
        <w:spacing w:after="0" w:line="1" w:lineRule="exact"/>
        <w:rPr>
          <w:sz w:val="20"/>
          <w:szCs w:val="20"/>
          <w:color w:val="auto"/>
        </w:rPr>
      </w:pPr>
    </w:p>
    <w:p>
      <w:pPr>
        <w:sectPr>
          <w:pgSz w:w="11900" w:h="16838" w:orient="portrait"/>
          <w:cols w:equalWidth="0" w:num="2">
            <w:col w:w="3760" w:space="60"/>
            <w:col w:w="7420"/>
          </w:cols>
          <w:pgMar w:left="320" w:top="328" w:right="339" w:bottom="1440" w:gutter="0" w:footer="0" w:header="0"/>
          <w:type w:val="continuous"/>
        </w:sectPr>
      </w:pPr>
    </w:p>
    <w:p>
      <w:pPr>
        <w:jc w:val="both"/>
        <w:ind w:right="20"/>
        <w:spacing w:after="0" w:line="245" w:lineRule="auto"/>
        <w:rPr>
          <w:sz w:val="20"/>
          <w:szCs w:val="20"/>
          <w:color w:val="auto"/>
        </w:rPr>
      </w:pPr>
      <w:r>
        <w:rPr>
          <w:rFonts w:ascii="Arial" w:cs="Arial" w:eastAsia="Arial" w:hAnsi="Arial"/>
          <w:sz w:val="18"/>
          <w:szCs w:val="18"/>
          <w:color w:val="auto"/>
        </w:rPr>
        <w:t>Subsidiaries, and the consolidated results of operations of Borrower and its consolidated Subsidiaries as of and for the dates presented. Since December 31, 2021, there has not been a Material Adverse Change.</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color w:val="auto"/>
        </w:rPr>
        <w:t>Solvency. Borrower is Solvent. Borrower and each of its Subsidiaries, when taken as a whole, 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882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19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Regulatory Compliance. Neither Borrower nor any of its Subsidiaries is an “investment company” or a company “controlled”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5538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material applicable laws. Borrower and each of its Subsidiaries has obtained all material consents, approvals and authorizations of, made all declarations or filings with, and given all notices to, all Governmental Authorities that are necessary to continue their respective businesses as currently conducted.</w:t>
      </w:r>
    </w:p>
    <w:p>
      <w:pPr>
        <w:spacing w:after="0" w:line="182"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w:t>
      </w:r>
      <w:r>
        <w:rPr>
          <w:rFonts w:ascii="MS PGothic" w:cs="MS PGothic" w:eastAsia="MS PGothic" w:hAnsi="MS PGothic"/>
          <w:sz w:val="18"/>
          <w:szCs w:val="18"/>
          <w:color w:val="auto"/>
        </w:rPr>
        <w:t>‑</w:t>
      </w:r>
      <w:r>
        <w:rPr>
          <w:rFonts w:ascii="Arial" w:cs="Arial" w:eastAsia="Arial" w:hAnsi="Arial"/>
          <w:sz w:val="18"/>
          <w:szCs w:val="18"/>
          <w:color w:val="auto"/>
        </w:rPr>
        <w:t>Terrorism Law, (ii) engaging in or conspiring to engage in any transaction that evades or avoids, or has the purpose of evading or avoiding or attempts to violate, any of the prohibitions set forth in any Anti</w:t>
      </w:r>
      <w:r>
        <w:rPr>
          <w:rFonts w:ascii="MS PGothic" w:cs="MS PGothic" w:eastAsia="MS PGothic" w:hAnsi="MS PGothic"/>
          <w:sz w:val="18"/>
          <w:szCs w:val="18"/>
          <w:color w:val="auto"/>
        </w:rPr>
        <w:t>‑</w:t>
      </w:r>
      <w:r>
        <w:rPr>
          <w:rFonts w:ascii="Arial" w:cs="Arial" w:eastAsia="Arial" w:hAnsi="Arial"/>
          <w:sz w:val="18"/>
          <w:szCs w:val="18"/>
          <w:color w:val="auto"/>
        </w:rPr>
        <w:t>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w:t>
      </w:r>
    </w:p>
    <w:p>
      <w:pPr>
        <w:spacing w:after="0" w:line="193" w:lineRule="exact"/>
        <w:rPr>
          <w:sz w:val="20"/>
          <w:szCs w:val="20"/>
          <w:color w:val="auto"/>
        </w:rPr>
      </w:pPr>
    </w:p>
    <w:p>
      <w:pPr>
        <w:ind w:left="760"/>
        <w:spacing w:after="0"/>
        <w:tabs>
          <w:tab w:leader="none" w:pos="1460" w:val="left"/>
          <w:tab w:leader="none" w:pos="252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8"/>
          <w:szCs w:val="18"/>
          <w:color w:val="auto"/>
        </w:rPr>
        <w:t>Investments.</w:t>
      </w:r>
      <w:r>
        <w:rPr>
          <w:sz w:val="20"/>
          <w:szCs w:val="20"/>
          <w:color w:val="auto"/>
        </w:rPr>
        <w:tab/>
      </w:r>
      <w:r>
        <w:rPr>
          <w:rFonts w:ascii="Arial" w:cs="Arial" w:eastAsia="Arial" w:hAnsi="Arial"/>
          <w:sz w:val="17"/>
          <w:szCs w:val="17"/>
          <w:color w:val="auto"/>
        </w:rPr>
        <w:t>Neither Borrower nor any of its Subsidiaries owns any stock, shares, partnership interests or other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179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except for Permitted Investments.</w:t>
      </w:r>
    </w:p>
    <w:p>
      <w:pPr>
        <w:spacing w:after="0" w:line="19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5.08. Tax Returns and Payments; Pension Contributions. Except as disclosed on the Perfection Certificate or with respect to which Borrower has provided notice as required hereunder, Borrower and each of its Subsidiaries have timely filed all required income and other material tax returns and reports (or extensions thereof), and Borrower and each of its Subsidiaries have timely paid all foreign, federal, state, and local Taxes, assessments, deposits and contributions owed by Borrower and such Subsidiaries in an amount greater than (i) with respect to any state (or local) sales or use taxes (including any value-added tax), One Million Dollars ($1,000,000) and (ii) with respect to all other Taxes, in the aggregate, Two Hundred Fifty Thousand Dollars ($250,000.00),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-950595</wp:posOffset>
            </wp:positionV>
            <wp:extent cx="27559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12" w:name="page113"/>
    <w:bookmarkEnd w:id="112"/>
    <w:p>
      <w:pPr>
        <w:jc w:val="both"/>
        <w:spacing w:after="0" w:line="257" w:lineRule="auto"/>
        <w:rPr>
          <w:sz w:val="20"/>
          <w:szCs w:val="20"/>
          <w:color w:val="auto"/>
        </w:rPr>
      </w:pPr>
      <w:r>
        <w:rPr>
          <w:rFonts w:ascii="Arial" w:cs="Arial" w:eastAsia="Arial" w:hAnsi="Arial"/>
          <w:sz w:val="17"/>
          <w:szCs w:val="17"/>
          <w:color w:val="auto"/>
        </w:rPr>
        <w:t>by appropriate proceedings promptly and diligently instituted and conducted; and (b) maintains adequate reserves or other appropriate provisions on its books in accordance with GAAP, and provided, further, that such action would not involve, in the reasonable judgment of Lender, any risk of the sale, forfeiture or loss of any material portion of the Collateral. Except as disclosed on the Perfection Certificate or with respect to which Borrower has provided notice as required hereunder, neither Borrower nor any of its Subsidiaries is aware of any claims or adjustments proposed for any of Borrower’s or such Subsidiary’s prior Tax years which could result in additional Taxes greater than (i) with respect to any state (or local) sales or use taxes (including any value-added tax), One Million Dollars ($1,000,000) and (ii) with respect to all other Taxes, in the aggregate, Two Hundred Fifty Thousand Dollars ($250,000.00) becoming due and payable by Borrower or its Subsidiaries. Borrower and each of its Subsidiaries have paid all amounts necessary to fund in all material respects all present pension, profit sharing and deferred compensation plans in accordance with their terms, and neither Borrower nor any of its Subsidiaries has withdrawn from participation in, has permitted partial or complete termination of, or has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95"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5.09. Use of Proceeds. The extensions of credit under and proceeds of the Credit Facility shall be used (i) to repay existing Indebtedness of Borrower and (ii) for working capital and general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12077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5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7"/>
          <w:szCs w:val="17"/>
          <w:color w:val="auto"/>
        </w:rPr>
        <w:t>Full Disclosure.  No written representation, warranty or other statement of Borrower or any of its Subsidiaries in any certificate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1753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written statement, when taken as a whole, given to Lender in connection with the Loan Documents, as of the date such representation, warranty, or other statement was made, taken together with all such written certificates and written statements given to Lender in connection with the Loan Documents, and together with public reports filed by Borrower with the SEC, contains any untrue statement of a material fact or omits to state a material fact necessary to make the statements contained in the certificates or statements not materially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9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5.11. Healthcare Matters. In each case, except as disclosed on the Perfection Certificate or with respect to which Borrower has provided notice as required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13462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51" w:lineRule="exact"/>
        <w:rPr>
          <w:sz w:val="20"/>
          <w:szCs w:val="20"/>
          <w:color w:val="auto"/>
        </w:rPr>
      </w:pPr>
    </w:p>
    <w:p>
      <w:pPr>
        <w:jc w:val="both"/>
        <w:ind w:firstLine="1505"/>
        <w:spacing w:after="0" w:line="245" w:lineRule="auto"/>
        <w:tabs>
          <w:tab w:leader="none" w:pos="185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Healthcare Permits</w:t>
      </w:r>
      <w:r>
        <w:rPr>
          <w:rFonts w:ascii="Arial" w:cs="Arial" w:eastAsia="Arial" w:hAnsi="Arial"/>
          <w:sz w:val="18"/>
          <w:szCs w:val="18"/>
          <w:color w:val="auto"/>
        </w:rPr>
        <w:t>. Borrower has (i) each Healthcare Permit from, and has made all required declarations and filings with, all applicable Governmental Authorities, and all courts and other tribunals applicable to its assets, business or operations, except for the failure to so maintain or make would not reasonably be expected to result in a Material Adverse Change, and (ii) no Knowledge that any Governmental Authority is considering limiting, suspending or revoking any such Healthcare Permit. All such Healthcare Permits are valid and in full force and effect, and Borrower is in material compliance with the terms and conditions of all such Healthcare Permits.</w:t>
      </w:r>
    </w:p>
    <w:p>
      <w:pPr>
        <w:spacing w:after="0" w:line="199" w:lineRule="exact"/>
        <w:rPr>
          <w:rFonts w:ascii="Arial" w:cs="Arial" w:eastAsia="Arial" w:hAnsi="Arial"/>
          <w:sz w:val="18"/>
          <w:szCs w:val="18"/>
          <w:color w:val="auto"/>
        </w:rPr>
      </w:pPr>
    </w:p>
    <w:p>
      <w:pPr>
        <w:ind w:firstLine="1505"/>
        <w:spacing w:after="0" w:line="261" w:lineRule="auto"/>
        <w:tabs>
          <w:tab w:leader="none" w:pos="185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Medicare and Medicaid</w:t>
      </w:r>
      <w:r>
        <w:rPr>
          <w:rFonts w:ascii="Arial" w:cs="Arial" w:eastAsia="Arial" w:hAnsi="Arial"/>
          <w:sz w:val="18"/>
          <w:szCs w:val="18"/>
          <w:color w:val="auto"/>
        </w:rPr>
        <w:t>. Borrower does not bill, receive reimbursement from or otherwise participate as a provider or supplier in the Medicare or Medicaid program.</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Violation of Healthcare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60" w:hanging="357"/>
        <w:spacing w:after="0"/>
        <w:tabs>
          <w:tab w:leader="none" w:pos="33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Borrower is not and, during the past three (3) years, has not been in material violation of any Healthcare</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Laws.</w:t>
      </w:r>
    </w:p>
    <w:p>
      <w:pPr>
        <w:spacing w:after="0" w:line="195" w:lineRule="exact"/>
        <w:rPr>
          <w:rFonts w:ascii="Arial" w:cs="Arial" w:eastAsia="Arial" w:hAnsi="Arial"/>
          <w:sz w:val="17"/>
          <w:szCs w:val="17"/>
          <w:color w:val="auto"/>
        </w:rPr>
      </w:pPr>
    </w:p>
    <w:p>
      <w:pPr>
        <w:jc w:val="both"/>
        <w:ind w:firstLine="1505"/>
        <w:spacing w:after="0" w:line="267" w:lineRule="auto"/>
        <w:tabs>
          <w:tab w:leader="none" w:pos="1871"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Healthcare Proceedings</w:t>
      </w:r>
      <w:r>
        <w:rPr>
          <w:rFonts w:ascii="Arial" w:cs="Arial" w:eastAsia="Arial" w:hAnsi="Arial"/>
          <w:sz w:val="17"/>
          <w:szCs w:val="17"/>
          <w:color w:val="auto"/>
        </w:rPr>
        <w:t>. Borrower is not subject to any Healthcare Proceeding or, to Borrower’s Knowledge, investigation by any Governmental Authority relating to any actual or alleged non-compliance with any Healthcare Law in any material respect. To Borrower’s Knowledge, there are no facts, circumstances or conditions that would reasonably be expected to form the basis for any such Healthcare Proceeding against Borrower or any Subsidiary of Borrower. There currently exist no material restrictions, deficiencies, required plans of correction or other such remedial measures with respect to any Healthcare Permit of Borrower or any Subsidiary of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3" w:name="page114"/>
    <w:bookmarkEnd w:id="113"/>
    <w:p>
      <w:pPr>
        <w:jc w:val="both"/>
        <w:ind w:firstLine="1505"/>
        <w:spacing w:after="0" w:line="249" w:lineRule="auto"/>
        <w:tabs>
          <w:tab w:leader="none" w:pos="187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Material Statements</w:t>
      </w:r>
      <w:r>
        <w:rPr>
          <w:rFonts w:ascii="Arial" w:cs="Arial" w:eastAsia="Arial" w:hAnsi="Arial"/>
          <w:sz w:val="18"/>
          <w:szCs w:val="18"/>
          <w:color w:val="auto"/>
        </w:rPr>
        <w:t>. Neither Borrower, nor any Subsidiary of Borrower, nor, to Borrower’s Knowledge any officer, affiliate, employee or agent of Borrower or any Subsidiary of Borrower,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would reasonably be expected to constitute a violation of any Healthcare Law.</w:t>
      </w:r>
    </w:p>
    <w:p>
      <w:pPr>
        <w:spacing w:after="0" w:line="181" w:lineRule="exact"/>
        <w:rPr>
          <w:rFonts w:ascii="Arial" w:cs="Arial" w:eastAsia="Arial" w:hAnsi="Arial"/>
          <w:sz w:val="18"/>
          <w:szCs w:val="18"/>
          <w:color w:val="auto"/>
        </w:rPr>
      </w:pPr>
    </w:p>
    <w:p>
      <w:pPr>
        <w:jc w:val="both"/>
        <w:ind w:firstLine="1505"/>
        <w:spacing w:after="0" w:line="257" w:lineRule="auto"/>
        <w:tabs>
          <w:tab w:leader="none" w:pos="1857"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Prohibited Transactions</w:t>
      </w:r>
      <w:r>
        <w:rPr>
          <w:rFonts w:ascii="Arial" w:cs="Arial" w:eastAsia="Arial" w:hAnsi="Arial"/>
          <w:sz w:val="17"/>
          <w:szCs w:val="17"/>
          <w:color w:val="auto"/>
        </w:rPr>
        <w:t>. Neither Borrower, nor any Subsidiary of Borrower, nor, to Borrower’s Knowledge, any officer, affiliate, employee or agent of Borrower or any Subsidiary of Borrower, directly or indirectly, has (i) offered or paid or solicited or received any remuneration, in cash or in kind, or made any financial arrangements, in violation of any Healthcare Law; (ii) given or agreed to give, or is aware that there has been made or that there is any agreement to make, any gift or gratuitous payment of any kind, nature or description (whether in money, property or services) in violation of any Healthcare Law; (iii) made or agreed to make, or is aware that there has been made or that there is any agreement to make, any contribution, payment or gift of funds or property to, or for the private use of, any governmental official, employee or agent where either the contribution, payment or gift or the purpose of such contribution, payment or gift is or was in violation of any Healthcare Law; (iv) established or maintained any unrecorded fund or asset for any purpose or made any misleading, false or artificial entries on any of its books or records for any reason in violation of any Healthcare Law; or (v) made, or agreed to make, or is aware that there has been made or that there is any agreement to make, any payment to any person with the intention or understanding that any part of such payment would be in violation of any Healthcare Law. To the Knowledge of Borrower, no person has filed or has threatened to file against Borrower or any of its Subsidiaries an action under any federal or state whistleblower statute, including under the False Claims Act of 1863 (31 U.S.C. § 3729 et seq.).</w:t>
      </w:r>
    </w:p>
    <w:p>
      <w:pPr>
        <w:spacing w:after="0" w:line="188" w:lineRule="exact"/>
        <w:rPr>
          <w:rFonts w:ascii="Arial" w:cs="Arial" w:eastAsia="Arial" w:hAnsi="Arial"/>
          <w:sz w:val="17"/>
          <w:szCs w:val="17"/>
          <w:color w:val="auto"/>
        </w:rPr>
      </w:pPr>
    </w:p>
    <w:p>
      <w:pPr>
        <w:jc w:val="both"/>
        <w:ind w:firstLine="1505"/>
        <w:spacing w:after="0" w:line="243" w:lineRule="auto"/>
        <w:tabs>
          <w:tab w:leader="none" w:pos="188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Exclusion</w:t>
      </w:r>
      <w:r>
        <w:rPr>
          <w:rFonts w:ascii="Arial" w:cs="Arial" w:eastAsia="Arial" w:hAnsi="Arial"/>
          <w:sz w:val="18"/>
          <w:szCs w:val="18"/>
          <w:color w:val="auto"/>
        </w:rPr>
        <w:t>. Neither Borrower, nor any Subsidiary of Borrower, nor any owner, officer, director, partner, agent, managing employee or Person with a “direct or indirect ownership interest” (as that phrase is defined in 42 C.F.R. § 420.201) in Borrower or any Subsidiary of Borrower has been (or, to Borrower’s Knowledge, has been threatened to be) (i) excluded from Medicare or Medicaid pursuant to 42 U.S.C. § 1320a-7 and related regulations, or (ii) “suspended” or “debarred” from selling products to the U.S. government or its agencies pursuant to the Federal Acquisition Regulation, relating to debarment and suspension applicable to federal government agencies generally (42 C.F.R. Subpart 9.4), or other applicable laws or regulations.</w:t>
      </w:r>
    </w:p>
    <w:p>
      <w:pPr>
        <w:spacing w:after="0" w:line="200" w:lineRule="exact"/>
        <w:rPr>
          <w:rFonts w:ascii="Arial" w:cs="Arial" w:eastAsia="Arial" w:hAnsi="Arial"/>
          <w:sz w:val="18"/>
          <w:szCs w:val="18"/>
          <w:color w:val="auto"/>
        </w:rPr>
      </w:pPr>
    </w:p>
    <w:p>
      <w:pPr>
        <w:jc w:val="both"/>
        <w:ind w:firstLine="1505"/>
        <w:spacing w:after="0" w:line="245" w:lineRule="auto"/>
        <w:tabs>
          <w:tab w:leader="none" w:pos="187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Corporate Integrity Agreement</w:t>
      </w:r>
      <w:r>
        <w:rPr>
          <w:rFonts w:ascii="Arial" w:cs="Arial" w:eastAsia="Arial" w:hAnsi="Arial"/>
          <w:sz w:val="18"/>
          <w:szCs w:val="18"/>
          <w:color w:val="auto"/>
        </w:rPr>
        <w:t>. Neither Borrower, nor any Subsidiary of Borrower, nor any owner, officer, director, partner, agent, managing employee or Person with a “direct or indirect ownership interest” (as that phrase is defined in 42 C.F.R. §1001.1001) in Borrower or any Subsidiary of Borrower is a party to, or bound by, any order, individual integrity agreement, corporate integrity agreement, corporate compliance agreement, deferred prosecution agreement, or other formal or informal agreement with any Governmental Authority concerning compliance with Healthcare Laws.</w:t>
      </w:r>
    </w:p>
    <w:p>
      <w:pPr>
        <w:spacing w:after="0" w:line="185" w:lineRule="exact"/>
        <w:rPr>
          <w:rFonts w:ascii="Arial" w:cs="Arial" w:eastAsia="Arial" w:hAnsi="Arial"/>
          <w:sz w:val="18"/>
          <w:szCs w:val="18"/>
          <w:color w:val="auto"/>
        </w:rPr>
      </w:pPr>
    </w:p>
    <w:p>
      <w:pPr>
        <w:ind w:left="1860" w:hanging="355"/>
        <w:spacing w:after="0"/>
        <w:tabs>
          <w:tab w:leader="none" w:pos="18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Regulatory Compliance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3003"/>
        <w:spacing w:after="0" w:line="258" w:lineRule="auto"/>
        <w:tabs>
          <w:tab w:leader="none" w:pos="3355" w:val="left"/>
        </w:tabs>
        <w:numPr>
          <w:ilvl w:val="1"/>
          <w:numId w:val="89"/>
        </w:numPr>
        <w:rPr>
          <w:rFonts w:ascii="Arial" w:cs="Arial" w:eastAsia="Arial" w:hAnsi="Arial"/>
          <w:sz w:val="17"/>
          <w:szCs w:val="17"/>
          <w:color w:val="auto"/>
        </w:rPr>
      </w:pPr>
      <w:r>
        <w:rPr>
          <w:rFonts w:ascii="Arial" w:cs="Arial" w:eastAsia="Arial" w:hAnsi="Arial"/>
          <w:sz w:val="17"/>
          <w:szCs w:val="17"/>
          <w:color w:val="auto"/>
        </w:rPr>
        <w:t>Borrower is and, during the past three (3) years, has been in compliance in all material respects with all applicable Healthcare Laws. Borrower has, and it and its products are in conformance in all material respects with, all Registrations that are required to conduct its business as currently conducted, or as proposed to be conducted. To Borrower’s Knowledge, no Regulatory Authority is considering limiting, suspending, or revoking such Registrations or requiring material changes to the marketing classification or labeling, where such changes would reasonably be expected to result in a Material Adverse Change on any product of any Borrower. To the Knowledge of Borrower, any third party that is a manufacturer, supplier, distributor or contractor for Borrower is in material compliance, and has been (to the extent applicable) in material compliance for the previous five (5) years, with all Registrations required by relevant Regulatory Authorities and all applicable Healthcare Laws that reasonably pertain to product components of, accessories to, or products regulated medical devices and marketed or distributed by Borrower. To Borrower’s Knowledge, there are no facts that furnish any reasonable basis for any Regulatory Action by that Regulatory Authority that would reasonably be expected to result in a Material Adverse Change on Borrower or any product of any Borrower.</w:t>
      </w:r>
    </w:p>
    <w:p>
      <w:pPr>
        <w:spacing w:after="0" w:line="193" w:lineRule="exact"/>
        <w:rPr>
          <w:rFonts w:ascii="Arial" w:cs="Arial" w:eastAsia="Arial" w:hAnsi="Arial"/>
          <w:sz w:val="17"/>
          <w:szCs w:val="17"/>
          <w:color w:val="auto"/>
        </w:rPr>
      </w:pPr>
    </w:p>
    <w:p>
      <w:pPr>
        <w:ind w:right="60" w:firstLine="3003"/>
        <w:spacing w:after="0" w:line="261" w:lineRule="auto"/>
        <w:tabs>
          <w:tab w:leader="none" w:pos="335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products designed, developed, investigated, manufactured, prepared, assembled, packaged, tested, labeled, distributed, promoted, sold or marketed by or on behalf of Borrower that 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4" w:name="page115"/>
    <w:bookmarkEnd w:id="114"/>
    <w:p>
      <w:pPr>
        <w:jc w:val="both"/>
        <w:spacing w:after="0" w:line="278" w:lineRule="auto"/>
        <w:rPr>
          <w:sz w:val="20"/>
          <w:szCs w:val="20"/>
          <w:color w:val="auto"/>
        </w:rPr>
      </w:pPr>
      <w:r>
        <w:rPr>
          <w:rFonts w:ascii="Arial" w:cs="Arial" w:eastAsia="Arial" w:hAnsi="Arial"/>
          <w:sz w:val="17"/>
          <w:szCs w:val="17"/>
          <w:color w:val="auto"/>
        </w:rPr>
        <w:t>subject to the jurisdiction of any Regulatory Authority have been and are being, to the Knowledge of Borrower, designed, developed, investigated, manufactured, prepared, assembled, packaged, tested, labeled, distributed, promoted, sold and marketed in compliance in all material respects with all applicable Healthcare Laws and, to the Knowledge of Borrower, have been (to the extent applicable) for the previous five (5) years.</w:t>
      </w:r>
    </w:p>
    <w:p>
      <w:pPr>
        <w:spacing w:after="0" w:line="158" w:lineRule="exact"/>
        <w:rPr>
          <w:sz w:val="20"/>
          <w:szCs w:val="20"/>
          <w:color w:val="auto"/>
        </w:rPr>
      </w:pPr>
    </w:p>
    <w:p>
      <w:pPr>
        <w:jc w:val="both"/>
        <w:ind w:firstLine="3003"/>
        <w:spacing w:after="0" w:line="249" w:lineRule="auto"/>
        <w:tabs>
          <w:tab w:leader="none" w:pos="33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the Closing Date, no Borrower is subject to any obligation arising under a Regulatory Action, and, to Borrower’s Knowledge, no such obligation has been threatened. There is no Regulatory Action or, to Borrower’s Knowledge, any other civil, criminal or administrative action, suit, demand, claim, complaint, hearing, investigation, demand letter, proceeding or request for information pending against Borrower or an officer, director, or employee of Borrower. To Borrower’s Knowledge no Borrower has any material outstanding liability (whether actual or contingent) for failure to comply with any applicable Healthcare Laws.</w:t>
      </w:r>
    </w:p>
    <w:p>
      <w:pPr>
        <w:spacing w:after="0" w:line="181" w:lineRule="exact"/>
        <w:rPr>
          <w:rFonts w:ascii="Arial" w:cs="Arial" w:eastAsia="Arial" w:hAnsi="Arial"/>
          <w:sz w:val="18"/>
          <w:szCs w:val="18"/>
          <w:color w:val="auto"/>
        </w:rPr>
      </w:pPr>
    </w:p>
    <w:p>
      <w:pPr>
        <w:ind w:right="20" w:firstLine="3003"/>
        <w:spacing w:after="0" w:line="261" w:lineRule="auto"/>
        <w:tabs>
          <w:tab w:leader="none" w:pos="33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the Closing Date, no Loan Party is undergoing any inspection by any Regulatory Authority related to any activities or products of Borrower that are subject to any Healthcare Laws.</w:t>
      </w:r>
    </w:p>
    <w:p>
      <w:pPr>
        <w:spacing w:after="0" w:line="170" w:lineRule="exact"/>
        <w:rPr>
          <w:rFonts w:ascii="Arial" w:cs="Arial" w:eastAsia="Arial" w:hAnsi="Arial"/>
          <w:sz w:val="18"/>
          <w:szCs w:val="18"/>
          <w:color w:val="auto"/>
        </w:rPr>
      </w:pPr>
    </w:p>
    <w:p>
      <w:pPr>
        <w:ind w:firstLine="3003"/>
        <w:spacing w:after="0" w:line="249" w:lineRule="auto"/>
        <w:tabs>
          <w:tab w:leader="none" w:pos="33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Borrower has received any written notice from any Regulatory Authority alleging material noncompliance with any applicable Healthcare Law. No product has been seized, withdrawn, recalled, detained, or subject to a suspension of research, manufacturing, distribution or commercialization activity. No proceedings seeking the withdrawal, recall, revocation, suspension, import detention, or seizure of any product are pending or, to Borrower’s Knowledge, threatened against any Borrower, and to the Knowledge of Borrower, there are no reasonable grounds for the same.</w:t>
      </w:r>
    </w:p>
    <w:p>
      <w:pPr>
        <w:spacing w:after="0" w:line="181" w:lineRule="exact"/>
        <w:rPr>
          <w:rFonts w:ascii="Arial" w:cs="Arial" w:eastAsia="Arial" w:hAnsi="Arial"/>
          <w:sz w:val="18"/>
          <w:szCs w:val="18"/>
          <w:color w:val="auto"/>
        </w:rPr>
      </w:pPr>
    </w:p>
    <w:p>
      <w:pPr>
        <w:jc w:val="both"/>
        <w:ind w:firstLine="3003"/>
        <w:spacing w:after="0" w:line="259" w:lineRule="auto"/>
        <w:tabs>
          <w:tab w:leader="none" w:pos="33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Clinical or preclinical studies, tests or trials that have been or are being conducted by or on behalf of, or sponsored by, Borrower or any Subsidiary, or in which Borrower’s or any Subsidiary’s products or product candidates have participated, and which have been or will be submitted to the FDA or other Governmental Authorities in connection with applications for Governmental Approvals, were and, if still pending, are being conducted in compliance in all material respects with all applicable Healthcare Laws. No investigational device exemption or other allowance to commence a clinical trial filed with or submitted to the FDA or other Governmental Authority by or on behalf of Borrower or any Subsidiary has been terminated or suspended, and neither the FDA nor any applicable Governmental Authority has commenced, or to the Knowledge of Borrower, threatened to initiate, any action to place a clinical hold order on, or otherwise terminate, delay or suspend, any proposed or ongoing clinical investigation conducted or proposed to be conducted by or on behalf of Borrower or any Subsidiary.</w:t>
      </w:r>
    </w:p>
    <w:p>
      <w:pPr>
        <w:spacing w:after="0" w:line="188" w:lineRule="exact"/>
        <w:rPr>
          <w:rFonts w:ascii="Arial" w:cs="Arial" w:eastAsia="Arial" w:hAnsi="Arial"/>
          <w:sz w:val="17"/>
          <w:szCs w:val="17"/>
          <w:color w:val="auto"/>
        </w:rPr>
      </w:pPr>
    </w:p>
    <w:p>
      <w:pPr>
        <w:jc w:val="both"/>
        <w:ind w:firstLine="3003"/>
        <w:spacing w:after="0" w:line="258" w:lineRule="auto"/>
        <w:tabs>
          <w:tab w:leader="none" w:pos="33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Borrower and each Subsidiary has obtained and maintained all Governmental Approvals, including any Governmental Approvals required pursuant to any applicable Healthcare Laws, and all of such Governmental Approvals are in full force and effect, except where failures to possess or maintain the same, could not, whether individually or in the aggregate, reasonably be expected to have a Material Adverse Change. Borrower and each Subsidiary has fulfilled and performed all of its material obligations with respect to the Governmental Approvals, and, to the Knowledge of Borrower, no event has occurred which allows, or after notice or lapse of time would allow, revocation or termination thereof or result in any other impairment of the rights of the holder of any such Governmental Approval, except where such revocations, terminations or impairments could not, whether individually or in the aggregate, reasonably be expected to have a Material Adverse Change.</w:t>
      </w:r>
    </w:p>
    <w:p>
      <w:pPr>
        <w:spacing w:after="0" w:line="189" w:lineRule="exact"/>
        <w:rPr>
          <w:rFonts w:ascii="Arial" w:cs="Arial" w:eastAsia="Arial" w:hAnsi="Arial"/>
          <w:sz w:val="17"/>
          <w:szCs w:val="17"/>
          <w:color w:val="auto"/>
        </w:rPr>
      </w:pPr>
    </w:p>
    <w:p>
      <w:pPr>
        <w:jc w:val="both"/>
        <w:ind w:firstLine="3003"/>
        <w:spacing w:after="0" w:line="243" w:lineRule="auto"/>
        <w:tabs>
          <w:tab w:leader="none" w:pos="37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have been no recalls, field notifications, field corrections, market withdrawals or replacements, warnings, “dear doctor” letters, investigator notices, safety alerts or other notice of action relating to an alleged lack of safety, efficacy, or regulatory compliance of any of Borrower’s or its Subsidiaries’ products (collectively, “</w:t>
      </w:r>
      <w:r>
        <w:rPr>
          <w:rFonts w:ascii="Arial" w:cs="Arial" w:eastAsia="Arial" w:hAnsi="Arial"/>
          <w:sz w:val="18"/>
          <w:szCs w:val="18"/>
          <w:u w:val="single" w:color="auto"/>
          <w:color w:val="auto"/>
        </w:rPr>
        <w:t>Safety Notices</w:t>
      </w:r>
      <w:r>
        <w:rPr>
          <w:rFonts w:ascii="Arial" w:cs="Arial" w:eastAsia="Arial" w:hAnsi="Arial"/>
          <w:sz w:val="18"/>
          <w:szCs w:val="18"/>
          <w:color w:val="auto"/>
        </w:rPr>
        <w:t>”) within the past three years, and to the Knowledge of Borrower, there are no facts or circumstances that would be reasonably likely to result in (i) a material Safety Notice with respect to any of Borrower’s or its Subsidiaries’ products, (ii) a material adverse change in labeling of any of Borrower’s or its Subsidiaries’ products; or (iii) a termination or suspension of marketing or testing of any Borrower’s or its Subsidiaries’ products.</w:t>
      </w:r>
    </w:p>
    <w:p>
      <w:pPr>
        <w:spacing w:after="0" w:line="20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 xml:space="preserve">Environmental Matters. Except as disclosed on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hereto, Borrower has no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5138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192" w:lineRule="exact"/>
        <w:rPr>
          <w:sz w:val="20"/>
          <w:szCs w:val="20"/>
          <w:color w:val="auto"/>
        </w:rPr>
      </w:pPr>
    </w:p>
    <w:p>
      <w:pPr>
        <w:ind w:right="20" w:firstLine="1505"/>
        <w:spacing w:after="0" w:line="261" w:lineRule="auto"/>
        <w:tabs>
          <w:tab w:leader="none" w:pos="18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of violations of any Environmental Laws on any of the real property on which Borrower maintains operations or has its personal Property, or on which any Collateral is located;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jc w:val="both"/>
        <w:ind w:firstLine="1505"/>
        <w:spacing w:after="0" w:line="256" w:lineRule="auto"/>
        <w:tabs>
          <w:tab w:leader="none" w:pos="18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any claims or actions pending or threatened, or claims or actions in the past during Borrower’s period of ownership, against Borrower or any of such real property by any governmental entity or agency or by any other Person or entity relating to Hazardous Substances or pursuant to any Environmental Laws;</w:t>
      </w:r>
    </w:p>
    <w:p>
      <w:pPr>
        <w:spacing w:after="0" w:line="174" w:lineRule="exact"/>
        <w:rPr>
          <w:rFonts w:ascii="Arial" w:cs="Arial" w:eastAsia="Arial" w:hAnsi="Arial"/>
          <w:sz w:val="18"/>
          <w:szCs w:val="18"/>
          <w:color w:val="auto"/>
        </w:rPr>
      </w:pPr>
    </w:p>
    <w:p>
      <w:pPr>
        <w:ind w:left="1860" w:hanging="355"/>
        <w:spacing w:after="0"/>
        <w:tabs>
          <w:tab w:leader="none" w:pos="1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the presence of any Hazardous Substances on any of such real property;</w:t>
      </w:r>
    </w:p>
    <w:p>
      <w:pPr>
        <w:spacing w:after="0" w:line="225" w:lineRule="exact"/>
        <w:rPr>
          <w:rFonts w:ascii="Arial" w:cs="Arial" w:eastAsia="Arial" w:hAnsi="Arial"/>
          <w:sz w:val="18"/>
          <w:szCs w:val="18"/>
          <w:color w:val="auto"/>
        </w:rPr>
      </w:pPr>
    </w:p>
    <w:p>
      <w:pPr>
        <w:ind w:right="20" w:firstLine="1505"/>
        <w:spacing w:after="0" w:line="291" w:lineRule="auto"/>
        <w:tabs>
          <w:tab w:leader="none" w:pos="1857" w:val="left"/>
        </w:tabs>
        <w:numPr>
          <w:ilvl w:val="0"/>
          <w:numId w:val="92"/>
        </w:numPr>
        <w:rPr>
          <w:rFonts w:ascii="Arial" w:cs="Arial" w:eastAsia="Arial" w:hAnsi="Arial"/>
          <w:sz w:val="17"/>
          <w:szCs w:val="17"/>
          <w:color w:val="auto"/>
        </w:rPr>
      </w:pPr>
      <w:r>
        <w:rPr>
          <w:rFonts w:ascii="Arial" w:cs="Arial" w:eastAsia="Arial" w:hAnsi="Arial"/>
          <w:sz w:val="17"/>
          <w:szCs w:val="17"/>
          <w:color w:val="auto"/>
        </w:rPr>
        <w:t>of any such real property ever having been used by Borrower or, to Borrower’s Knowledge, any other Person, to refine, produce, store, handle, transfer, process, transport or dispose of Hazardous Substances other than in full compliance with Environmental Laws;</w:t>
      </w:r>
    </w:p>
    <w:p>
      <w:pPr>
        <w:spacing w:after="0" w:line="146" w:lineRule="exact"/>
        <w:rPr>
          <w:rFonts w:ascii="Arial" w:cs="Arial" w:eastAsia="Arial" w:hAnsi="Arial"/>
          <w:sz w:val="17"/>
          <w:szCs w:val="17"/>
          <w:color w:val="auto"/>
        </w:rPr>
      </w:pPr>
    </w:p>
    <w:p>
      <w:pPr>
        <w:ind w:firstLine="1505"/>
        <w:spacing w:after="0" w:line="277" w:lineRule="auto"/>
        <w:tabs>
          <w:tab w:leader="none" w:pos="18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storage tanks (including petroleum or heating oil storage tanks), underground or above ground, present on or under any of such real property, or that have been on or under any such real property but removed therefrom;</w:t>
      </w:r>
    </w:p>
    <w:p>
      <w:pPr>
        <w:spacing w:after="0" w:line="156" w:lineRule="exact"/>
        <w:rPr>
          <w:rFonts w:ascii="Arial" w:cs="Arial" w:eastAsia="Arial" w:hAnsi="Arial"/>
          <w:sz w:val="18"/>
          <w:szCs w:val="18"/>
          <w:color w:val="auto"/>
        </w:rPr>
      </w:pPr>
    </w:p>
    <w:p>
      <w:pPr>
        <w:ind w:right="40" w:firstLine="1505"/>
        <w:spacing w:after="0" w:line="261" w:lineRule="auto"/>
        <w:tabs>
          <w:tab w:leader="none" w:pos="18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any on-site spills, releases, discharges, disposal or storage of Hazardous Substances that have occurred or are presently occurring on any of such real property; or</w:t>
      </w:r>
    </w:p>
    <w:p>
      <w:pPr>
        <w:spacing w:after="0" w:line="170" w:lineRule="exact"/>
        <w:rPr>
          <w:rFonts w:ascii="Arial" w:cs="Arial" w:eastAsia="Arial" w:hAnsi="Arial"/>
          <w:sz w:val="18"/>
          <w:szCs w:val="18"/>
          <w:color w:val="auto"/>
        </w:rPr>
      </w:pPr>
    </w:p>
    <w:p>
      <w:pPr>
        <w:ind w:right="20" w:firstLine="1505"/>
        <w:spacing w:after="0" w:line="277" w:lineRule="auto"/>
        <w:tabs>
          <w:tab w:leader="none" w:pos="18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 any spills, releases, discharges, disposal or storage of Hazardous Substances that have occurred or are presently occurring on any other real property as a result of the conduct, action or activities of Borrower.</w:t>
      </w:r>
    </w:p>
    <w:p>
      <w:pPr>
        <w:spacing w:after="0" w:line="157"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4572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9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Lockboxes. The Commercial Lockbox is the only lockbox accounts maintained by Borrower, and each Obligor of an Eligible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582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has been directed, and is required to, remit all payments with respect to such Account for deposit in the Commercial Lockbox.</w:t>
      </w:r>
    </w:p>
    <w:p>
      <w:pPr>
        <w:spacing w:after="0" w:line="197"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5.15. Borrowing Base Certificates . Each Borrowing Base Certificate signed by Borrower, on behalf of Borrower, contains an accurate summary of all Eligible Accounts and Eligible Inventory of Borrower contained in the Borrowing Base as of its date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-179705</wp:posOffset>
            </wp:positionV>
            <wp:extent cx="18091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140"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8883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2" w:lineRule="exact"/>
        <w:rPr>
          <w:sz w:val="20"/>
          <w:szCs w:val="20"/>
          <w:color w:val="auto"/>
        </w:rPr>
      </w:pPr>
    </w:p>
    <w:p>
      <w:pPr>
        <w:jc w:val="both"/>
        <w:ind w:firstLine="1505"/>
        <w:spacing w:after="0" w:line="249" w:lineRule="auto"/>
        <w:tabs>
          <w:tab w:leader="none" w:pos="18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Borrower has not done anything to interfere with the collection of the Accounts, and Borrower has not amended or waived the terms or conditions of any Account or any related contract in any material adverse manner or in any manner not consistent with the Ordinary Course of Business unless any such amendment or waiver is promptly and accurately reflected in the immediately following Account Detail File delivered to Lender pursuant to the terms of this Agreement.</w:t>
      </w:r>
    </w:p>
    <w:p>
      <w:pPr>
        <w:spacing w:after="0" w:line="180" w:lineRule="exact"/>
        <w:rPr>
          <w:rFonts w:ascii="Arial" w:cs="Arial" w:eastAsia="Arial" w:hAnsi="Arial"/>
          <w:sz w:val="18"/>
          <w:szCs w:val="18"/>
          <w:color w:val="auto"/>
        </w:rPr>
      </w:pPr>
    </w:p>
    <w:p>
      <w:pPr>
        <w:ind w:right="40" w:firstLine="1505"/>
        <w:spacing w:after="0" w:line="277" w:lineRule="auto"/>
        <w:tabs>
          <w:tab w:leader="none" w:pos="18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Borrower has made all payments to Obligors necessary to prevent any Obligor from offsetting any earlier overpayment to Borrower against any amounts such Obligor owes on an Account.</w:t>
      </w:r>
    </w:p>
    <w:p>
      <w:pPr>
        <w:spacing w:after="0" w:line="15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5.17. Representations and Warranties for each Revolving Loan. As of each date that Borrower shall request any Revolving Loan, Borrower shall be deemed to make, with respect to each Eligible Account and each Eligible Inventory included in the Borrowing Base, each of the following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-286385</wp:posOffset>
            </wp:positionV>
            <wp:extent cx="30854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3085465" cy="8890"/>
                    </a:xfrm>
                    <a:prstGeom prst="rect">
                      <a:avLst/>
                    </a:prstGeom>
                    <a:noFill/>
                  </pic:spPr>
                </pic:pic>
              </a:graphicData>
            </a:graphic>
          </wp:anchor>
        </w:drawing>
      </w:r>
    </w:p>
    <w:p>
      <w:pPr>
        <w:spacing w:after="0" w:line="175" w:lineRule="exact"/>
        <w:rPr>
          <w:sz w:val="20"/>
          <w:szCs w:val="20"/>
          <w:color w:val="auto"/>
        </w:rPr>
      </w:pPr>
    </w:p>
    <w:p>
      <w:pPr>
        <w:ind w:right="40" w:firstLine="1505"/>
        <w:spacing w:after="0" w:line="261" w:lineRule="auto"/>
        <w:tabs>
          <w:tab w:leader="none" w:pos="18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Account satisfies each of the conditions of an Eligible Account and each portion of Inventory satisfies each of the conditions of an Eligible Inventory.</w:t>
      </w:r>
    </w:p>
    <w:p>
      <w:pPr>
        <w:spacing w:after="0" w:line="170"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information relating to such Account and such Inventory that has been delivered to Lender is true, complete and correct in all material respects. With respect to each Account, Borrower has delivered to the Obligor all requested supporting documents, and all information set forth in the bill and supporting documents is true, complete and correct in all material respects.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6" w:name="page117"/>
    <w:bookmarkEnd w:id="116"/>
    <w:p>
      <w:pPr>
        <w:ind w:right="40" w:firstLine="1505"/>
        <w:spacing w:after="0" w:line="277"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than Permitted Liens, there is no Lien or adverse claim in favor of any third party, nor any filing against Borrower, as debtor, covering or purporting to cover any interest in such Account or such Inventory.</w:t>
      </w:r>
    </w:p>
    <w:p>
      <w:pPr>
        <w:spacing w:after="0" w:line="156" w:lineRule="exact"/>
        <w:rPr>
          <w:rFonts w:ascii="Arial" w:cs="Arial" w:eastAsia="Arial" w:hAnsi="Arial"/>
          <w:sz w:val="18"/>
          <w:szCs w:val="18"/>
          <w:color w:val="auto"/>
        </w:rPr>
      </w:pPr>
    </w:p>
    <w:p>
      <w:pPr>
        <w:jc w:val="both"/>
        <w:ind w:right="20" w:firstLine="1505"/>
        <w:spacing w:after="0" w:line="256"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Account is (i) payable in an amount not less than its Estimated Net Value by the Obligor identified by Borrower as being obligated to do so, and is recognized as such by the Obligor, (ii) the legally enforceable obligation of such Obligor, and (iii) an account or general intangible within the meaning of the UCC.</w:t>
      </w:r>
    </w:p>
    <w:p>
      <w:pPr>
        <w:spacing w:after="0" w:line="174" w:lineRule="exact"/>
        <w:rPr>
          <w:rFonts w:ascii="Arial" w:cs="Arial" w:eastAsia="Arial" w:hAnsi="Arial"/>
          <w:sz w:val="18"/>
          <w:szCs w:val="18"/>
          <w:color w:val="auto"/>
        </w:rPr>
      </w:pPr>
    </w:p>
    <w:p>
      <w:pPr>
        <w:ind w:left="1860" w:hanging="355"/>
        <w:spacing w:after="0"/>
        <w:tabs>
          <w:tab w:leader="none" w:pos="18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such Account requires the approval of any third Person for such Account to be pledged as Collateral to Lender hereunder.</w:t>
      </w:r>
    </w:p>
    <w:p>
      <w:pPr>
        <w:spacing w:after="0" w:line="234" w:lineRule="exact"/>
        <w:rPr>
          <w:rFonts w:ascii="Arial" w:cs="Arial" w:eastAsia="Arial" w:hAnsi="Arial"/>
          <w:sz w:val="16"/>
          <w:szCs w:val="16"/>
          <w:color w:val="auto"/>
        </w:rPr>
      </w:pPr>
    </w:p>
    <w:p>
      <w:pPr>
        <w:ind w:right="20" w:firstLine="1505"/>
        <w:spacing w:after="0" w:line="277"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Borrower does not have any guaranty of, letter of credit support for, or collateral security for such Account, other than any such guaranty, letter of credit or collateral security as has been pledged as Collateral to Lender.</w:t>
      </w:r>
    </w:p>
    <w:p>
      <w:pPr>
        <w:spacing w:after="0" w:line="156" w:lineRule="exact"/>
        <w:rPr>
          <w:rFonts w:ascii="Arial" w:cs="Arial" w:eastAsia="Arial" w:hAnsi="Arial"/>
          <w:sz w:val="18"/>
          <w:szCs w:val="18"/>
          <w:color w:val="auto"/>
        </w:rPr>
      </w:pPr>
    </w:p>
    <w:p>
      <w:pPr>
        <w:ind w:left="1860" w:hanging="355"/>
        <w:spacing w:after="0"/>
        <w:tabs>
          <w:tab w:leader="none" w:pos="1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Obligor with respect to such Account is located in the United States.</w:t>
      </w:r>
    </w:p>
    <w:p>
      <w:pPr>
        <w:spacing w:after="0" w:line="211" w:lineRule="exact"/>
        <w:rPr>
          <w:rFonts w:ascii="Arial" w:cs="Arial" w:eastAsia="Arial" w:hAnsi="Arial"/>
          <w:sz w:val="18"/>
          <w:szCs w:val="18"/>
          <w:color w:val="auto"/>
        </w:rPr>
      </w:pPr>
    </w:p>
    <w:p>
      <w:pPr>
        <w:jc w:val="both"/>
        <w:ind w:right="20" w:firstLine="1505"/>
        <w:spacing w:after="0" w:line="256"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the Loan Documents and all financial or other information delivered to Lender with respect to Borrower and such Account and such Inventory do not contain any untrue statement of material fact or omit to state a material fact necessary to make the statement made not misleading.</w:t>
      </w:r>
    </w:p>
    <w:p>
      <w:pPr>
        <w:spacing w:after="0" w:line="174"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requested by Lender, a copy of each related contract, if any, to which Borrower is a party has been delivered to Lender unless Borrower shall have, prior to the related Funding Date, certified in an Officer’s Certificate that such delivery is prohibited by the terms of the contract or by law, and the circumstances of such prohibition.</w:t>
      </w:r>
    </w:p>
    <w:p>
      <w:pPr>
        <w:spacing w:after="0" w:line="170" w:lineRule="exact"/>
        <w:rPr>
          <w:rFonts w:ascii="Arial" w:cs="Arial" w:eastAsia="Arial" w:hAnsi="Arial"/>
          <w:sz w:val="18"/>
          <w:szCs w:val="18"/>
          <w:color w:val="auto"/>
        </w:rPr>
      </w:pPr>
    </w:p>
    <w:p>
      <w:pPr>
        <w:ind w:firstLine="1505"/>
        <w:spacing w:after="0" w:line="296" w:lineRule="auto"/>
        <w:tabs>
          <w:tab w:leader="none" w:pos="1871"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S</w:t>
      </w:r>
      <w:r>
        <w:rPr>
          <w:rFonts w:ascii="Arial" w:cs="Arial" w:eastAsia="Arial" w:hAnsi="Arial"/>
          <w:sz w:val="17"/>
          <w:szCs w:val="17"/>
          <w:color w:val="auto"/>
        </w:rPr>
        <w:t>uch Account was billed no later than thirty (30) days after the date the goods or services giving rise to such Account were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or rendered, as applicable, and each bill contains an express direction requiring the Obligor to remit payments to the Commercial Lockbox.</w:t>
      </w:r>
    </w:p>
    <w:p>
      <w:pPr>
        <w:spacing w:after="0" w:line="156" w:lineRule="exact"/>
        <w:rPr>
          <w:rFonts w:ascii="Arial" w:cs="Arial" w:eastAsia="Arial" w:hAnsi="Arial"/>
          <w:sz w:val="17"/>
          <w:szCs w:val="17"/>
          <w:color w:val="auto"/>
        </w:rPr>
      </w:pPr>
    </w:p>
    <w:p>
      <w:pPr>
        <w:ind w:right="20" w:firstLine="1505"/>
        <w:spacing w:after="0" w:line="261"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Account has an Estimated Net Value which, when added to the Estimated Net Value of all other Accounts owing by the same Obligor and which constitute Eligible Accounts hereunder, does not exceed any applicable Concentration Limit.</w:t>
      </w:r>
    </w:p>
    <w:p>
      <w:pPr>
        <w:spacing w:after="0" w:line="170" w:lineRule="exact"/>
        <w:rPr>
          <w:rFonts w:ascii="Arial" w:cs="Arial" w:eastAsia="Arial" w:hAnsi="Arial"/>
          <w:sz w:val="18"/>
          <w:szCs w:val="18"/>
          <w:color w:val="auto"/>
        </w:rPr>
      </w:pPr>
    </w:p>
    <w:p>
      <w:pPr>
        <w:ind w:right="20" w:firstLine="1505"/>
        <w:spacing w:after="0" w:line="277"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Neither such Account nor the related contract contravenes any laws, rules or regulations applicable thereto, and no party to such related contract is in violation of any such law, rule or regulation in connection with such contract.</w:t>
      </w:r>
    </w:p>
    <w:p>
      <w:pPr>
        <w:spacing w:after="0" w:line="156"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the applicable Funding Date, to Borrower’s Knowledge, no Obligor on such Account is bankrupt, insolvent, or is unable to make payment of its obligations when due, and no other fact exists which would cause Borrower reasonably to expect that the amount billed to the related Obligor for such Account will not be paid in full when due.</w:t>
      </w:r>
    </w:p>
    <w:p>
      <w:pPr>
        <w:spacing w:after="0" w:line="174" w:lineRule="exact"/>
        <w:rPr>
          <w:rFonts w:ascii="Arial" w:cs="Arial" w:eastAsia="Arial" w:hAnsi="Arial"/>
          <w:sz w:val="18"/>
          <w:szCs w:val="18"/>
          <w:color w:val="auto"/>
        </w:rPr>
      </w:pPr>
    </w:p>
    <w:p>
      <w:pPr>
        <w:ind w:left="1860" w:hanging="355"/>
        <w:spacing w:after="0"/>
        <w:tabs>
          <w:tab w:leader="none" w:pos="1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ENV of all Eligible Accounts shall not exceed any of the Concentration Limits.</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is genuine and in all respects what it purports to be.</w:t>
      </w:r>
    </w:p>
    <w:p>
      <w:pPr>
        <w:spacing w:after="0" w:line="211" w:lineRule="exact"/>
        <w:rPr>
          <w:rFonts w:ascii="Arial" w:cs="Arial" w:eastAsia="Arial" w:hAnsi="Arial"/>
          <w:sz w:val="18"/>
          <w:szCs w:val="18"/>
          <w:color w:val="auto"/>
        </w:rPr>
      </w:pPr>
    </w:p>
    <w:p>
      <w:pPr>
        <w:ind w:firstLine="1505"/>
        <w:spacing w:after="0" w:line="277" w:lineRule="auto"/>
        <w:tabs>
          <w:tab w:leader="none" w:pos="18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arises out of a completed, bona fide sale and delivery of goods or rendition of services in the Ordinary Course of Business, and substantially in accordance with any purchase order, contract or other document relating thereto.</w:t>
      </w:r>
    </w:p>
    <w:p>
      <w:pPr>
        <w:spacing w:after="0" w:line="156" w:lineRule="exact"/>
        <w:rPr>
          <w:rFonts w:ascii="Arial" w:cs="Arial" w:eastAsia="Arial" w:hAnsi="Arial"/>
          <w:sz w:val="18"/>
          <w:szCs w:val="18"/>
          <w:color w:val="auto"/>
        </w:rPr>
      </w:pPr>
    </w:p>
    <w:p>
      <w:pPr>
        <w:ind w:left="1860" w:hanging="355"/>
        <w:spacing w:after="0"/>
        <w:tabs>
          <w:tab w:leader="none" w:pos="18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It is for a sum certain, maturing as stated in the applicable invoice, a copy of which has been furnished or is available upon</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request to Lender.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7" w:name="page118"/>
    <w:bookmarkEnd w:id="117"/>
    <w:p>
      <w:pPr>
        <w:jc w:val="both"/>
        <w:ind w:firstLine="1505"/>
        <w:spacing w:after="0" w:line="256" w:lineRule="auto"/>
        <w:tabs>
          <w:tab w:leader="none" w:pos="18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is not subject to any offset, Lien (other than Lender’s Lien), deduction, defense, dispute, counterclaim or other adverse condition except as arising in the Ordinary Course of Business and disclosed to Lender; and it is absolutely owing by the Obligor, without contingency of any kind.</w:t>
      </w:r>
    </w:p>
    <w:p>
      <w:pPr>
        <w:spacing w:after="0" w:line="174" w:lineRule="exact"/>
        <w:rPr>
          <w:rFonts w:ascii="Arial" w:cs="Arial" w:eastAsia="Arial" w:hAnsi="Arial"/>
          <w:sz w:val="18"/>
          <w:szCs w:val="18"/>
          <w:color w:val="auto"/>
        </w:rPr>
      </w:pPr>
    </w:p>
    <w:p>
      <w:pPr>
        <w:ind w:firstLine="1505"/>
        <w:spacing w:after="0" w:line="308" w:lineRule="auto"/>
        <w:tabs>
          <w:tab w:leader="none" w:pos="1857"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 purchase order, agreement, document or Applicable Law restricts assignment of the Account to Lender (regardless of whether, under the UCC, the restriction is ineffective), and the applicable Borrower is the sole payee or remittance party shown on the invoice.</w:t>
      </w:r>
    </w:p>
    <w:p>
      <w:pPr>
        <w:spacing w:after="0" w:line="132" w:lineRule="exact"/>
        <w:rPr>
          <w:rFonts w:ascii="Arial" w:cs="Arial" w:eastAsia="Arial" w:hAnsi="Arial"/>
          <w:sz w:val="17"/>
          <w:szCs w:val="17"/>
          <w:color w:val="auto"/>
        </w:rPr>
      </w:pPr>
    </w:p>
    <w:p>
      <w:pPr>
        <w:jc w:val="both"/>
        <w:ind w:firstLine="1505"/>
        <w:spacing w:after="0" w:line="256" w:lineRule="auto"/>
        <w:tabs>
          <w:tab w:leader="none" w:pos="18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extension, compromise, settlement, modification, credit, deduction or return has been authorized or is in process with respect to the Account, except discounts or allowances granted in the Ordinary Course of Business for prompt payment that are reflected on the face of the invoice related thereto and in the reports submitted to Lender hereunder.</w:t>
      </w:r>
    </w:p>
    <w:p>
      <w:pPr>
        <w:spacing w:after="0" w:line="174" w:lineRule="exact"/>
        <w:rPr>
          <w:rFonts w:ascii="Arial" w:cs="Arial" w:eastAsia="Arial" w:hAnsi="Arial"/>
          <w:sz w:val="18"/>
          <w:szCs w:val="18"/>
          <w:color w:val="auto"/>
        </w:rPr>
      </w:pPr>
    </w:p>
    <w:p>
      <w:pPr>
        <w:jc w:val="both"/>
        <w:ind w:firstLine="1505"/>
        <w:spacing w:after="0" w:line="245" w:lineRule="auto"/>
        <w:tabs>
          <w:tab w:leader="none" w:pos="18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the best of Borrower’s Knowledge, (i) there are no facts or circumstances that are reasonably likely to impair the enforceability or collectability of such Account; (ii) the Obligor had the capacity to contract when the Account arose, continues to meet the applicable Borrower’s customary credit standards, is solvent, is not contemplating or subject to an insolvency proceeding, and has not failed, or suspended or ceased doing business; and (iii) there are no proceedings or actions threatened or pending against any Obligor Debtor that could reasonably be expected to have a material adverse effect on the Obligor’s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Borrower covenants that until all of the Obligations to Lender are paid and satisfied in full and the Credit Facility has been terminated:</w:t>
      </w:r>
    </w:p>
    <w:p>
      <w:pPr>
        <w:spacing w:after="0" w:line="237"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color w:val="auto"/>
        </w:rPr>
        <w:t>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5455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spacing w:after="0" w:line="192" w:lineRule="exact"/>
        <w:rPr>
          <w:sz w:val="20"/>
          <w:szCs w:val="20"/>
          <w:color w:val="auto"/>
        </w:rPr>
      </w:pPr>
    </w:p>
    <w:p>
      <w:pPr>
        <w:jc w:val="both"/>
        <w:ind w:firstLine="1505"/>
        <w:spacing w:after="0" w:line="256" w:lineRule="auto"/>
        <w:tabs>
          <w:tab w:leader="none" w:pos="18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Borrower agrees to comply in all material respects with all Applicable Laws, including without limitation, all applicable Healthcare Laws, and all orders of any Federal, state or local legislative, administrative or judicial body or official,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contest any acts, rules, regulations, orders and directions of such bodies or officials in any reasonable manner.</w:t>
      </w:r>
    </w:p>
    <w:p>
      <w:pPr>
        <w:spacing w:after="0" w:line="174" w:lineRule="exact"/>
        <w:rPr>
          <w:rFonts w:ascii="Arial" w:cs="Arial" w:eastAsia="Arial" w:hAnsi="Arial"/>
          <w:sz w:val="18"/>
          <w:szCs w:val="18"/>
          <w:color w:val="auto"/>
        </w:rPr>
      </w:pPr>
    </w:p>
    <w:p>
      <w:pPr>
        <w:jc w:val="both"/>
        <w:ind w:firstLine="1505"/>
        <w:spacing w:after="0" w:line="276" w:lineRule="auto"/>
        <w:tabs>
          <w:tab w:leader="none" w:pos="1857" w:val="left"/>
        </w:tabs>
        <w:numPr>
          <w:ilvl w:val="1"/>
          <w:numId w:val="97"/>
        </w:numPr>
        <w:rPr>
          <w:rFonts w:ascii="Arial" w:cs="Arial" w:eastAsia="Arial" w:hAnsi="Arial"/>
          <w:sz w:val="16"/>
          <w:szCs w:val="16"/>
          <w:color w:val="auto"/>
        </w:rPr>
      </w:pPr>
      <w:r>
        <w:rPr>
          <w:rFonts w:ascii="Arial" w:cs="Arial" w:eastAsia="Arial" w:hAnsi="Arial"/>
          <w:sz w:val="16"/>
          <w:szCs w:val="16"/>
          <w:color w:val="auto"/>
        </w:rPr>
        <w:t>Without limiting the generality of the foregoing, Borrower agrees to comply with all Environmental Laws, applicable to the ownership (to the extent Borrower owns any real property) and/or use of Borrower’s real property and operation of its business, if the failure to so comply could reasonably be expected to have a Material Adverse Change. Borrower shall not be deemed to have breached any provision of this Section 6.01(b) if</w:t>
      </w:r>
    </w:p>
    <w:p>
      <w:pPr>
        <w:spacing w:after="0" w:line="2" w:lineRule="exact"/>
        <w:rPr>
          <w:rFonts w:ascii="Arial" w:cs="Arial" w:eastAsia="Arial" w:hAnsi="Arial"/>
          <w:sz w:val="16"/>
          <w:szCs w:val="16"/>
          <w:color w:val="auto"/>
        </w:rPr>
      </w:pPr>
    </w:p>
    <w:p>
      <w:pPr>
        <w:jc w:val="both"/>
        <w:ind w:firstLine="8"/>
        <w:spacing w:after="0"/>
        <w:tabs>
          <w:tab w:leader="none" w:pos="25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failure to comply with the requirements of this Section 6.01(b) resulted from good-faith error or innocent omission, (ii) Borrower promptly commences and diligently pursues a cure of such breach and (iii) such failure is cured within thirty (30) days following Borrower’s receipt of notice from Lender of such failure, or if such breach cannot in good faith be cured within thirty (30) days following Borrower’s receipt of such notice, then such breach is cured within a reasonable time frame based on the extent and nature of the breach and the necessary remediation, and in conformity with any applicable consent order, consensual agreement and Applicable Law.</w:t>
      </w:r>
    </w:p>
    <w:p>
      <w:pPr>
        <w:spacing w:after="0" w:line="191" w:lineRule="exact"/>
        <w:rPr>
          <w:rFonts w:ascii="Arial" w:cs="Arial" w:eastAsia="Arial" w:hAnsi="Arial"/>
          <w:sz w:val="18"/>
          <w:szCs w:val="18"/>
          <w:color w:val="auto"/>
        </w:rPr>
      </w:pPr>
    </w:p>
    <w:p>
      <w:pPr>
        <w:jc w:val="both"/>
        <w:ind w:firstLine="1505"/>
        <w:spacing w:after="0" w:line="303" w:lineRule="auto"/>
        <w:tabs>
          <w:tab w:leader="none" w:pos="1857" w:val="left"/>
        </w:tabs>
        <w:numPr>
          <w:ilvl w:val="1"/>
          <w:numId w:val="98"/>
        </w:numPr>
        <w:rPr>
          <w:rFonts w:ascii="Arial" w:cs="Arial" w:eastAsia="Arial" w:hAnsi="Arial"/>
          <w:sz w:val="16"/>
          <w:szCs w:val="16"/>
          <w:color w:val="auto"/>
        </w:rPr>
      </w:pPr>
      <w:r>
        <w:rPr>
          <w:rFonts w:ascii="Arial" w:cs="Arial" w:eastAsia="Arial" w:hAnsi="Arial"/>
          <w:sz w:val="16"/>
          <w:szCs w:val="16"/>
          <w:color w:val="auto"/>
        </w:rPr>
        <w:t>Borrower and each of Borrower’s Subsidiaries shall (i) obtain, maintain and preserve, and cause each of its Subsidiaries to obtain, maintain and preserve, and take all necessary action to timely renew, all material Healthcare Permits which are necessary or useful in the proper conduct of its business; and (ii) keep and maintain all records required to be maintained by any Governmental Authority or otherwise under any Healthcare Law.</w:t>
      </w:r>
    </w:p>
    <w:p>
      <w:pPr>
        <w:spacing w:after="0" w:line="140" w:lineRule="exact"/>
        <w:rPr>
          <w:rFonts w:ascii="Arial" w:cs="Arial" w:eastAsia="Arial" w:hAnsi="Arial"/>
          <w:sz w:val="16"/>
          <w:szCs w:val="16"/>
          <w:color w:val="auto"/>
        </w:rPr>
      </w:pPr>
    </w:p>
    <w:p>
      <w:pPr>
        <w:ind w:right="20" w:firstLine="1505"/>
        <w:spacing w:after="0" w:line="277" w:lineRule="auto"/>
        <w:tabs>
          <w:tab w:leader="none" w:pos="1857" w:val="left"/>
        </w:tabs>
        <w:numPr>
          <w:ilvl w:val="1"/>
          <w:numId w:val="98"/>
        </w:numPr>
        <w:rPr>
          <w:rFonts w:ascii="Arial" w:cs="Arial" w:eastAsia="Arial" w:hAnsi="Arial"/>
          <w:sz w:val="18"/>
          <w:szCs w:val="18"/>
          <w:color w:val="auto"/>
        </w:rPr>
      </w:pPr>
      <w:r>
        <w:rPr>
          <w:rFonts w:ascii="Arial" w:cs="Arial" w:eastAsia="Arial" w:hAnsi="Arial"/>
          <w:sz w:val="18"/>
          <w:szCs w:val="18"/>
          <w:color w:val="auto"/>
        </w:rPr>
        <w:t>Borrower and each of Borrower’s Subsidiaries shall maintain a corporate and health care regulatory compliance program to the extent required under Requirements of Law.</w:t>
      </w:r>
    </w:p>
    <w:p>
      <w:pPr>
        <w:spacing w:after="0" w:line="157"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color w:val="auto"/>
        </w:rPr>
        <w:t>Financial Statements; Reports and Certificates;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9857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298577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8" w:name="page119"/>
    <w:bookmarkEnd w:id="118"/>
    <w:p>
      <w:pPr>
        <w:ind w:left="1860" w:hanging="355"/>
        <w:spacing w:after="0"/>
        <w:tabs>
          <w:tab w:leader="none" w:pos="18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 to Lender:</w:t>
      </w:r>
    </w:p>
    <w:p>
      <w:pPr>
        <w:spacing w:after="0" w:line="225" w:lineRule="exact"/>
        <w:rPr>
          <w:rFonts w:ascii="Arial" w:cs="Arial" w:eastAsia="Arial" w:hAnsi="Arial"/>
          <w:sz w:val="18"/>
          <w:szCs w:val="18"/>
          <w:color w:val="auto"/>
        </w:rPr>
      </w:pPr>
    </w:p>
    <w:p>
      <w:pPr>
        <w:jc w:val="both"/>
        <w:ind w:firstLine="2536"/>
        <w:spacing w:after="0" w:line="260" w:lineRule="auto"/>
        <w:tabs>
          <w:tab w:leader="none" w:pos="2888" w:val="left"/>
        </w:tabs>
        <w:numPr>
          <w:ilvl w:val="1"/>
          <w:numId w:val="99"/>
        </w:numPr>
        <w:rPr>
          <w:rFonts w:ascii="Arial" w:cs="Arial" w:eastAsia="Arial" w:hAnsi="Arial"/>
          <w:sz w:val="17"/>
          <w:szCs w:val="17"/>
          <w:color w:val="auto"/>
        </w:rPr>
      </w:pPr>
      <w:r>
        <w:rPr>
          <w:rFonts w:ascii="Arial" w:cs="Arial" w:eastAsia="Arial" w:hAnsi="Arial"/>
          <w:sz w:val="17"/>
          <w:szCs w:val="17"/>
          <w:color w:val="auto"/>
        </w:rPr>
        <w:t>as soon as available, but no later than thirty (30) days after the last day of each month, a company prepared consolidated balance sheet, income statement and cash flow statement, subject to year-end adjustments and the absence of footnotes, covering the consolidated operations of Borrower and its consolidated Subsidiaries for such month certified by a Responsible Officer or the Designated Signatory and in a form reasonably acceptable to the Lender; provided that such monthly financial statements may exclude stock-based compensation, receivable for stock exercises, the reclassification of debt and prepaid expenses (long-term versus short-term), capitalized freight and excess and obsolete inventory and such other customary items that historically have not been included in Borrower’s monthly financial statements;</w:t>
      </w:r>
    </w:p>
    <w:p>
      <w:pPr>
        <w:spacing w:after="0" w:line="187" w:lineRule="exact"/>
        <w:rPr>
          <w:rFonts w:ascii="Arial" w:cs="Arial" w:eastAsia="Arial" w:hAnsi="Arial"/>
          <w:sz w:val="17"/>
          <w:szCs w:val="17"/>
          <w:color w:val="auto"/>
        </w:rPr>
      </w:pPr>
    </w:p>
    <w:p>
      <w:pPr>
        <w:jc w:val="both"/>
        <w:ind w:firstLine="2536"/>
        <w:spacing w:after="0" w:line="243" w:lineRule="auto"/>
        <w:tabs>
          <w:tab w:leader="none" w:pos="28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as soon as available, but no later than forty-five (45) days after the last day of each of Borrower’s first three fiscal quarters, a company prepared consolidated and, if prepared by Borrower, consolidating balance sheet, income statement and cash flow statement covering the consolidated operations of Borrower and its consolidated Subsidiaries for such fiscal quarter certified by a Responsible Officer or the Designated Signatory and in a form reasonably acceptable to the Lender;</w:t>
      </w:r>
    </w:p>
    <w:p>
      <w:pPr>
        <w:spacing w:after="0" w:line="201" w:lineRule="exact"/>
        <w:rPr>
          <w:rFonts w:ascii="Arial" w:cs="Arial" w:eastAsia="Arial" w:hAnsi="Arial"/>
          <w:sz w:val="18"/>
          <w:szCs w:val="18"/>
          <w:color w:val="auto"/>
        </w:rPr>
      </w:pPr>
    </w:p>
    <w:p>
      <w:pPr>
        <w:jc w:val="both"/>
        <w:ind w:firstLine="2536"/>
        <w:spacing w:after="0" w:line="294" w:lineRule="auto"/>
        <w:tabs>
          <w:tab w:leader="none" w:pos="2888" w:val="left"/>
        </w:tabs>
        <w:numPr>
          <w:ilvl w:val="1"/>
          <w:numId w:val="99"/>
        </w:numPr>
        <w:rPr>
          <w:rFonts w:ascii="Arial" w:cs="Arial" w:eastAsia="Arial" w:hAnsi="Arial"/>
          <w:sz w:val="16"/>
          <w:szCs w:val="16"/>
          <w:color w:val="auto"/>
        </w:rPr>
      </w:pPr>
      <w:r>
        <w:rPr>
          <w:rFonts w:ascii="Arial" w:cs="Arial" w:eastAsia="Arial" w:hAnsi="Arial"/>
          <w:sz w:val="16"/>
          <w:szCs w:val="16"/>
          <w:color w:val="auto"/>
        </w:rPr>
        <w:t>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on the financial statements;</w:t>
      </w:r>
    </w:p>
    <w:p>
      <w:pPr>
        <w:spacing w:after="0" w:line="160" w:lineRule="exact"/>
        <w:rPr>
          <w:rFonts w:ascii="Arial" w:cs="Arial" w:eastAsia="Arial" w:hAnsi="Arial"/>
          <w:sz w:val="16"/>
          <w:szCs w:val="16"/>
          <w:color w:val="auto"/>
        </w:rPr>
      </w:pPr>
    </w:p>
    <w:p>
      <w:pPr>
        <w:jc w:val="both"/>
        <w:ind w:firstLine="2536"/>
        <w:spacing w:after="0" w:line="294" w:lineRule="auto"/>
        <w:tabs>
          <w:tab w:leader="none" w:pos="2888" w:val="left"/>
        </w:tabs>
        <w:numPr>
          <w:ilvl w:val="1"/>
          <w:numId w:val="99"/>
        </w:numPr>
        <w:rPr>
          <w:rFonts w:ascii="Arial" w:cs="Arial" w:eastAsia="Arial" w:hAnsi="Arial"/>
          <w:sz w:val="16"/>
          <w:szCs w:val="16"/>
          <w:color w:val="auto"/>
        </w:rPr>
      </w:pPr>
      <w:r>
        <w:rPr>
          <w:rFonts w:ascii="Arial" w:cs="Arial" w:eastAsia="Arial" w:hAnsi="Arial"/>
          <w:sz w:val="16"/>
          <w:szCs w:val="16"/>
          <w:color w:val="auto"/>
        </w:rPr>
        <w:t>as soon as available after approval thereof by Borrower’s board of directors, but no later than February 15 of such year, an Annual Plan with respect to each fiscal year of Borrower, commencing with the fiscal year ending December 31, 2023; provided that, any revisions to such Annual Plan as are approved by Borrower’s board of directors shall be delivered to Lender no later than seven (7) days after such approval;</w:t>
      </w:r>
    </w:p>
    <w:p>
      <w:pPr>
        <w:spacing w:after="0" w:line="160" w:lineRule="exact"/>
        <w:rPr>
          <w:rFonts w:ascii="Arial" w:cs="Arial" w:eastAsia="Arial" w:hAnsi="Arial"/>
          <w:sz w:val="16"/>
          <w:szCs w:val="16"/>
          <w:color w:val="auto"/>
        </w:rPr>
      </w:pPr>
    </w:p>
    <w:p>
      <w:pPr>
        <w:jc w:val="both"/>
        <w:ind w:firstLine="2536"/>
        <w:spacing w:after="0" w:line="283" w:lineRule="auto"/>
        <w:tabs>
          <w:tab w:leader="none" w:pos="2888"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within five (5) Business Days of delivery, copies of all non-ministerial material statements, reports and notices made available generally to Borrower’s security holders or holders of Permitted Convertible Debt (other than materials provided to members of Borrower’s board of directors solely in their capacities as directors and not security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foregoing may be subject to such exclusions and redactions as Borrower deems reasonably necessary, in the exercise of its good faith judgment, in order to (1) preserve the confidentiality of highly sensitive information, (2) prevent impairment of the attorney client privilege or (3) conflict of interest with Lender for new financing;</w:t>
      </w:r>
    </w:p>
    <w:p>
      <w:pPr>
        <w:spacing w:after="0" w:line="157" w:lineRule="exact"/>
        <w:rPr>
          <w:rFonts w:ascii="Arial" w:cs="Arial" w:eastAsia="Arial" w:hAnsi="Arial"/>
          <w:sz w:val="16"/>
          <w:szCs w:val="16"/>
          <w:color w:val="auto"/>
        </w:rPr>
      </w:pPr>
    </w:p>
    <w:p>
      <w:pPr>
        <w:ind w:left="2900" w:hanging="364"/>
        <w:spacing w:after="0"/>
        <w:tabs>
          <w:tab w:leader="none" w:pos="29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within five (5) days of filing, all reports on Form 10 K, 10 Q and 8 K filed with the Securities and Exchange</w:t>
      </w:r>
    </w:p>
    <w:p>
      <w:pPr>
        <w:spacing w:after="0" w:line="34"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8"/>
          <w:szCs w:val="18"/>
          <w:color w:val="auto"/>
        </w:rPr>
        <w:t>Commission;</w:t>
      </w:r>
    </w:p>
    <w:p>
      <w:pPr>
        <w:spacing w:after="0" w:line="197" w:lineRule="exact"/>
        <w:rPr>
          <w:rFonts w:ascii="Arial" w:cs="Arial" w:eastAsia="Arial" w:hAnsi="Arial"/>
          <w:sz w:val="17"/>
          <w:szCs w:val="17"/>
          <w:color w:val="auto"/>
        </w:rPr>
      </w:pPr>
    </w:p>
    <w:p>
      <w:pPr>
        <w:jc w:val="both"/>
        <w:ind w:firstLine="2536"/>
        <w:spacing w:after="0" w:line="249" w:lineRule="auto"/>
        <w:tabs>
          <w:tab w:leader="none" w:pos="28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solely during the period that neither Lender is an Affiliate of the Term Loan Lender, promptly, upon receipt or delivery thereof, as applicable, (1) copies of all amendments, waivers, consents, supplements, or other modifications to any Term Loan Document (but in any event not less than five (5) Business Days prior to the execution thereof (or such later date as Lender may agree)) and (2) copies of all material notices received from or delivered to the Term Loan Lender;</w:t>
      </w:r>
    </w:p>
    <w:p>
      <w:pPr>
        <w:spacing w:after="0" w:line="180" w:lineRule="exact"/>
        <w:rPr>
          <w:rFonts w:ascii="Arial" w:cs="Arial" w:eastAsia="Arial" w:hAnsi="Arial"/>
          <w:sz w:val="18"/>
          <w:szCs w:val="18"/>
          <w:color w:val="auto"/>
        </w:rPr>
      </w:pPr>
    </w:p>
    <w:p>
      <w:pPr>
        <w:jc w:val="both"/>
        <w:ind w:firstLine="2536"/>
        <w:spacing w:after="0" w:line="216" w:lineRule="exact"/>
        <w:tabs>
          <w:tab w:leader="none" w:pos="324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w:t>
      </w:r>
      <w:r>
        <w:rPr>
          <w:rFonts w:ascii="MS PGothic" w:cs="MS PGothic" w:eastAsia="MS PGothic" w:hAnsi="MS PGothic"/>
          <w:sz w:val="18"/>
          <w:szCs w:val="18"/>
          <w:color w:val="auto"/>
        </w:rPr>
        <w:t>‑</w:t>
      </w:r>
      <w:r>
        <w:rPr>
          <w:rFonts w:ascii="Arial" w:cs="Arial" w:eastAsia="Arial" w:hAnsi="Arial"/>
          <w:sz w:val="18"/>
          <w:szCs w:val="18"/>
          <w:color w:val="auto"/>
        </w:rPr>
        <w:t>end account statements for each Collateral Account maintained by Borrower or its Subsidiaries, which statements may be provided to Lender by Borrower or directly from the applicable institution(s);</w:t>
      </w:r>
    </w:p>
    <w:p>
      <w:pPr>
        <w:spacing w:after="0" w:line="190" w:lineRule="exact"/>
        <w:rPr>
          <w:rFonts w:ascii="Arial" w:cs="Arial" w:eastAsia="Arial" w:hAnsi="Arial"/>
          <w:sz w:val="18"/>
          <w:szCs w:val="18"/>
          <w:color w:val="auto"/>
        </w:rPr>
      </w:pPr>
    </w:p>
    <w:p>
      <w:pPr>
        <w:jc w:val="both"/>
        <w:ind w:firstLine="2536"/>
        <w:spacing w:after="0" w:line="249" w:lineRule="auto"/>
        <w:tabs>
          <w:tab w:leader="none" w:pos="28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prompt delivery of (and in any event within five (5) Business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ind w:firstLine="2536"/>
        <w:spacing w:after="0" w:line="277" w:lineRule="auto"/>
        <w:tabs>
          <w:tab w:leader="none" w:pos="28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 notice of any event that (A) could reasonably be expected to materially and adversely affect the value of the Intellectual Property or (B) could reasonably be expected to result in a Material Adverse Change;</w:t>
      </w:r>
    </w:p>
    <w:p>
      <w:pPr>
        <w:spacing w:after="0" w:line="156" w:lineRule="exact"/>
        <w:rPr>
          <w:rFonts w:ascii="Arial" w:cs="Arial" w:eastAsia="Arial" w:hAnsi="Arial"/>
          <w:sz w:val="18"/>
          <w:szCs w:val="18"/>
          <w:color w:val="auto"/>
        </w:rPr>
      </w:pPr>
    </w:p>
    <w:p>
      <w:pPr>
        <w:ind w:left="2900" w:hanging="364"/>
        <w:spacing w:after="0"/>
        <w:tabs>
          <w:tab w:leader="none" w:pos="2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written notice delivered within ten (10) days after Borrower’s creation of a New Subsidiary in accordance with the</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Section 6.10;</w:t>
      </w:r>
    </w:p>
    <w:p>
      <w:pPr>
        <w:spacing w:after="0" w:line="209" w:lineRule="exact"/>
        <w:rPr>
          <w:rFonts w:ascii="Arial" w:cs="Arial" w:eastAsia="Arial" w:hAnsi="Arial"/>
          <w:sz w:val="16"/>
          <w:szCs w:val="16"/>
          <w:color w:val="auto"/>
        </w:rPr>
      </w:pPr>
    </w:p>
    <w:p>
      <w:pPr>
        <w:jc w:val="both"/>
        <w:ind w:firstLine="2536"/>
        <w:spacing w:after="0" w:line="245" w:lineRule="auto"/>
        <w:tabs>
          <w:tab w:leader="none" w:pos="28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written notice delivered within thirty (30) days after Borrower’s (A) adding any new offices or business locations, including warehouses (unless such new offices or business locations contain less than One Million Dollars ($1,000,000.00) or such location involves a contract manufacturer or a third party logistics provider) in assets or property of Borrower or any of its Subsidiaries, (B) changing its respective jurisdiction of organization, (C) changing its organizational structure or type, (D) changing its respective legal name, or (E) changing any organizational number(s) (if any) assigned by its respective jurisdiction of organization;</w:t>
      </w:r>
    </w:p>
    <w:p>
      <w:pPr>
        <w:spacing w:after="0" w:line="185" w:lineRule="exact"/>
        <w:rPr>
          <w:rFonts w:ascii="Arial" w:cs="Arial" w:eastAsia="Arial" w:hAnsi="Arial"/>
          <w:sz w:val="18"/>
          <w:szCs w:val="18"/>
          <w:color w:val="auto"/>
        </w:rPr>
      </w:pPr>
    </w:p>
    <w:p>
      <w:pPr>
        <w:jc w:val="both"/>
        <w:ind w:firstLine="2536"/>
        <w:spacing w:after="0" w:line="268" w:lineRule="auto"/>
        <w:tabs>
          <w:tab w:leader="none" w:pos="324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Borrower becoming aware of the existence of any Event of Default or event which, with the giving of notice or passage of time, or both, would constitute an Event of Default, prompt (and in any event within five (5) Business Days)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spacing w:after="0" w:line="166" w:lineRule="exact"/>
        <w:rPr>
          <w:rFonts w:ascii="Arial" w:cs="Arial" w:eastAsia="Arial" w:hAnsi="Arial"/>
          <w:sz w:val="17"/>
          <w:szCs w:val="17"/>
          <w:color w:val="auto"/>
        </w:rPr>
      </w:pPr>
    </w:p>
    <w:p>
      <w:pPr>
        <w:jc w:val="both"/>
        <w:ind w:firstLine="2536"/>
        <w:spacing w:after="0" w:line="256" w:lineRule="auto"/>
        <w:tabs>
          <w:tab w:leader="none" w:pos="32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immediate notice if Borrower or such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74" w:lineRule="exact"/>
        <w:rPr>
          <w:rFonts w:ascii="Arial" w:cs="Arial" w:eastAsia="Arial" w:hAnsi="Arial"/>
          <w:sz w:val="18"/>
          <w:szCs w:val="18"/>
          <w:color w:val="auto"/>
        </w:rPr>
      </w:pPr>
    </w:p>
    <w:p>
      <w:pPr>
        <w:ind w:right="20" w:firstLine="2536"/>
        <w:spacing w:after="0" w:line="308" w:lineRule="auto"/>
        <w:tabs>
          <w:tab w:leader="none" w:pos="288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notice of any commercial tort claim (as defined in the UCC) or letter of credit rights (as defined in the UCC) held by Borrower or any Guarantor, in each case in an amount greater than One Million Dollars ($1,000,000.00) and of the general details thereof;</w:t>
      </w:r>
    </w:p>
    <w:p>
      <w:pPr>
        <w:spacing w:after="0" w:line="132" w:lineRule="exact"/>
        <w:rPr>
          <w:rFonts w:ascii="Arial" w:cs="Arial" w:eastAsia="Arial" w:hAnsi="Arial"/>
          <w:sz w:val="17"/>
          <w:szCs w:val="17"/>
          <w:color w:val="auto"/>
        </w:rPr>
      </w:pPr>
    </w:p>
    <w:p>
      <w:pPr>
        <w:jc w:val="both"/>
        <w:ind w:firstLine="2536"/>
        <w:spacing w:after="0" w:line="256" w:lineRule="auto"/>
        <w:tabs>
          <w:tab w:leader="none" w:pos="32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w:t>
      </w:r>
    </w:p>
    <w:p>
      <w:pPr>
        <w:spacing w:after="0" w:line="174" w:lineRule="exact"/>
        <w:rPr>
          <w:rFonts w:ascii="Arial" w:cs="Arial" w:eastAsia="Arial" w:hAnsi="Arial"/>
          <w:sz w:val="18"/>
          <w:szCs w:val="18"/>
          <w:color w:val="auto"/>
        </w:rPr>
      </w:pPr>
    </w:p>
    <w:p>
      <w:pPr>
        <w:jc w:val="both"/>
        <w:ind w:firstLine="2536"/>
        <w:spacing w:after="0" w:line="278" w:lineRule="auto"/>
        <w:tabs>
          <w:tab w:leader="none" w:pos="324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prompt notice of the execution any Material Agreement or any amendment to, modification of, termination of or waiver under any Material Agreement (to the extent such amendment, modification, termination or waiver is required to be disclosed (including amendments thereto) under regulations promulgated under the Securities Act of 1933 or Securities Exchange Act of 1934, as may be amended);</w:t>
      </w:r>
    </w:p>
    <w:p>
      <w:pPr>
        <w:spacing w:after="0" w:line="157" w:lineRule="exact"/>
        <w:rPr>
          <w:rFonts w:ascii="Arial" w:cs="Arial" w:eastAsia="Arial" w:hAnsi="Arial"/>
          <w:sz w:val="17"/>
          <w:szCs w:val="17"/>
          <w:color w:val="auto"/>
        </w:rPr>
      </w:pPr>
    </w:p>
    <w:p>
      <w:pPr>
        <w:jc w:val="both"/>
        <w:ind w:firstLine="2536"/>
        <w:spacing w:after="0" w:line="290" w:lineRule="auto"/>
        <w:tabs>
          <w:tab w:leader="none" w:pos="324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updated Perfection Certificate to reflect any amendments, modifications and updates, if any, to certain information in the Perfection Certificate after the Closing Date to the extent such amendments, modifications and updates are permitted by one or more specific provisions in this agreement; provided that delivery of such updated Perfection Certificate shall only be required once every year and due concurrently with the delivery of the financial statements specified in Section 6.02(a)(iii) above, starting with the year ending December 31, 2023; and</w:t>
      </w:r>
    </w:p>
    <w:p>
      <w:pPr>
        <w:spacing w:after="0" w:line="150" w:lineRule="exact"/>
        <w:rPr>
          <w:rFonts w:ascii="Arial" w:cs="Arial" w:eastAsia="Arial" w:hAnsi="Arial"/>
          <w:sz w:val="16"/>
          <w:szCs w:val="16"/>
          <w:color w:val="auto"/>
        </w:rPr>
      </w:pPr>
    </w:p>
    <w:p>
      <w:pPr>
        <w:ind w:left="3260" w:hanging="724"/>
        <w:spacing w:after="0"/>
        <w:tabs>
          <w:tab w:leader="none" w:pos="3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information as reasonably requested by Lender.</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the financial statements required to be delivered pursuant to clauses (ii), (iii), (v), (vi) and (xvii) above may be delivered electronically and if so delivered, shall be deemed to have been delivered on the date on which Borrower posts such documents, or provides a link thereto, on Borrower’s website on the internet at Borrower’s website address.</w:t>
      </w:r>
    </w:p>
    <w:p>
      <w:pPr>
        <w:spacing w:after="0" w:line="175" w:lineRule="exact"/>
        <w:rPr>
          <w:sz w:val="20"/>
          <w:szCs w:val="20"/>
          <w:color w:val="auto"/>
        </w:rPr>
      </w:pPr>
    </w:p>
    <w:p>
      <w:pPr>
        <w:ind w:right="20" w:firstLine="1505"/>
        <w:spacing w:after="0" w:line="277" w:lineRule="auto"/>
        <w:tabs>
          <w:tab w:leader="none" w:pos="185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6.02(a)(i) above but no later than thirty (30) days after the last day of each month, deliver to Lender: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0" w:name="page121"/>
    <w:bookmarkEnd w:id="120"/>
    <w:p>
      <w:pPr>
        <w:ind w:left="2900" w:hanging="364"/>
        <w:spacing w:after="0"/>
        <w:tabs>
          <w:tab w:leader="none" w:pos="2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duly completed Compliance Certificate signed by a Responsible Officer or the Designated Signatory;</w:t>
      </w:r>
    </w:p>
    <w:p>
      <w:pPr>
        <w:spacing w:after="0" w:line="225" w:lineRule="exact"/>
        <w:rPr>
          <w:rFonts w:ascii="Arial" w:cs="Arial" w:eastAsia="Arial" w:hAnsi="Arial"/>
          <w:sz w:val="18"/>
          <w:szCs w:val="18"/>
          <w:color w:val="auto"/>
        </w:rPr>
      </w:pPr>
    </w:p>
    <w:p>
      <w:pPr>
        <w:ind w:right="40" w:firstLine="2536"/>
        <w:spacing w:after="0" w:line="261" w:lineRule="auto"/>
        <w:tabs>
          <w:tab w:leader="none" w:pos="28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the extent not otherwise disclosed previously, written notice of the commencement of, and any material development in, the proceedings contemplated by Section 5.08 hereof;</w:t>
      </w:r>
    </w:p>
    <w:p>
      <w:pPr>
        <w:spacing w:after="0" w:line="170" w:lineRule="exact"/>
        <w:rPr>
          <w:rFonts w:ascii="Arial" w:cs="Arial" w:eastAsia="Arial" w:hAnsi="Arial"/>
          <w:sz w:val="18"/>
          <w:szCs w:val="18"/>
          <w:color w:val="auto"/>
        </w:rPr>
      </w:pPr>
    </w:p>
    <w:p>
      <w:pPr>
        <w:jc w:val="both"/>
        <w:ind w:firstLine="2536"/>
        <w:spacing w:after="0" w:line="256" w:lineRule="auto"/>
        <w:tabs>
          <w:tab w:leader="none" w:pos="28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the extent not otherwise disclosed previously, written notice of any litigation or governmental proceedings pending or threatened (in writing) against Borrower or any of its Subsidiaries, which could reasonably be expected to result in uninsured damages or costs to Borrower or any of its Subsidiaries of One Million Dollars ($1,000,000.00).</w:t>
      </w:r>
    </w:p>
    <w:p>
      <w:pPr>
        <w:spacing w:after="0" w:line="175" w:lineRule="exact"/>
        <w:rPr>
          <w:sz w:val="20"/>
          <w:szCs w:val="20"/>
          <w:color w:val="auto"/>
        </w:rPr>
      </w:pPr>
    </w:p>
    <w:p>
      <w:pPr>
        <w:jc w:val="both"/>
        <w:ind w:firstLine="2246"/>
        <w:spacing w:after="0" w:line="259" w:lineRule="auto"/>
        <w:rPr>
          <w:sz w:val="20"/>
          <w:szCs w:val="20"/>
          <w:color w:val="auto"/>
        </w:rPr>
      </w:pPr>
      <w:r>
        <w:rPr>
          <w:rFonts w:ascii="Arial" w:cs="Arial" w:eastAsia="Arial" w:hAnsi="Arial"/>
          <w:sz w:val="17"/>
          <w:szCs w:val="17"/>
          <w:color w:val="auto"/>
        </w:rPr>
        <w:t>Keep proper, complete and true books of record and account in accordance with GAAP in all material respects. Borrower shall, and shall cause each of its Subsidiaries to, allow, at the sole cost of Borrower or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 and so long as the Lender remains an Affiliate of the Term Loan Lender, such inspection and together with any inspection exercised by the Term Loan Lender under the Term Loan Agreement shall not exceed once per fiscal year absent the occurrence and continuation of an Event of Default or an “Event of Default” (as defined under the Term Loan Agreement).</w:t>
      </w:r>
    </w:p>
    <w:p>
      <w:pPr>
        <w:spacing w:after="0" w:line="18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6.03. Inventory; Returns. Keep all Inventory (to the extent that have passed inspection and accepted by Borrower or its Subsidiaries) in all material respects good and marketable condition, free from material defects. Returns and allowances between Borrower, or any of its Subsidiaries, as applicable, and their respective Account Debtors shall follow Borrower’s, or such Subsidiary’s, customary practices as they exist as of the Closing Date. Borrower must promptly notify the Lender of all returns, recoveries, disputes and claims that involve more than One Million Dollars ($1,000,000.00) individually or in the aggregate in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-549910</wp:posOffset>
            </wp:positionV>
            <wp:extent cx="13252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7"/>
          <w:szCs w:val="17"/>
          <w:color w:val="auto"/>
        </w:rPr>
        <w:t>Taxes; Pension. Timely file, and require each of its Subsidiaries to timely file (or obtain timely extensions for), all required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1607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and other material tax returns and reports, and timely pay, and require each of its Subsidiaries to timely pay, all foreign, federal, state, and local income and other material Taxes, assessments, deposits and contributions owed by Borrower or its Subsidiaries, except as otherwise permitted pursuant to the terms of Section 5.08 hereof; deliver to Lender, on demand, appropriate certificates attesting to such payments; and pay all amounts necessary to fund in all material respects all present pension, profit sharing and deferred compensation plans in accordance with the terms of such plans.</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7"/>
          <w:szCs w:val="17"/>
          <w:color w:val="auto"/>
        </w:rPr>
        <w:t>6.05. Insurance. Keep Borrower’s and its Subsidiaries’ business and the Collateral insured for risks and in amounts standard for companies in Borrower’s and its Subsidiaries’ industry and location and as Lender may reasonably request. Insurance policies shall be in a form, with companies, and in amounts that are reasonably satisfactory to Lender. All property policies shall have a lender’s loss payable endorsement showing Lender as lender loss payee and shall waive subrogation against Lender, and all liability policies shall show, or have endorsements showing, Lender, as additional insured. The Lender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Lender, that it will give the Lender thirty (30) days prior written notice before any such policy or policies shall be canceled. At Lender’s request, Borrower shall deliver to the Lender certified copies of policies and evidence of all premium payments. Proceeds payable under any policy shall, at Lender’s option, be payable to Lender, on account of the then-outstanding Obligations. Notwithstanding the foregoing, with respect to proceeds of any casualty policy in an aggregate amount up to Two Million Five Hundred Thousand Dollars ($2,500,000), (a) so long as no Event of Default has occurred and is continuing, Borrower shall have the option of applying such proceeds within two hundred seventy (270) days of receipt thereof toward the replacement promptly or repair of destroyed or damaged property; provided that any such replaced or repaired property (i) shall be of equal or like value as the replaced and repaired Collateral and (ii) shall be deemed Collateral in which Lender has been granted a first priority security interest, and (b) after the occurrence and during the continuance of an Event of Default, all proceeds payable under such casualty policy shall, at the option of Lender, be payable to Lender on account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-1864995</wp:posOffset>
            </wp:positionV>
            <wp:extent cx="9010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p>
      <w:pPr>
        <w:ind w:left="760"/>
        <w:spacing w:after="0"/>
        <w:tabs>
          <w:tab w:leader="none" w:pos="1460" w:val="left"/>
          <w:tab w:leader="none" w:pos="448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8"/>
          <w:szCs w:val="18"/>
          <w:color w:val="auto"/>
        </w:rPr>
        <w:t>Control Agreements; Bank Accounts .</w:t>
      </w:r>
      <w:r>
        <w:rPr>
          <w:sz w:val="20"/>
          <w:szCs w:val="20"/>
          <w:color w:val="auto"/>
        </w:rPr>
        <w:tab/>
      </w: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6.18</w:t>
      </w:r>
      <w:r>
        <w:rPr>
          <w:rFonts w:ascii="Arial" w:cs="Arial" w:eastAsia="Arial" w:hAnsi="Arial"/>
          <w:sz w:val="17"/>
          <w:szCs w:val="17"/>
          <w:color w:val="auto"/>
        </w:rPr>
        <w:t>, Borrower shall maintain Borrower’s and Guarantors’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22428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Accounts (other than any Excluded Account) with depositary institutions that have agreed to execute Control Agreements in favor of Lender with respect to such Collateral Accounts. Borrower shall provide Lender ten (10) days written notice after Borrower or any Guarantor establishes any Collateral Account (other than any Excluded Account). In addition, for each Collateral Account (other than any Excluded Account) that Borrower or any Guarantor, at any time maintains, Borrower or such Guarantor shall cause the applicable bank or financial institution at or with which such Collateral Account is maintained to execute and deliver a Control Agreement or other appropriate instrument with respect to such Collateral Account to perfect Lender’s Lien in such Collateral Account in accordance with the terms hereunder within thirty (30) days (or such later date as Lender may agree) after the establishment of such Collateral Account. Neither Borrower nor any Guarantor shall maintain any Collateral Accounts except Excluded Accounts maintained in accordance with this Section 6.06.</w:t>
      </w:r>
    </w:p>
    <w:p>
      <w:pPr>
        <w:spacing w:after="0" w:line="19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6.07. Protection of Intellectual Property Rights . Borrower and each of its Subsidiaries shall use commercially reasonable efforts to: (a) protect, defend and maintain the validity and enforceability of its respective Intellectual Property that is material to its business; (b) promptly advise Lender in writing of material infringement by a third party of its respective Intellectual Property that is material to its business; and (c) not allow any of its respective Intellectual Property material to its respective business to be abandoned, forfeited or dedicated to the public without Lender’s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-549910</wp:posOffset>
            </wp:positionV>
            <wp:extent cx="24104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2410460" cy="8255"/>
                    </a:xfrm>
                    <a:prstGeom prst="rect">
                      <a:avLst/>
                    </a:prstGeom>
                    <a:noFill/>
                  </pic:spPr>
                </pic:pic>
              </a:graphicData>
            </a:graphic>
          </wp:anchor>
        </w:drawing>
      </w:r>
    </w:p>
    <w:p>
      <w:pPr>
        <w:spacing w:after="0" w:line="179" w:lineRule="exact"/>
        <w:rPr>
          <w:sz w:val="20"/>
          <w:szCs w:val="20"/>
          <w:color w:val="auto"/>
        </w:rPr>
      </w:pPr>
    </w:p>
    <w:p>
      <w:pPr>
        <w:jc w:val="both"/>
        <w:ind w:firstLine="749"/>
        <w:spacing w:after="0" w:line="213" w:lineRule="exact"/>
        <w:rPr>
          <w:sz w:val="20"/>
          <w:szCs w:val="20"/>
          <w:color w:val="auto"/>
        </w:rPr>
      </w:pPr>
      <w:r>
        <w:rPr>
          <w:rFonts w:ascii="Arial" w:cs="Arial" w:eastAsia="Arial" w:hAnsi="Arial"/>
          <w:sz w:val="18"/>
          <w:szCs w:val="18"/>
          <w:color w:val="auto"/>
        </w:rPr>
        <w:t>6.08. Litigation Cooperation. Commencing on the Closing Date and continuing through the termination of this Agreement, make available to the Lender, without expense to the Lender, Borrower and each of Borrower’s officers, employees and agents and Borrower’s books, to the extent that Lender may reasonably deem them necessary to prosecute or defend any third</w:t>
      </w:r>
      <w:r>
        <w:rPr>
          <w:rFonts w:ascii="MS PGothic" w:cs="MS PGothic" w:eastAsia="MS PGothic" w:hAnsi="MS PGothic"/>
          <w:sz w:val="18"/>
          <w:szCs w:val="18"/>
          <w:color w:val="auto"/>
        </w:rPr>
        <w:t>‑</w:t>
      </w:r>
      <w:r>
        <w:rPr>
          <w:rFonts w:ascii="Arial" w:cs="Arial" w:eastAsia="Arial" w:hAnsi="Arial"/>
          <w:sz w:val="18"/>
          <w:szCs w:val="18"/>
          <w:color w:val="auto"/>
        </w:rPr>
        <w:t>party suit or proceeding instituted by or against Lender with respect to any Collateral or relating to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-417830</wp:posOffset>
            </wp:positionV>
            <wp:extent cx="15093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1509395" cy="8255"/>
                    </a:xfrm>
                    <a:prstGeom prst="rect">
                      <a:avLst/>
                    </a:prstGeom>
                    <a:noFill/>
                  </pic:spPr>
                </pic:pic>
              </a:graphicData>
            </a:graphic>
          </wp:anchor>
        </w:drawing>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7"/>
          <w:szCs w:val="17"/>
          <w:color w:val="auto"/>
        </w:rPr>
        <w:t xml:space="preserve">6.09. Landlord Waivers; Bailee Waivers . In addition to the landlord waivers/collateral access agreements required to be delivered in accordance with </w:t>
      </w:r>
      <w:r>
        <w:rPr>
          <w:rFonts w:ascii="Arial" w:cs="Arial" w:eastAsia="Arial" w:hAnsi="Arial"/>
          <w:sz w:val="17"/>
          <w:szCs w:val="17"/>
          <w:u w:val="single" w:color="auto"/>
          <w:color w:val="auto"/>
        </w:rPr>
        <w:t>Section 6.18(a)</w:t>
      </w:r>
      <w:r>
        <w:rPr>
          <w:rFonts w:ascii="Arial" w:cs="Arial" w:eastAsia="Arial" w:hAnsi="Arial"/>
          <w:sz w:val="17"/>
          <w:szCs w:val="17"/>
          <w:color w:val="auto"/>
        </w:rPr>
        <w:t>, in the event that Borrower or any of its Subsidiaries, after the Closing Date, intends to add any new offices or business locations, including warehouses but excluding contract manufacturing or third party logistics sites, or otherwise store any portion of the Collateral with, or deliver any portion of the Collateral to, a bailee, in each case pursuant to Section 7.02, then, in the event that the Collateral at any new location is valued (based on book value) in excess of One Million Dollars ($1,000,000.00) in the aggregate, such bailee or landlord, as applicable, must execute and deliver a bailee waiver or landlord waiver, as applicable, in form and substance reasonably satisfactory to Lender within sixty (60) days after adding any such new offices or business locations, or any such storage with or delivery to any such bailee,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-823595</wp:posOffset>
            </wp:positionV>
            <wp:extent cx="21139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15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6.10. Creation/Acquisition of Subsidiaries. In the event any Borrower or any Subsidiary of any Borrower creates or acquires any Subsidiary after the Closing Date, Borrower or such Subsidiary shall promptly notify the the Lender of such creation or acquisition. Within thirty (30) days of such creation of acquisition (or forty-five (45) days in the case of a foreign Subsidiary), Borrower or such Subsidiary shall take all actions reasonably requested by the Lender to achieve any of the following with respect to such “</w:t>
      </w:r>
      <w:r>
        <w:rPr>
          <w:rFonts w:ascii="Arial" w:cs="Arial" w:eastAsia="Arial" w:hAnsi="Arial"/>
          <w:sz w:val="16"/>
          <w:szCs w:val="16"/>
          <w:u w:val="single" w:color="auto"/>
          <w:color w:val="auto"/>
        </w:rPr>
        <w:t>New Subsidiary</w:t>
      </w:r>
      <w:r>
        <w:rPr>
          <w:rFonts w:ascii="Arial" w:cs="Arial" w:eastAsia="Arial" w:hAnsi="Arial"/>
          <w:sz w:val="16"/>
          <w:szCs w:val="16"/>
          <w:color w:val="auto"/>
        </w:rPr>
        <w:t>” (defined as a Subsidiary formed after the date hereof during the term of this Agreement): (i) if such New Subsidiary is not an Excluded Subsidiary, to cause such New Subsidiary to become either a co-Borrower hereunder, or a secured guarantor with respect to the Obligations; and (ii) to grant and pledge to Lender a perfected security interest in 100% of the stock, units or other evidence of ownership held by Borrower or its Subsidiaries of any such New Subsidiary (other than to the extent constituting (x) Excluded Assets or (y) directors’ qualifying shares or nominee or other similar shares required under applicable law). Notwithstanding the foregoing, within forty-five (45) days of any change in the U.S. tax laws that would (i) result in such New Subsidiary ceasing to be an Excluded Subsidiary, Borrower shall cause such New Subsidiary to become a secured guarantor with respect to the Obligations, or (ii) allow the pledge of a greater percentage of such voting equity interests of such New Subsidiary without material adverse tax consequences to Borrower, Borrower shall cause to be granted and pledged to Lender a perfected security interest in such greater percentage of voting equity interests of such New Subsidiary, in each case from that time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-1490980</wp:posOffset>
            </wp:positionV>
            <wp:extent cx="2125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6.11. Further Assurances . Execute any further instruments and take further action as Lender reasonably requests to perfect or continue Lender’s Lien in the Collateral or to effect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13677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2" w:name="page123"/>
    <w:bookmarkEnd w:id="122"/>
    <w:p>
      <w:pPr>
        <w:ind w:left="760"/>
        <w:spacing w:after="0"/>
        <w:tabs>
          <w:tab w:leader="none" w:pos="14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Inspection. Borrower will permit any of Lender’s officers or other representatives to visit and inspect Borrower’s location(s) or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328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any Collateral is kept during regular business hours to examine and audit all of Borrower’s books of account, records, reports and other papers, to make copies and extracts therefrom and to discuss its affairs, finances and accounts with its officers, employees and independent certified public accountants and attorneys. Borrower shall pay to Lender all reasonable fees based on standard rates for such inspections, currently at the rate of $1,100 per day, per Person (plus out-of-pocket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no Event of Default has occurred and is continuing, Borrower’s obligation to pay Lender such fees shall be limited to such fees incurred in connection with one (1) inspection per fiscal year and (ii) so long as the Term Loan Lender remains an Affiliate of Lender, such inspection and together with any inspection exercised by the Term Loan Lender under Section 6.02(c) of the Term Loan Agreement shall not exceed once per fiscal year absent the occurrence and continuance of an Event of Default or an “Event of Default” (as defined under the Term Loan Agreement). All costs, fees and expenses incurred by Lender in connection with such inspections shall constitute Expenses for purposes of this Agreement.</w:t>
      </w:r>
    </w:p>
    <w:p>
      <w:pPr>
        <w:spacing w:after="0" w:line="188"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[Reserved]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867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05"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Notice of Action. Borrower will promptly notify Lender in the event it becomes aware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2249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spacing w:after="0" w:line="192" w:lineRule="exact"/>
        <w:rPr>
          <w:sz w:val="20"/>
          <w:szCs w:val="20"/>
          <w:color w:val="auto"/>
        </w:rPr>
      </w:pPr>
    </w:p>
    <w:p>
      <w:pPr>
        <w:ind w:firstLine="1505"/>
        <w:spacing w:after="0" w:line="261" w:lineRule="auto"/>
        <w:tabs>
          <w:tab w:leader="none" w:pos="18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legal action, dispute, setoff, counterclaim, defense or reduction that is asserted by an Obligor with respect to any Account that may have a material adverse effect on the collectability of such Account or all Accounts collectively;</w:t>
      </w:r>
    </w:p>
    <w:p>
      <w:pPr>
        <w:spacing w:after="0" w:line="184" w:lineRule="exact"/>
        <w:rPr>
          <w:rFonts w:ascii="Arial" w:cs="Arial" w:eastAsia="Arial" w:hAnsi="Arial"/>
          <w:sz w:val="18"/>
          <w:szCs w:val="18"/>
          <w:color w:val="auto"/>
        </w:rPr>
      </w:pPr>
    </w:p>
    <w:p>
      <w:pPr>
        <w:jc w:val="both"/>
        <w:ind w:firstLine="1505"/>
        <w:spacing w:after="0" w:line="273" w:lineRule="auto"/>
        <w:tabs>
          <w:tab w:leader="none" w:pos="185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 that Borrower or any Subsidiary of Borrower, an owner, officer, manager, employee or Person with a “direct or indirect ownership interest” (as that phrase is defined in 42 C.F.R. §420.201) in Borrower or any Subsidiary of Borrower: (A) has had a civil monetary penalty assessed against him or her pursuant to 42 U.S.C. §1320a-7a or is the subject of a proceeding seeking to assess such penalty; (B) has been excluded from participation in a Federal Health Care Program (as that term is defined in 42 U.S.C. §1320a-7b) or is the subject of a proceeding seeking to assess such penalty; (C) has been convicted (as that term is defined in 42 C.F.R. §1001.2) of any of those offenses described in 42 U.S.C. §1320a-7b or 18 U.S.C. §§669, 1035, 1347, 1518 or is the subject of a proceeding seeking to assess such penalty; or (D) has been involved or named in a U.S. Attorney complaint made or any other action taken pursuant to the False Claims Act under 31 U.S.C. §§3729-3731 or in any qui tam action brought pursuant to 31 U.S.C. §3729 et seq.; (2) notice of any material reduction in the level of reimbursement expected to be received with respect to receivables; (3) any allegations of material licensure violations or fraudulent acts or omissions involving Borrower or any Subsidiary of Borrower; (4) the pending or threatened imposition of any material fine or penalty by any Governmental Authority under any Healthcare Law against Borrower or any Subsidiary of Borrower; (5) any changes in any Healthcare Law (including the adoption of a new Healthcare Law) known to Borrower or any Subsidiary of Borrower that would reasonably be expected to have, in the aggregate, a Material Adverse Change; (6) any pending or threatened revocation, suspension, termination, probation, restriction, limitation, denial, or non-renewal with respect to any material Healthcare Permit.</w:t>
      </w:r>
    </w:p>
    <w:p>
      <w:pPr>
        <w:spacing w:after="0" w:line="18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582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6.16. Accounts Receivables Monitoring System. Borrower shall deliver to Lender or its agents the Accounts Detail File in accordance with Section 2.02(d) hereof and shall assist, as needed, Lender or its agent in completing and maintaining such exchange of files such that the Lender’s accounts receivable monitoring system can interpret the Accounts Detail File provided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-299720</wp:posOffset>
            </wp:positionV>
            <wp:extent cx="23914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6.17. Collateral Reporting . Borrower agrees to furnish to Lender such information as Lender reasonably requires in connection with monitoring the Collateral, at the times and in the manner determined by Lender, including Medicare and Medicaid cost reports and audits,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-179705</wp:posOffset>
            </wp:positionV>
            <wp:extent cx="14357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1435735" cy="8890"/>
                    </a:xfrm>
                    <a:prstGeom prst="rect">
                      <a:avLst/>
                    </a:prstGeom>
                    <a:noFill/>
                  </pic:spPr>
                </pic:pic>
              </a:graphicData>
            </a:graphic>
          </wp:anchor>
        </w:drawing>
      </w:r>
    </w:p>
    <w:p>
      <w:pPr>
        <w:spacing w:after="0" w:line="13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color w:val="auto"/>
        </w:rPr>
        <w:t>Post-Closing Obligations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-7620</wp:posOffset>
            </wp:positionV>
            <wp:extent cx="16090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1609090" cy="8255"/>
                    </a:xfrm>
                    <a:prstGeom prst="rect">
                      <a:avLst/>
                    </a:prstGeom>
                    <a:noFill/>
                  </pic:spPr>
                </pic:pic>
              </a:graphicData>
            </a:graphic>
          </wp:anchor>
        </w:drawing>
      </w:r>
    </w:p>
    <w:p>
      <w:pPr>
        <w:spacing w:after="0" w:line="196" w:lineRule="exact"/>
        <w:rPr>
          <w:sz w:val="20"/>
          <w:szCs w:val="20"/>
          <w:color w:val="auto"/>
        </w:rPr>
      </w:pPr>
    </w:p>
    <w:p>
      <w:pPr>
        <w:jc w:val="both"/>
        <w:ind w:firstLine="1505"/>
        <w:spacing w:after="0" w:line="256" w:lineRule="auto"/>
        <w:tabs>
          <w:tab w:leader="none" w:pos="185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or before sixty (60) days following the Closing Date (or such later date as Lender may agree in writing), Borrower shall deliver to Lender fully executed landlord or bailee waivers/collateral access agreements with respect to the following locations (each in form and substance reasonably acceptable to Lender): (i)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3052 Orchard Drive, San Jose, CA, 95134; (ii) 1585 Sunflower Ave., Costa Mesa, CA 92626; and (iii) 7045 Troy Hill Drive, Suite 300, Elkridge, MD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21075.</w:t>
      </w:r>
    </w:p>
    <w:p>
      <w:pPr>
        <w:spacing w:after="0" w:line="197" w:lineRule="exact"/>
        <w:rPr>
          <w:sz w:val="20"/>
          <w:szCs w:val="20"/>
          <w:color w:val="auto"/>
        </w:rPr>
      </w:pPr>
    </w:p>
    <w:p>
      <w:pPr>
        <w:jc w:val="both"/>
        <w:ind w:right="20" w:firstLine="1505"/>
        <w:spacing w:after="0" w:line="256" w:lineRule="auto"/>
        <w:tabs>
          <w:tab w:leader="none" w:pos="18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or before thirty (30) days following the Closing Date (or such later date as Lender may agree in writing), Borrower shall deliver to Lender evidence in form and substance reasonably acceptable to Lender that the Specified Account shall have been closed and that the funds held therein shall have been transferred to a Blocked Account of the Borrower.</w:t>
      </w:r>
    </w:p>
    <w:p>
      <w:pPr>
        <w:spacing w:after="0" w:line="174" w:lineRule="exact"/>
        <w:rPr>
          <w:rFonts w:ascii="Arial" w:cs="Arial" w:eastAsia="Arial" w:hAnsi="Arial"/>
          <w:sz w:val="18"/>
          <w:szCs w:val="18"/>
          <w:color w:val="auto"/>
        </w:rPr>
      </w:pPr>
    </w:p>
    <w:p>
      <w:pPr>
        <w:jc w:val="both"/>
        <w:ind w:firstLine="1505"/>
        <w:spacing w:after="0" w:line="278" w:lineRule="auto"/>
        <w:tabs>
          <w:tab w:leader="none" w:pos="185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 or before three (3) Business Days following the Closing Date (or such later date as Lender may agree in writing), Borrower shall deliver to Lender fully executed springing Control Agreements in respect of the following Deposit Accounts maintained at the Lockbox Bank (each in form and substance acceptable to Lender): (i) Operating Account No. *******861 and (ii) SVB Cash Sweep Account No. *******437.</w:t>
      </w:r>
    </w:p>
    <w:p>
      <w:pPr>
        <w:spacing w:after="0" w:line="157" w:lineRule="exact"/>
        <w:rPr>
          <w:rFonts w:ascii="Arial" w:cs="Arial" w:eastAsia="Arial" w:hAnsi="Arial"/>
          <w:sz w:val="17"/>
          <w:szCs w:val="17"/>
          <w:color w:val="auto"/>
        </w:rPr>
      </w:pPr>
    </w:p>
    <w:p>
      <w:pPr>
        <w:ind w:right="20" w:firstLine="1505"/>
        <w:spacing w:after="0" w:line="261" w:lineRule="auto"/>
        <w:tabs>
          <w:tab w:leader="none" w:pos="18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extent not delivered on the Closing Date, on or before thirty (30) days following the Closing Date (or such later date as Lender may agree in writing), Borrower shall deliver to Lender insurance endorsements deliverables required under Section 4.01(n).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Borrower covenants that until all of Borrower’s Obligations to Lender are paid and satisfied in full and the Credit Facility has been terminated:</w:t>
      </w:r>
    </w:p>
    <w:p>
      <w:pPr>
        <w:spacing w:after="0" w:line="248" w:lineRule="exact"/>
        <w:rPr>
          <w:sz w:val="20"/>
          <w:szCs w:val="20"/>
          <w:color w:val="auto"/>
        </w:rPr>
      </w:pPr>
    </w:p>
    <w:p>
      <w:pPr>
        <w:jc w:val="both"/>
        <w:ind w:firstLine="749"/>
        <w:spacing w:after="0" w:line="208" w:lineRule="exact"/>
        <w:rPr>
          <w:sz w:val="20"/>
          <w:szCs w:val="20"/>
          <w:color w:val="auto"/>
        </w:rPr>
      </w:pPr>
      <w:r>
        <w:rPr>
          <w:rFonts w:ascii="Arial" w:cs="Arial" w:eastAsia="Arial" w:hAnsi="Arial"/>
          <w:sz w:val="17"/>
          <w:szCs w:val="17"/>
          <w:color w:val="auto"/>
        </w:rPr>
        <w:t>7.01. Dispositions. Convey, sell, lease, transfer, assign, dispose of, license (collectively, “</w:t>
      </w:r>
      <w:r>
        <w:rPr>
          <w:rFonts w:ascii="Arial" w:cs="Arial" w:eastAsia="Arial" w:hAnsi="Arial"/>
          <w:sz w:val="17"/>
          <w:szCs w:val="17"/>
          <w:u w:val="single" w:color="auto"/>
          <w:color w:val="auto"/>
        </w:rPr>
        <w:t>Transfer</w:t>
      </w:r>
      <w:r>
        <w:rPr>
          <w:rFonts w:ascii="Arial" w:cs="Arial" w:eastAsia="Arial" w:hAnsi="Arial"/>
          <w:sz w:val="17"/>
          <w:szCs w:val="17"/>
          <w:color w:val="auto"/>
        </w:rPr>
        <w:t>”), or permit any of its Subsidiaries to Transfer, all or any part of its business or property, except for Transfers (a) of Inventory or other assets in the ordinary course of business (including Transfers to the contract manufacturers or third party logistics providers to facilitate product manufacturing and logistics services); (b) of worn</w:t>
      </w:r>
      <w:r>
        <w:rPr>
          <w:rFonts w:ascii="MS PGothic" w:cs="MS PGothic" w:eastAsia="MS PGothic" w:hAnsi="MS PGothic"/>
          <w:sz w:val="17"/>
          <w:szCs w:val="17"/>
          <w:color w:val="auto"/>
        </w:rPr>
        <w:t>‑</w:t>
      </w:r>
      <w:r>
        <w:rPr>
          <w:rFonts w:ascii="Arial" w:cs="Arial" w:eastAsia="Arial" w:hAnsi="Arial"/>
          <w:sz w:val="17"/>
          <w:szCs w:val="17"/>
          <w:color w:val="auto"/>
        </w:rPr>
        <w:t>out, surplus, uneconomic or obsolete Equipment and inventory, or such other assets that are immaterial or no longer useful to Borrower or any of its Subsidiaries’ business; (c) in connection with Permitted Liens, Permitted Investments and Permitted Licenses; or (d) cash or Cash Equivalents in the ordinary course of business and pursuant to transactions not prohibited by this Agreement; (e) Transfers (including by discounting, cancellation or forgiveness) of accounts receivable (excluding sales or dispositions in a factoring arrangement) in connection with the compromise, settlement or collection thereof in the ordinary course of business; (f) Transfers of assets among Borrower, co-Borrowers or Guarantors or Transfers of assets by a Subsidiary of Borrower to Borrower, co-Borrowers or Guarantors; (g) Transfers of assets by Borrower, co-Borrowers or Guarantors to Subsidiaries that are not co-Borrowers or Guarantors, provided that the amount of all such Transfers, together with Investments by Borrower or Subsidiaries that are co-Borrowers or Guarantors in Subsidiaries that are not co-Borrowers or Guarantors that are permitted under clause (i) of the definition of Permitted Investments, shall not, in the aggregate, exceed Five Hundred Thousand Dollars ($500,000.00) per fiscal year and (h) other Transfers in the aggregate not to exceed Two Hundred Fifty Thousand Dollars ($250,000.00) per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-1593215</wp:posOffset>
            </wp:positionV>
            <wp:extent cx="10369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8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7.02. Changes in Business, Management, Ownership or Business Locations. (a) Engage in or permit any of its Subsidiaries to engage in any business other than the businesses engaged in by Borrower or such Subsidiary, as applicable, as of the Closing Date or reasonably related, complimentary or incidental thereto; (b) liquidate or dissolve, except in a transaction permitted under Section 7.03; or (c) (i) provide written notice to Lender at the time an 8-K is filed announcing the retirement, resignation or termination of any Key Person, or (ii) enter into any transaction or series of related transactions in which (A) any “person” or “group” (as such terms are used in Sections 13(d) and 14(d) of the Securities Exchange Act of 1934, as amended) shall be the “beneficial owner” (as defined in Rules 13(d) 3 and 13(d) 5 under the Securities Exchange Act of 1934, as amended), directly or indirectly, of 35% of the voting and economic outstanding stock of Borrower and (B) except as permitted by Section 7.03, Borrower ceases to own, directly or indirectly, 100% of the ownership interests in each Subsidiary of Borrower, except (x) in a transaction permitted under Section 7.03 or (y) for directors’ qualifying shares or nominee or other similar shares required under applicable law. Borrower shall not, and shall not permit any of its Subsidiaries to, without at least ten (10) days’ prior written notice to Lender: (A) change its respective jurisdiction of organization, (B) except as permitted by Section 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-1222375</wp:posOffset>
            </wp:positionV>
            <wp:extent cx="36696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3669665" cy="889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8"/>
          <w:szCs w:val="18"/>
          <w:color w:val="auto"/>
        </w:rPr>
        <w:t>change its respective organizational structure or type, (C) change its respective legal name, or (D) change any organizational number(s) (if any) assigned by its respective jurisdiction of organization.</w:t>
      </w:r>
    </w:p>
    <w:p>
      <w:pPr>
        <w:spacing w:after="0" w:line="157" w:lineRule="exact"/>
        <w:rPr>
          <w:sz w:val="20"/>
          <w:szCs w:val="20"/>
          <w:color w:val="auto"/>
        </w:rPr>
      </w:pPr>
    </w:p>
    <w:p>
      <w:pPr>
        <w:jc w:val="both"/>
        <w:ind w:firstLine="749"/>
        <w:spacing w:after="0" w:line="210" w:lineRule="exact"/>
        <w:rPr>
          <w:sz w:val="20"/>
          <w:szCs w:val="20"/>
          <w:color w:val="auto"/>
        </w:rPr>
      </w:pPr>
      <w:r>
        <w:rPr>
          <w:rFonts w:ascii="Arial" w:cs="Arial" w:eastAsia="Arial" w:hAnsi="Arial"/>
          <w:sz w:val="17"/>
          <w:szCs w:val="17"/>
          <w:color w:val="auto"/>
        </w:rPr>
        <w:t xml:space="preserve">7.03. </w:t>
      </w:r>
      <w:r>
        <w:rPr>
          <w:rFonts w:ascii="Arial" w:cs="Arial" w:eastAsia="Arial" w:hAnsi="Arial"/>
          <w:sz w:val="17"/>
          <w:szCs w:val="17"/>
          <w:u w:val="single" w:color="auto"/>
          <w:color w:val="auto"/>
        </w:rPr>
        <w:t>Mergers or Acquisitions</w:t>
      </w:r>
      <w:r>
        <w:rPr>
          <w:rFonts w:ascii="Arial" w:cs="Arial" w:eastAsia="Arial" w:hAnsi="Arial"/>
          <w:sz w:val="17"/>
          <w:szCs w:val="17"/>
          <w:color w:val="auto"/>
        </w:rPr>
        <w:t>. Merge or consolidate, or permit any of its Subsidiaries to merge or consolidate, with any other Person, or acquire, or permit any of its Subsidiaries to acquire, all or substantially all of the capital stock or shares or any property of another Person, in each case including for the avoidance of doubt through a merger, purchase, in-licensing arrangement or any similar transaction. Notwithstanding the foregoing, (x) a Subsidiary may merge or consolidate into (including by way of liquidation or dissolution) another Subsidiary (provided such surviving Subsidiary is a “co</w:t>
      </w:r>
      <w:r>
        <w:rPr>
          <w:rFonts w:ascii="MS PGothic" w:cs="MS PGothic" w:eastAsia="MS PGothic" w:hAnsi="MS PGothic"/>
          <w:sz w:val="17"/>
          <w:szCs w:val="17"/>
          <w:color w:val="auto"/>
        </w:rPr>
        <w:t>‑</w:t>
      </w:r>
      <w:r>
        <w:rPr>
          <w:rFonts w:ascii="Arial" w:cs="Arial" w:eastAsia="Arial" w:hAnsi="Arial"/>
          <w:sz w:val="17"/>
          <w:szCs w:val="17"/>
          <w:color w:val="auto"/>
        </w:rPr>
        <w:t>Borrower” hereunder or has provided a secured Guaranty of Borrower’s Obligations hereunder in accordance with Section 6.10) or with (or into) Borrower provided Borrower is the surviving legal entity, (y) a Subsidiary that is not a co-Borrower or a Guarantor may merge or consolidate into (including by way of liquidation or dissolution) another Subsidiary that is not a co-Borrower or a Guarantor and (z) an Excluded Subsidiary may liquidate or dissolve, so long as, in each case, no Event of Default is occurring prior thereto or arises as a result therefrom.</w:t>
      </w:r>
    </w:p>
    <w:p>
      <w:pPr>
        <w:spacing w:after="0" w:line="188" w:lineRule="exact"/>
        <w:rPr>
          <w:sz w:val="20"/>
          <w:szCs w:val="20"/>
          <w:color w:val="auto"/>
        </w:rPr>
      </w:pPr>
    </w:p>
    <w:p>
      <w:pPr>
        <w:ind w:left="760"/>
        <w:spacing w:after="0"/>
        <w:tabs>
          <w:tab w:leader="none" w:pos="1460" w:val="left"/>
          <w:tab w:leader="none" w:pos="262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8"/>
          <w:szCs w:val="18"/>
          <w:color w:val="auto"/>
        </w:rPr>
        <w:t>Indebtedness .</w:t>
      </w:r>
      <w:r>
        <w:rPr>
          <w:sz w:val="20"/>
          <w:szCs w:val="20"/>
          <w:color w:val="auto"/>
        </w:rPr>
        <w:tab/>
      </w:r>
      <w:r>
        <w:rPr>
          <w:rFonts w:ascii="Arial" w:cs="Arial" w:eastAsia="Arial" w:hAnsi="Arial"/>
          <w:sz w:val="17"/>
          <w:szCs w:val="17"/>
          <w:color w:val="auto"/>
        </w:rPr>
        <w:t>Create, incur, assume, or be liable for any Indebtedness, or permit any Subsidiary to do so, other than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706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400"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7"/>
          <w:szCs w:val="17"/>
          <w:color w:val="auto"/>
        </w:rPr>
        <w:t>Encumbrance.  Create, incur, allow, or suffer any Lien on any of its property, or permit any of its Subsidiaries to do so,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93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Permitted Liens, or permit any Collateral not to be subject to the first priority security interest granted herein (except for Permitted Liens), or enter into any agreement, document, instrument or other arrangement (except with or in favor of Lender)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definitions of “Permitted Liens” and “Permitted Negative Pledges”.</w:t>
      </w:r>
    </w:p>
    <w:p>
      <w:pPr>
        <w:spacing w:after="0" w:line="18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Maintenance of Collateral Accounts</w:t>
      </w:r>
      <w:r>
        <w:rPr>
          <w:rFonts w:ascii="Arial" w:cs="Arial" w:eastAsia="Arial" w:hAnsi="Arial"/>
          <w:sz w:val="18"/>
          <w:szCs w:val="18"/>
          <w:color w:val="auto"/>
        </w:rPr>
        <w:t>. With respect to Borrower any Guarantors, maintain any Collateral Account except pursuant to the terms of Section 6.06.</w:t>
      </w:r>
    </w:p>
    <w:p>
      <w:pPr>
        <w:spacing w:after="0" w:line="15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(a) Declare or pay any dividends or make any other distribution or payment in respect of or redeem, retire or purchase any capital stock or securities convertible into or exchangeable for capital stock (other than (i) the declaration or payment of dividends to Borrower or its Subsidiaries, (ii) the declaration or payment of any dividends solely in the form of equity securities, (iii) repurchases pursuant to the terms of employee stock purchase plans, employee restricted stock agreements, stockholder rights plans, director or consultant stock option plans, or similar plans, provided such repurchases do not exceed Five Hundred Thousand Dollars ($500,000.00) in the aggregate per fiscal year, (iv) purchases of capital stocks, restricted stock units and/or performance stock units in connection with the exercise of stock options, stock units, warrants or other equity awards by way of cashless or net exercise or in connection with the satisfaction of withholding tax obligations and (v) purchases of fractional shares of capital stock arising out of stock dividends, splits or combinations or business combinations or in connection with exercises or conversions of options, warrants and other convertible securities), (b) purchase, redeem, defease or prepay any principal of, premium, if any, interest or other amount payable in respect of any Permitted Convertible Debt prior to its scheduled maturity unless permitted by the following two paragraphs, or (c) be a party to or bound by an agreement that restricts a Subsidiary from paying dividends or otherwise distributing property to Borrower.</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Notwithstanding the foregoing, and for the avoidance of doubt, this Section 7.07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or any redemption of Permitted Convertible Debt to the extent permitted by Section 7.14; provided that the preceding sentence shall only allow principal payments in cash (other than payments of cash in lieu of fractional shares), if the Redemption Conditions are satisfied in respect of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5" w:name="page126"/>
    <w:bookmarkEnd w:id="125"/>
    <w:p>
      <w:pPr>
        <w:jc w:val="both"/>
        <w:spacing w:after="0" w:line="261" w:lineRule="auto"/>
        <w:rPr>
          <w:sz w:val="20"/>
          <w:szCs w:val="20"/>
          <w:color w:val="auto"/>
        </w:rPr>
      </w:pPr>
      <w:r>
        <w:rPr>
          <w:rFonts w:ascii="Arial" w:cs="Arial" w:eastAsia="Arial" w:hAnsi="Arial"/>
          <w:sz w:val="17"/>
          <w:szCs w:val="17"/>
          <w:color w:val="auto"/>
        </w:rPr>
        <w:t>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shall not be permitted by this clause (i); and (ii) any required payment with respect to, or required early unwind or settlement of, any Permitted Call Spread Agreement, in each case, in accordance with the terms of the agreement governing such Permitted Call Spread Agreement; provided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Notwithstanding the foregoing, the Borrower may repurchase, exchange or induce the conversion of Permitted Convertible Debt by delivery of shares of the Borrower’s common stock and/or a different series of Permitted Convertible Debt (which series matures after, and does not require any scheduled amortization or other scheduled payments of principal prior to, the analogous date under the indenture governing the Permitted Convertible Debt that are so repurchased, exchanged or converted) (any such series of Permitted Convertible Debt, “</w:t>
      </w:r>
      <w:r>
        <w:rPr>
          <w:rFonts w:ascii="Arial" w:cs="Arial" w:eastAsia="Arial" w:hAnsi="Arial"/>
          <w:sz w:val="17"/>
          <w:szCs w:val="17"/>
          <w:u w:val="single" w:color="auto"/>
          <w:color w:val="auto"/>
        </w:rPr>
        <w:t>Refinancing Convertible Debt</w:t>
      </w:r>
      <w:r>
        <w:rPr>
          <w:rFonts w:ascii="Arial" w:cs="Arial" w:eastAsia="Arial" w:hAnsi="Arial"/>
          <w:sz w:val="17"/>
          <w:szCs w:val="17"/>
          <w:color w:val="auto"/>
        </w:rPr>
        <w:t>”)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provided 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7.07 to) exercise or unwind or terminate early (whether in cash, shares or any combination thereof) the portion of the Permitted Call Spread Agreements, if any, corresponding to such Permitted Convertible Debt that is so repurchased, exchanged or converted.</w:t>
      </w:r>
    </w:p>
    <w:p>
      <w:pPr>
        <w:spacing w:after="0" w:line="17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7.08. Investments. Directly or indirectly make any Investment other than Permitted Investments, or permit any of its Subsidiaries to do so other than 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9645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15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7"/>
          <w:szCs w:val="17"/>
          <w:color w:val="auto"/>
        </w:rPr>
        <w:t>Transactions with Affiliates. Directly or indirectly enter into or permit to exist any material transaction with any Affiliate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7265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3"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or any of its Subsidiaries, except for (a) transactions that are in the ordinary course of Borrower’s or such Subsidiary’s business, upon fair and reasonable terms that are no less favorable to Borrower or such Subsidiary than would be obtained in an arm’s length transaction with a non</w:t>
      </w:r>
      <w:r>
        <w:rPr>
          <w:rFonts w:ascii="MS PGothic" w:cs="MS PGothic" w:eastAsia="MS PGothic" w:hAnsi="MS PGothic"/>
          <w:sz w:val="18"/>
          <w:szCs w:val="18"/>
          <w:color w:val="auto"/>
        </w:rPr>
        <w:t>‑</w:t>
      </w:r>
      <w:r>
        <w:rPr>
          <w:rFonts w:ascii="Arial" w:cs="Arial" w:eastAsia="Arial" w:hAnsi="Arial"/>
          <w:sz w:val="18"/>
          <w:szCs w:val="18"/>
          <w:color w:val="auto"/>
        </w:rPr>
        <w:t>affiliated Person, (b) equity investments by Borrower’s investors in Borrower or its Subsidiaries and transactions related thereto, (c) intercompany transactions expressly permitted by Sections 7.01, 7.03, 7.04, 7.07 or 7.08, (d) compensation, indemnification, reimbursement of expenses of officers and directors in the ordinary course of business or approved by Borrower’s or such Subsidiary’s board of directors (or governing body), and (e) employment arrangements with executive officers approved by Borrower’s Board of Directors.</w:t>
      </w:r>
    </w:p>
    <w:p>
      <w:pPr>
        <w:spacing w:after="0" w:line="188"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Term Loan Facility. Borrower shall not (a) make or permit any payment on any Term Loan Obligations, except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3373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 w:lineRule="exact"/>
        <w:rPr>
          <w:sz w:val="20"/>
          <w:szCs w:val="20"/>
          <w:color w:val="auto"/>
        </w:rPr>
      </w:pPr>
    </w:p>
    <w:p>
      <w:pPr>
        <w:jc w:val="both"/>
        <w:ind w:right="20"/>
        <w:spacing w:after="0" w:line="305" w:lineRule="auto"/>
        <w:rPr>
          <w:sz w:val="20"/>
          <w:szCs w:val="20"/>
          <w:color w:val="auto"/>
        </w:rPr>
      </w:pPr>
      <w:r>
        <w:rPr>
          <w:rFonts w:ascii="Arial" w:cs="Arial" w:eastAsia="Arial" w:hAnsi="Arial"/>
          <w:sz w:val="16"/>
          <w:szCs w:val="16"/>
          <w:color w:val="auto"/>
        </w:rPr>
        <w:t>terms of the Intercreditor Agreement, or (b) amend any provision in any Term Loan Document in a manner not permitted by the Intercreditor Agreement or in a manner materially adverse to the interest of the Lender or (c) enter into any agreement with Term Loan Lender which is not an Affiliate of Lender.</w:t>
      </w:r>
    </w:p>
    <w:p>
      <w:pPr>
        <w:spacing w:after="0" w:line="139"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Compliance . (a) Become an “investment company” or a company controlled by an “investment company”, under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26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Company Act of 1940, as amended, or undertake as one of its important activities extending credit to purchase or carry margin stock (as defined in Regulation U of the Board of Governors of the Federal Reserve System), or use the proceeds of any Revolving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including any liability to the Pension Benefit Guaranty Corporation or its successors or any other Governmental Authority.</w:t>
      </w:r>
    </w:p>
    <w:p>
      <w:pPr>
        <w:spacing w:after="0" w:line="225" w:lineRule="exact"/>
        <w:rPr>
          <w:sz w:val="20"/>
          <w:szCs w:val="20"/>
          <w:color w:val="auto"/>
        </w:rPr>
      </w:pPr>
    </w:p>
    <w:p>
      <w:pPr>
        <w:jc w:val="both"/>
        <w:ind w:firstLine="749"/>
        <w:spacing w:after="0" w:line="210" w:lineRule="exact"/>
        <w:rPr>
          <w:sz w:val="20"/>
          <w:szCs w:val="20"/>
          <w:color w:val="auto"/>
        </w:rPr>
      </w:pPr>
      <w:r>
        <w:rPr>
          <w:rFonts w:ascii="Arial" w:cs="Arial" w:eastAsia="Arial" w:hAnsi="Arial"/>
          <w:sz w:val="17"/>
          <w:szCs w:val="17"/>
          <w:color w:val="auto"/>
        </w:rPr>
        <w:t>7.12. Compliance with Anti-Terrorism Laws . 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7"/>
          <w:szCs w:val="17"/>
          <w:color w:val="auto"/>
        </w:rPr>
        <w:t>‑</w:t>
      </w:r>
      <w:r>
        <w:rPr>
          <w:rFonts w:ascii="Arial" w:cs="Arial" w:eastAsia="Arial" w:hAnsi="Arial"/>
          <w:sz w:val="17"/>
          <w:szCs w:val="17"/>
          <w:color w:val="auto"/>
        </w:rPr>
        <w:t>Terrorism Law, or (c)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7"/>
          <w:szCs w:val="17"/>
          <w:color w:val="auto"/>
        </w:rPr>
        <w:t>‑</w:t>
      </w:r>
      <w:r>
        <w:rPr>
          <w:rFonts w:ascii="Arial" w:cs="Arial" w:eastAsia="Arial" w:hAnsi="Arial"/>
          <w:sz w:val="17"/>
          <w:szCs w:val="17"/>
          <w:color w:val="auto"/>
        </w:rPr>
        <w:t>Terrorism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-942340</wp:posOffset>
            </wp:positionV>
            <wp:extent cx="23469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7.13. Financial Covenants. Commencing with the fiscal quarter of the Borrower ending on December 31, 2023 and for each fiscal quarter occurring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14014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spacing w:after="0" w:line="363" w:lineRule="exact"/>
        <w:rPr>
          <w:sz w:val="20"/>
          <w:szCs w:val="20"/>
          <w:color w:val="auto"/>
        </w:rPr>
      </w:pPr>
    </w:p>
    <w:p>
      <w:pPr>
        <w:jc w:val="both"/>
        <w:ind w:firstLine="1505"/>
        <w:spacing w:after="0" w:line="250" w:lineRule="auto"/>
        <w:tabs>
          <w:tab w:leader="none" w:pos="1884"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Minimum Liquidity</w:t>
      </w:r>
      <w:r>
        <w:rPr>
          <w:rFonts w:ascii="Arial" w:cs="Arial" w:eastAsia="Arial" w:hAnsi="Arial"/>
          <w:sz w:val="18"/>
          <w:szCs w:val="18"/>
          <w:color w:val="auto"/>
        </w:rPr>
        <w:t>. Unless Borrower is in compliance with Section 7.13(b) for such fiscal quarter, permit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Cash to be less than an amount equal to the sum of (x) 50% of the aggregate outstanding principal of Term Loans plus (y) the amount of Borrower’s and its Subsidiaries accounts payable that have not been paid within one hundred twenty (120) days from the invoice date of the relevant account payable.</w:t>
      </w:r>
    </w:p>
    <w:p>
      <w:pPr>
        <w:spacing w:after="0" w:line="177" w:lineRule="exact"/>
        <w:rPr>
          <w:rFonts w:ascii="Arial" w:cs="Arial" w:eastAsia="Arial" w:hAnsi="Arial"/>
          <w:sz w:val="18"/>
          <w:szCs w:val="18"/>
          <w:color w:val="auto"/>
        </w:rPr>
      </w:pPr>
    </w:p>
    <w:p>
      <w:pPr>
        <w:jc w:val="both"/>
        <w:ind w:firstLine="1505"/>
        <w:spacing w:after="0" w:line="268" w:lineRule="auto"/>
        <w:tabs>
          <w:tab w:leader="none" w:pos="1857"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Minimum Product Revenue</w:t>
      </w:r>
      <w:r>
        <w:rPr>
          <w:rFonts w:ascii="Arial" w:cs="Arial" w:eastAsia="Arial" w:hAnsi="Arial"/>
          <w:sz w:val="17"/>
          <w:szCs w:val="17"/>
          <w:color w:val="auto"/>
        </w:rPr>
        <w:t>. Unless Borrower is in compliance with Section 7.13(a) for such fiscal quarter, permit (x)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measured quarterly as of the last day of such fiscal quarter of Borrower on a trailing two (2) fiscal quarter basis, to be less than an amount equal to 55% of the aggregate outstanding principal of Term Loans or (y) Gross Profit Margin, measured as of the last day of such fiscal quarter of the Borrower, to be less than a percentage equal to 72.5% of projected Gross Profit Margin for such fiscal quarter, as set forth in (A) for any fiscal quarter ending on or prior to December 31, 2023, the Lender Presentation, or (B) for any fiscal quarter ending thereafter, the Annual Plan.</w:t>
      </w:r>
    </w:p>
    <w:p>
      <w:pPr>
        <w:spacing w:after="0" w:line="16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7.14. Redemption of Permitted Convertible Debt. Exercise any redemption right or settlement of any conversion in cash (other than cash in lieu of fractional shares) with respect to any Permitted Convertible Debt upon satisfaction of a condition related to the stock price of the Borrower’s common stock, unless the Redemption Conditions are satisfied in respect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-299720</wp:posOffset>
            </wp:positionV>
            <wp:extent cx="24390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243903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w:t>
      </w:r>
    </w:p>
    <w:p>
      <w:pPr>
        <w:spacing w:after="0" w:line="229"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color w:val="auto"/>
        </w:rPr>
        <w:t>Events of Default. Any one of the following shall constitute an event of default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2630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390" w:lineRule="exact"/>
        <w:rPr>
          <w:sz w:val="20"/>
          <w:szCs w:val="20"/>
          <w:color w:val="auto"/>
        </w:rPr>
      </w:pPr>
    </w:p>
    <w:p>
      <w:pPr>
        <w:jc w:val="both"/>
        <w:ind w:firstLine="1505"/>
        <w:spacing w:after="0" w:line="289" w:lineRule="auto"/>
        <w:tabs>
          <w:tab w:leader="none" w:pos="185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Payment Default</w:t>
      </w:r>
      <w:r>
        <w:rPr>
          <w:rFonts w:ascii="Arial" w:cs="Arial" w:eastAsia="Arial" w:hAnsi="Arial"/>
          <w:sz w:val="16"/>
          <w:szCs w:val="16"/>
          <w:b w:val="1"/>
          <w:bCs w:val="1"/>
          <w:color w:val="auto"/>
        </w:rPr>
        <w:t>.</w:t>
      </w:r>
      <w:r>
        <w:rPr>
          <w:rFonts w:ascii="Arial" w:cs="Arial" w:eastAsia="Arial" w:hAnsi="Arial"/>
          <w:sz w:val="16"/>
          <w:szCs w:val="16"/>
          <w:color w:val="auto"/>
        </w:rPr>
        <w:t xml:space="preserve"> Borrower fails to, (a) prior to the Initial Revolving Loan Advance Date, pay any Obligation within three (3) Business Days after such Obligation is due and payable (which three (3) Business Day grace period shall not apply to payments due on the Maturity Date or the date of acceleration pursuant to Section 8.03 hereof), or, (b) after the Initial Revolving Loan Advance Date, make any payment of principal or interest on any Revolving Loan or pay any other Obligations, in each case, within one (1) Business Day after such Obligation is due and payable (which one (1) Business Day grace period shall not apply to payments due on the Maturity Date or the date of acceleration pursuant to Section 8.03 hereof);</w:t>
      </w:r>
    </w:p>
    <w:p>
      <w:pPr>
        <w:spacing w:after="0" w:line="151" w:lineRule="exact"/>
        <w:rPr>
          <w:rFonts w:ascii="Arial" w:cs="Arial" w:eastAsia="Arial" w:hAnsi="Arial"/>
          <w:sz w:val="16"/>
          <w:szCs w:val="16"/>
          <w:color w:val="auto"/>
        </w:rPr>
      </w:pPr>
    </w:p>
    <w:p>
      <w:pPr>
        <w:ind w:left="1860" w:hanging="355"/>
        <w:spacing w:after="0"/>
        <w:tabs>
          <w:tab w:leader="none" w:pos="18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Covenant Default</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7" w:name="page128"/>
    <w:bookmarkEnd w:id="127"/>
    <w:p>
      <w:pPr>
        <w:jc w:val="both"/>
        <w:ind w:left="1500" w:firstLine="754"/>
        <w:spacing w:after="0" w:line="249" w:lineRule="auto"/>
        <w:tabs>
          <w:tab w:leader="none" w:pos="2609" w:val="left"/>
        </w:tabs>
        <w:numPr>
          <w:ilvl w:val="2"/>
          <w:numId w:val="108"/>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6.02 (Financial Statements, Reports, Certificates), 6.04 (Taxes), 6.05 (Insurance), 6.06 (Operating Accounts), 6.07 (Protection of Intellectual Property Rights), 6.09 (Landlord Waivers; Bailee Waivers), 6.10 (Creation/Acquisition of Subsidiaries) or Borrower violates any provision in Section 7; or</w:t>
      </w:r>
    </w:p>
    <w:p>
      <w:pPr>
        <w:spacing w:after="0" w:line="194" w:lineRule="exact"/>
        <w:rPr>
          <w:rFonts w:ascii="Arial" w:cs="Arial" w:eastAsia="Arial" w:hAnsi="Arial"/>
          <w:sz w:val="18"/>
          <w:szCs w:val="18"/>
          <w:color w:val="auto"/>
        </w:rPr>
      </w:pPr>
    </w:p>
    <w:p>
      <w:pPr>
        <w:jc w:val="both"/>
        <w:ind w:left="1500" w:firstLine="754"/>
        <w:spacing w:after="0" w:line="242" w:lineRule="auto"/>
        <w:tabs>
          <w:tab w:leader="none" w:pos="2609" w:val="left"/>
        </w:tabs>
        <w:numPr>
          <w:ilvl w:val="2"/>
          <w:numId w:val="108"/>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twenty (20) days after the occurrence thereof; provided, however, that if the default cannot by its nature be cured within the twenty (20) day period or cannot after diligent attempts by Borrower or such Subsidiary, as applicable, be cured within such twenty (20)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Revolving Loans shall be made during such cure period);</w:t>
      </w:r>
    </w:p>
    <w:p>
      <w:pPr>
        <w:spacing w:after="0" w:line="183" w:lineRule="exact"/>
        <w:rPr>
          <w:rFonts w:ascii="Arial" w:cs="Arial" w:eastAsia="Arial" w:hAnsi="Arial"/>
          <w:sz w:val="18"/>
          <w:szCs w:val="18"/>
          <w:color w:val="auto"/>
        </w:rPr>
      </w:pPr>
    </w:p>
    <w:p>
      <w:pPr>
        <w:ind w:left="1860" w:hanging="355"/>
        <w:spacing w:after="0"/>
        <w:tabs>
          <w:tab w:leader="none" w:pos="186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b w:val="1"/>
          <w:bCs w:val="1"/>
          <w:color w:val="auto"/>
        </w:rPr>
        <w:t>.</w:t>
      </w:r>
      <w:r>
        <w:rPr>
          <w:rFonts w:ascii="Arial" w:cs="Arial" w:eastAsia="Arial" w:hAnsi="Arial"/>
          <w:sz w:val="18"/>
          <w:szCs w:val="18"/>
          <w:color w:val="auto"/>
        </w:rPr>
        <w:t xml:space="preserve"> A Material Adverse Change has occurred;</w:t>
      </w:r>
    </w:p>
    <w:p>
      <w:pPr>
        <w:spacing w:after="0" w:line="229" w:lineRule="exact"/>
        <w:rPr>
          <w:rFonts w:ascii="Arial" w:cs="Arial" w:eastAsia="Arial" w:hAnsi="Arial"/>
          <w:sz w:val="18"/>
          <w:szCs w:val="18"/>
          <w:color w:val="auto"/>
        </w:rPr>
      </w:pPr>
    </w:p>
    <w:p>
      <w:pPr>
        <w:ind w:left="1860" w:hanging="355"/>
        <w:spacing w:after="0"/>
        <w:tabs>
          <w:tab w:leader="none" w:pos="186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Attachment; Levy; Restraint on Business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500" w:firstLine="754"/>
        <w:spacing w:after="0" w:line="246" w:lineRule="auto"/>
        <w:tabs>
          <w:tab w:leader="none" w:pos="260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(1)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(2) a notice of lien, levy, or assessment (other than a Permitted Lien) is filed against Borrower or any of its Subsidiaries or their respective assets by any government agency, and the same under subclauses (1) and (2) of this clause (a) are not, within ten (10) days after the occurrence thereof, discharged or stayed (whether through the posting of a bond or otherwise); and</w:t>
      </w:r>
    </w:p>
    <w:p>
      <w:pPr>
        <w:spacing w:after="0" w:line="185" w:lineRule="exact"/>
        <w:rPr>
          <w:rFonts w:ascii="Arial" w:cs="Arial" w:eastAsia="Arial" w:hAnsi="Arial"/>
          <w:sz w:val="18"/>
          <w:szCs w:val="18"/>
          <w:color w:val="auto"/>
        </w:rPr>
      </w:pPr>
    </w:p>
    <w:p>
      <w:pPr>
        <w:jc w:val="both"/>
        <w:ind w:left="1500" w:firstLine="754"/>
        <w:spacing w:after="0" w:line="256" w:lineRule="auto"/>
        <w:tabs>
          <w:tab w:leader="none" w:pos="260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 any material portion of Borrower’s or any of its Subsidiaries’ assets is attached, seized, levied on, or comes into possession of a trustee or receiver, or (b) any court order enjoins, restrains, or prevents Borrower or any of its Subsidiaries from conducting any material part of its business;</w:t>
      </w:r>
    </w:p>
    <w:p>
      <w:pPr>
        <w:spacing w:after="0" w:line="170" w:lineRule="exact"/>
        <w:rPr>
          <w:rFonts w:ascii="Arial" w:cs="Arial" w:eastAsia="Arial" w:hAnsi="Arial"/>
          <w:sz w:val="18"/>
          <w:szCs w:val="18"/>
          <w:color w:val="auto"/>
        </w:rPr>
      </w:pPr>
    </w:p>
    <w:p>
      <w:pPr>
        <w:jc w:val="both"/>
        <w:ind w:firstLine="1505"/>
        <w:spacing w:after="0" w:line="213" w:lineRule="exact"/>
        <w:tabs>
          <w:tab w:leader="none" w:pos="187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Insolvency</w:t>
      </w:r>
      <w:r>
        <w:rPr>
          <w:rFonts w:ascii="Arial" w:cs="Arial" w:eastAsia="Arial" w:hAnsi="Arial"/>
          <w:sz w:val="16"/>
          <w:szCs w:val="16"/>
          <w:b w:val="1"/>
          <w:bCs w:val="1"/>
          <w:color w:val="auto"/>
        </w:rPr>
        <w:t>.</w:t>
      </w:r>
      <w:r>
        <w:rPr>
          <w:rFonts w:ascii="Arial" w:cs="Arial" w:eastAsia="Arial" w:hAnsi="Arial"/>
          <w:sz w:val="16"/>
          <w:szCs w:val="16"/>
          <w:color w:val="auto"/>
        </w:rPr>
        <w:t xml:space="preserve"> (a) Borrower or any of its Subsidiaries is or becomes Insolvent; (b) Borrower or any of its Subsidiaries begins an Insolvency Proceeding; or (c) an Insolvency Proceeding is begun against Borrower or any of its Subsidiaries and not dismissed or stayed within forty</w:t>
      </w:r>
      <w:r>
        <w:rPr>
          <w:rFonts w:ascii="MS PGothic" w:cs="MS PGothic" w:eastAsia="MS PGothic" w:hAnsi="MS PGothic"/>
          <w:sz w:val="16"/>
          <w:szCs w:val="16"/>
          <w:color w:val="auto"/>
        </w:rPr>
        <w:t>‑</w:t>
      </w:r>
      <w:r>
        <w:rPr>
          <w:rFonts w:ascii="Arial" w:cs="Arial" w:eastAsia="Arial" w:hAnsi="Arial"/>
          <w:sz w:val="16"/>
          <w:szCs w:val="16"/>
          <w:color w:val="auto"/>
        </w:rPr>
        <w:t>five</w:t>
      </w:r>
    </w:p>
    <w:p>
      <w:pPr>
        <w:ind w:left="360" w:hanging="352"/>
        <w:spacing w:after="0"/>
        <w:tabs>
          <w:tab w:leader="none" w:pos="3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days (but no Revolving Loans shall be extended while Borrower or any Subsidiary is Insolvent and/or until any Insolvency Proceeding is dismissed);</w:t>
      </w:r>
    </w:p>
    <w:p>
      <w:pPr>
        <w:spacing w:after="0" w:line="228" w:lineRule="exact"/>
        <w:rPr>
          <w:rFonts w:ascii="Arial" w:cs="Arial" w:eastAsia="Arial" w:hAnsi="Arial"/>
          <w:sz w:val="16"/>
          <w:szCs w:val="16"/>
          <w:color w:val="auto"/>
        </w:rPr>
      </w:pPr>
    </w:p>
    <w:p>
      <w:pPr>
        <w:jc w:val="both"/>
        <w:ind w:firstLine="1505"/>
        <w:spacing w:after="0" w:line="258" w:lineRule="auto"/>
        <w:tabs>
          <w:tab w:leader="none" w:pos="1857"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Other Agreements</w:t>
      </w:r>
      <w:r>
        <w:rPr>
          <w:rFonts w:ascii="Arial" w:cs="Arial" w:eastAsia="Arial" w:hAnsi="Arial"/>
          <w:sz w:val="17"/>
          <w:szCs w:val="17"/>
          <w:b w:val="1"/>
          <w:bCs w:val="1"/>
          <w:color w:val="auto"/>
        </w:rPr>
        <w:t>.</w:t>
      </w:r>
      <w:r>
        <w:rPr>
          <w:rFonts w:ascii="Arial" w:cs="Arial" w:eastAsia="Arial" w:hAnsi="Arial"/>
          <w:sz w:val="17"/>
          <w:szCs w:val="17"/>
          <w:color w:val="auto"/>
        </w:rPr>
        <w:t xml:space="preserve"> (a) There is any default and such default continues (after the applicable grace, cure or notice period) in any agreement to which Borrower or any of its Subsidiaries is a party with a third party or parties resulting in a right by such third party or parties, whether or not exercised, to accelerate the maturity of any Indebtedness in an amount in excess of One Million Dollars ($1,000,000.00) or that could reasonably be expected to have a Material Adverse Change; for the avoidance of doubt, (x), the exchange, repurchase, conversion or settlement with respect to any Permitted Convertible Debt, or satisfaction of any condition giving rise to or permitting the foregoing, pursuant to their terms that does not result from a default thereunder or an event of the type that constitutes an Event of Default, (y) any early payment requirement or unwinding or termination with respect to any Permitted Call Spread Agreement, or satisfaction of any condition giving rise to or permitting the foregoing, in accordance with the terms thereof where neither the Borrower nor any of its Affiliates is the “defaulting party” (or substantially equivalent term) under the terms of such Permitted Call Spread Agreement or (z) secured Permitted Indebtedness that becomes due as a result of the voluntary sale or other Transfer of the property or assets securing such Permitted Indebtedness, if such sale or Transfer is permitted hereunder and under the documents providing for such Permitted Indebtedness, in each case, shall not constitute an Event of Default under this Section; or (b) the occurrence of any “Event of Default” under and as defined in the Term Loan Agreement the effect of which “Event of Default” or other event is to cause, or to permit the Term Loan Lender to cause, with the giving of notice if required, the Term Loan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8" w:name="page129"/>
    <w:bookmarkEnd w:id="128"/>
    <w:p>
      <w:pPr>
        <w:spacing w:after="0" w:line="277" w:lineRule="auto"/>
        <w:rPr>
          <w:sz w:val="20"/>
          <w:szCs w:val="20"/>
          <w:color w:val="auto"/>
        </w:rPr>
      </w:pPr>
      <w:r>
        <w:rPr>
          <w:rFonts w:ascii="Arial" w:cs="Arial" w:eastAsia="Arial" w:hAnsi="Arial"/>
          <w:sz w:val="18"/>
          <w:szCs w:val="18"/>
          <w:color w:val="auto"/>
        </w:rPr>
        <w:t>become due or to be repurchased, prepaid or defeased or redeemed (automatically or otherwise), or an offer to repurchase, prepay, defeased or redeem all of such Term Loan to be made, prior to its stated maturity;</w:t>
      </w:r>
    </w:p>
    <w:p>
      <w:pPr>
        <w:spacing w:after="0" w:line="153" w:lineRule="exact"/>
        <w:rPr>
          <w:sz w:val="20"/>
          <w:szCs w:val="20"/>
          <w:color w:val="auto"/>
        </w:rPr>
      </w:pPr>
    </w:p>
    <w:p>
      <w:pPr>
        <w:jc w:val="both"/>
        <w:ind w:firstLine="1505"/>
        <w:spacing w:after="0" w:line="214" w:lineRule="exact"/>
        <w:tabs>
          <w:tab w:leader="none" w:pos="185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b w:val="1"/>
          <w:bCs w:val="1"/>
          <w:color w:val="auto"/>
        </w:rPr>
        <w:t>.</w:t>
      </w:r>
      <w:r>
        <w:rPr>
          <w:rFonts w:ascii="Arial" w:cs="Arial" w:eastAsia="Arial" w:hAnsi="Arial"/>
          <w:sz w:val="18"/>
          <w:szCs w:val="18"/>
          <w:color w:val="auto"/>
        </w:rPr>
        <w:t xml:space="preserve"> One or more judgments, orders, or decrees for the payment of money in an amount, individually or in the aggregate, of at least One Million Dollars ($1,000,000.00) (not covered by independent third</w:t>
      </w:r>
      <w:r>
        <w:rPr>
          <w:rFonts w:ascii="MS PGothic" w:cs="MS PGothic" w:eastAsia="MS PGothic" w:hAnsi="MS PGothic"/>
          <w:sz w:val="18"/>
          <w:szCs w:val="18"/>
          <w:color w:val="auto"/>
        </w:rPr>
        <w:t>‑</w:t>
      </w:r>
      <w:r>
        <w:rPr>
          <w:rFonts w:ascii="Arial" w:cs="Arial" w:eastAsia="Arial" w:hAnsi="Arial"/>
          <w:sz w:val="18"/>
          <w:szCs w:val="18"/>
          <w:color w:val="auto"/>
        </w:rPr>
        <w:t>party insurance as to which liability has been accepted by such insurance carrier) shall be rendered against Borrower or any of its Subsidiaries and shall remain unsatisfied, unvacated, or unstayed for a period of thirty (30) days after the entry thereof;</w:t>
      </w:r>
    </w:p>
    <w:p>
      <w:pPr>
        <w:spacing w:after="0" w:line="187" w:lineRule="exact"/>
        <w:rPr>
          <w:rFonts w:ascii="Arial" w:cs="Arial" w:eastAsia="Arial" w:hAnsi="Arial"/>
          <w:sz w:val="18"/>
          <w:szCs w:val="18"/>
          <w:color w:val="auto"/>
        </w:rPr>
      </w:pPr>
    </w:p>
    <w:p>
      <w:pPr>
        <w:jc w:val="both"/>
        <w:ind w:firstLine="1505"/>
        <w:spacing w:after="0" w:line="250" w:lineRule="auto"/>
        <w:tabs>
          <w:tab w:leader="none" w:pos="185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Misrepresentations</w:t>
      </w:r>
      <w:r>
        <w:rPr>
          <w:rFonts w:ascii="Arial" w:cs="Arial" w:eastAsia="Arial" w:hAnsi="Arial"/>
          <w:sz w:val="18"/>
          <w:szCs w:val="18"/>
          <w:b w:val="1"/>
          <w:bCs w:val="1"/>
          <w:color w:val="auto"/>
        </w:rPr>
        <w:t>.</w:t>
      </w:r>
      <w:r>
        <w:rPr>
          <w:rFonts w:ascii="Arial" w:cs="Arial" w:eastAsia="Arial" w:hAnsi="Arial"/>
          <w:sz w:val="18"/>
          <w:szCs w:val="18"/>
          <w:color w:val="auto"/>
        </w:rPr>
        <w:t xml:space="preserve"> Borrower or any of its Subsidiaries or any Person acting for Borrower or any of its Subsidiaries makes any representation, warranty, or other statement now or later in this Agreement, any Loan Document or in any writing delivered to the Lender or to induce Lender to enter this Agreement or any Loan Document, and such representation, warranty, or other statement, when taken as a whole, is incorrect in any material respect when made;</w:t>
      </w:r>
    </w:p>
    <w:p>
      <w:pPr>
        <w:spacing w:after="0" w:line="177" w:lineRule="exact"/>
        <w:rPr>
          <w:rFonts w:ascii="Arial" w:cs="Arial" w:eastAsia="Arial" w:hAnsi="Arial"/>
          <w:sz w:val="18"/>
          <w:szCs w:val="18"/>
          <w:color w:val="auto"/>
        </w:rPr>
      </w:pPr>
    </w:p>
    <w:p>
      <w:pPr>
        <w:jc w:val="both"/>
        <w:ind w:firstLine="1505"/>
        <w:spacing w:after="0" w:line="250" w:lineRule="auto"/>
        <w:tabs>
          <w:tab w:leader="none" w:pos="188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b w:val="1"/>
          <w:bCs w:val="1"/>
          <w:color w:val="auto"/>
        </w:rPr>
        <w:t>.</w:t>
      </w:r>
      <w:r>
        <w:rPr>
          <w:rFonts w:ascii="Arial" w:cs="Arial" w:eastAsia="Arial" w:hAnsi="Arial"/>
          <w:sz w:val="18"/>
          <w:szCs w:val="18"/>
          <w:color w:val="auto"/>
        </w:rPr>
        <w:t xml:space="preserve"> (a) Any Guaranty terminates or ceases for any reason to be in full force and effect other than as a result of a transaction permitted under this Agreement; (b) any Guarantor does not perform any obligation or covenant under any Guaranty, after any applicable grace or cure period; (c) any circumstance described in Section 8 occurs with respect to any Guarantor, beyond any applicable grace or cure period; or (d) a Material Adverse Change with respect to any Guarantor;</w:t>
      </w:r>
    </w:p>
    <w:p>
      <w:pPr>
        <w:spacing w:after="0" w:line="190" w:lineRule="exact"/>
        <w:rPr>
          <w:rFonts w:ascii="Arial" w:cs="Arial" w:eastAsia="Arial" w:hAnsi="Arial"/>
          <w:sz w:val="18"/>
          <w:szCs w:val="18"/>
          <w:color w:val="auto"/>
        </w:rPr>
      </w:pPr>
    </w:p>
    <w:p>
      <w:pPr>
        <w:jc w:val="both"/>
        <w:ind w:firstLine="1505"/>
        <w:spacing w:after="0" w:line="214" w:lineRule="exact"/>
        <w:tabs>
          <w:tab w:leader="none" w:pos="185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b w:val="1"/>
          <w:bCs w:val="1"/>
          <w:color w:val="auto"/>
        </w:rPr>
        <w:t>.</w:t>
      </w:r>
      <w:r>
        <w:rPr>
          <w:rFonts w:ascii="Arial" w:cs="Arial" w:eastAsia="Arial" w:hAnsi="Arial"/>
          <w:sz w:val="18"/>
          <w:szCs w:val="18"/>
          <w:color w:val="auto"/>
        </w:rPr>
        <w:t xml:space="preserve"> Any Governmental Approval shall have been revoked, rescinded, suspended, modified in an adverse manner, or 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w:t>
      </w:r>
      <w:r>
        <w:rPr>
          <w:rFonts w:ascii="MS PGothic" w:cs="MS PGothic" w:eastAsia="MS PGothic" w:hAnsi="MS PGothic"/>
          <w:sz w:val="18"/>
          <w:szCs w:val="18"/>
          <w:color w:val="auto"/>
        </w:rPr>
        <w:t>‑</w:t>
      </w:r>
      <w:r>
        <w:rPr>
          <w:rFonts w:ascii="Arial" w:cs="Arial" w:eastAsia="Arial" w:hAnsi="Arial"/>
          <w:sz w:val="18"/>
          <w:szCs w:val="18"/>
          <w:color w:val="auto"/>
        </w:rPr>
        <w:t>renewal has resulted in or would reasonably be expected to result in a Material Adverse Change;</w:t>
      </w:r>
    </w:p>
    <w:p>
      <w:pPr>
        <w:spacing w:after="0" w:line="201" w:lineRule="exact"/>
        <w:rPr>
          <w:rFonts w:ascii="Arial" w:cs="Arial" w:eastAsia="Arial" w:hAnsi="Arial"/>
          <w:sz w:val="18"/>
          <w:szCs w:val="18"/>
          <w:color w:val="auto"/>
        </w:rPr>
      </w:pPr>
    </w:p>
    <w:p>
      <w:pPr>
        <w:ind w:firstLine="1505"/>
        <w:spacing w:after="0" w:line="261" w:lineRule="auto"/>
        <w:tabs>
          <w:tab w:leader="none" w:pos="187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Fundamental Change</w:t>
      </w:r>
      <w:r>
        <w:rPr>
          <w:rFonts w:ascii="Arial" w:cs="Arial" w:eastAsia="Arial" w:hAnsi="Arial"/>
          <w:sz w:val="18"/>
          <w:szCs w:val="18"/>
          <w:color w:val="auto"/>
        </w:rPr>
        <w:t>. The occurrence of any “fundamental change” (howsoever defined) under the indenture governing any Permitted Convertible Debt; or</w:t>
      </w:r>
    </w:p>
    <w:p>
      <w:pPr>
        <w:spacing w:after="0" w:line="170"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Lien Priority</w:t>
      </w:r>
      <w:r>
        <w:rPr>
          <w:rFonts w:ascii="Arial" w:cs="Arial" w:eastAsia="Arial" w:hAnsi="Arial"/>
          <w:sz w:val="18"/>
          <w:szCs w:val="18"/>
          <w:color w:val="auto"/>
        </w:rPr>
        <w:t>. Subject to the Intercreditor Agreement, except as the result of the action or inaction of the Lender, any Lien created hereunder or by any other Loan Document shall at any time fail to constitute a valid and perfected Lien on any of the Collateral purported to be secured thereby, subject to no prior or equal Lien, other than Permitted Liens arising as a matter of applicable law or that are permitted to have priority pursuant to this Agreement.</w:t>
      </w:r>
    </w:p>
    <w:p>
      <w:pPr>
        <w:spacing w:after="0" w:line="19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582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19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color w:val="auto"/>
        </w:rPr>
        <w:t>Rights and Remedies on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9704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1970405" cy="8255"/>
                    </a:xfrm>
                    <a:prstGeom prst="rect">
                      <a:avLst/>
                    </a:prstGeom>
                    <a:noFill/>
                  </pic:spPr>
                </pic:pic>
              </a:graphicData>
            </a:graphic>
          </wp:anchor>
        </w:drawing>
      </w:r>
    </w:p>
    <w:p>
      <w:pPr>
        <w:spacing w:after="0" w:line="192" w:lineRule="exact"/>
        <w:rPr>
          <w:sz w:val="20"/>
          <w:szCs w:val="20"/>
          <w:color w:val="auto"/>
        </w:rPr>
      </w:pPr>
    </w:p>
    <w:p>
      <w:pPr>
        <w:jc w:val="both"/>
        <w:ind w:firstLine="1505"/>
        <w:spacing w:after="0" w:line="290" w:lineRule="auto"/>
        <w:tabs>
          <w:tab w:leader="none" w:pos="185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addition to all other rights, options and remedies granted or available to Lender under this Agreement or the Loan Documents, or otherwise available at law or in equity, upon or at any time after the occurrence and during the continuance of a Default or an Event of Default, Lender may, in its discretion, charge Borrower the Default Rate on all then outstanding or thereafter incurred Obligations and/or withhold or cease making Advances under the Credit Facility, unless such Default or Event of Default is cured to Lender’s satisfaction or waived in accordance herewith.</w:t>
      </w:r>
    </w:p>
    <w:p>
      <w:pPr>
        <w:spacing w:after="0" w:line="150" w:lineRule="exact"/>
        <w:rPr>
          <w:rFonts w:ascii="Arial" w:cs="Arial" w:eastAsia="Arial" w:hAnsi="Arial"/>
          <w:sz w:val="16"/>
          <w:szCs w:val="16"/>
          <w:color w:val="auto"/>
        </w:rPr>
      </w:pPr>
    </w:p>
    <w:p>
      <w:pPr>
        <w:jc w:val="both"/>
        <w:ind w:firstLine="1505"/>
        <w:spacing w:after="0" w:line="249" w:lineRule="auto"/>
        <w:tabs>
          <w:tab w:leader="none" w:pos="18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addition to all other rights, options and remedies granted or available to Lender under this Agreement or the Loan Documents (each of which is also then exercisable by Lender), Lender may, in its discretion, upon or at any time after the occurrence and during the continuance of an Event of Default, terminate the Credit Facility (it also being understood that the occurrence of any of the events or conditions set forth in Section 8.01(e) hereof shall automatically cause a termination of the Credit Facility without notice or demand).</w:t>
      </w:r>
    </w:p>
    <w:p>
      <w:pPr>
        <w:spacing w:after="0" w:line="194"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Lender will be entitled to take any and all actions to enforce its claims against Borrower to recover the balance of the Indebtedness then due, including being entitled to pursue all remedies provided for 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9" w:name="page130"/>
    <w:bookmarkEnd w:id="129"/>
    <w:p>
      <w:pPr>
        <w:spacing w:after="0" w:line="277" w:lineRule="auto"/>
        <w:rPr>
          <w:sz w:val="20"/>
          <w:szCs w:val="20"/>
          <w:color w:val="auto"/>
        </w:rPr>
      </w:pPr>
      <w:r>
        <w:rPr>
          <w:rFonts w:ascii="Arial" w:cs="Arial" w:eastAsia="Arial" w:hAnsi="Arial"/>
          <w:sz w:val="18"/>
          <w:szCs w:val="18"/>
          <w:color w:val="auto"/>
        </w:rPr>
        <w:t>law, equity, or otherwise, and to exercise the warrants of attorney to confess judgment against Borrower contained in this Agreement or the other Loan Documents;</w:t>
      </w:r>
    </w:p>
    <w:p>
      <w:pPr>
        <w:spacing w:after="0" w:line="157"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Lender will be entitled to take any and all actions permitted by this Agreement and the other Loan Documents, and/or by law,</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equity or otherwise;</w:t>
      </w:r>
    </w:p>
    <w:p>
      <w:pPr>
        <w:spacing w:after="0" w:line="209" w:lineRule="exact"/>
        <w:rPr>
          <w:sz w:val="20"/>
          <w:szCs w:val="20"/>
          <w:color w:val="auto"/>
        </w:rPr>
      </w:pPr>
    </w:p>
    <w:p>
      <w:pPr>
        <w:jc w:val="both"/>
        <w:ind w:firstLine="1505"/>
        <w:spacing w:after="0" w:line="245" w:lineRule="auto"/>
        <w:tabs>
          <w:tab w:leader="none" w:pos="18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addition to all other rights, options and remedies granted or available to Lender under this Agreement or the Loan Documents (each of which is also then exercisable by Lender), Lender may, upon or at any time after the occurrence of an Event of Default, while it exists, exercise all rights under the UCC and any other applicable law or in equity, by contract or otherwise, and under all Loan Documents permitted to be exercised after the occurrence of an Event of Default, including the following rights and remedies (which list is given by way of example and is not intended to be an exhaustive list of all such rights and remedies):</w:t>
      </w:r>
    </w:p>
    <w:p>
      <w:pPr>
        <w:spacing w:after="0" w:line="185" w:lineRule="exact"/>
        <w:rPr>
          <w:rFonts w:ascii="Arial" w:cs="Arial" w:eastAsia="Arial" w:hAnsi="Arial"/>
          <w:sz w:val="18"/>
          <w:szCs w:val="18"/>
          <w:color w:val="auto"/>
        </w:rPr>
      </w:pPr>
    </w:p>
    <w:p>
      <w:pPr>
        <w:jc w:val="both"/>
        <w:ind w:firstLine="3003"/>
        <w:spacing w:after="0" w:line="275" w:lineRule="auto"/>
        <w:tabs>
          <w:tab w:leader="none" w:pos="335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to all applicable laws and regulations governing payment of Medicare and Medicaid receivables or receivables owing by a Governmental Authority, the right to “take possession” of or foreclose on the Collateral (including removing from any premises at which same may be located any and all books and records, computers, electronic media and software programs associated with any Collateral (including electronic records, contracts and signatures pertaining thereto), documents, instruments and files, and any receptacles or cabinets containing same, relating to the Accounts) by any available judicial procedure, or without judicial process, and to enter any premises at which any Collateral may be located for the purpose of taking possession of or removing the same, and notify all Obligors of Lender’s security interest in the Collateral and require payment under the Accounts to be made directly to Lender and Lender may, in its own name or in the name of Borrower, exercise all rights of a secured party with respect to the Collateral and collect, sue for and receive payment on all Accounts, and settle, compromise and adjust the same on any terms as may be satisfactory to Lender, in its sole and absolute discretion for any reason or without reason, and Lender may do all of the foregoing with or without judicial process (including notifying the United States postal authorities to redirect mail addressed to Borrower to an address designated by Lender) and may use, at Borrower’s expense, such of Borrower’s personnel, supplies or space as may be necessary to manage such Accounts;</w:t>
      </w:r>
    </w:p>
    <w:p>
      <w:pPr>
        <w:spacing w:after="0" w:line="178" w:lineRule="exact"/>
        <w:rPr>
          <w:rFonts w:ascii="Arial" w:cs="Arial" w:eastAsia="Arial" w:hAnsi="Arial"/>
          <w:sz w:val="16"/>
          <w:szCs w:val="16"/>
          <w:color w:val="auto"/>
        </w:rPr>
      </w:pPr>
    </w:p>
    <w:p>
      <w:pPr>
        <w:jc w:val="both"/>
        <w:ind w:firstLine="3003"/>
        <w:spacing w:after="0" w:line="249" w:lineRule="auto"/>
        <w:tabs>
          <w:tab w:leader="none" w:pos="33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right to require Borrower, at Borrower’s expense, to assemble all or any part of the Collateral and make it available to Lender at any place designated by Lender, which may include providing Lender or any entity designated by Lender with access (either remote or direct) to Borrower’s information system for purposes of monitoring, posting payments and rebilling Accounts to the extent deemed desirable by Lender in its sole discretion;</w:t>
      </w:r>
    </w:p>
    <w:p>
      <w:pPr>
        <w:spacing w:after="0" w:line="180" w:lineRule="exact"/>
        <w:rPr>
          <w:rFonts w:ascii="Arial" w:cs="Arial" w:eastAsia="Arial" w:hAnsi="Arial"/>
          <w:sz w:val="18"/>
          <w:szCs w:val="18"/>
          <w:color w:val="auto"/>
        </w:rPr>
      </w:pPr>
    </w:p>
    <w:p>
      <w:pPr>
        <w:jc w:val="both"/>
        <w:ind w:firstLine="3003"/>
        <w:spacing w:after="0" w:line="248" w:lineRule="auto"/>
        <w:tabs>
          <w:tab w:leader="none" w:pos="33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right to reduce or modify the Revolving Loan Commitment, Borrowing Base or any portion thereof or the Advance Rates or to modify the terms and conditions upon which Lender may be willing to consider making Advances under the Credit Facility or to take additional reserves in the Borrowing Base for any reason; or</w:t>
      </w:r>
    </w:p>
    <w:p>
      <w:pPr>
        <w:spacing w:after="0" w:line="195" w:lineRule="exact"/>
        <w:rPr>
          <w:rFonts w:ascii="Arial" w:cs="Arial" w:eastAsia="Arial" w:hAnsi="Arial"/>
          <w:sz w:val="18"/>
          <w:szCs w:val="18"/>
          <w:color w:val="auto"/>
        </w:rPr>
      </w:pPr>
    </w:p>
    <w:p>
      <w:pPr>
        <w:jc w:val="both"/>
        <w:ind w:firstLine="3003"/>
        <w:spacing w:after="0" w:line="280" w:lineRule="auto"/>
        <w:tabs>
          <w:tab w:leader="none" w:pos="335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right to sell, assign and deliver all or any part of the Collateral and any returned, reclaimed or repossessed merchandise, in the name of Borrower or Lender, or in the name of such other party as Lender may designate, with or without advertisement, at public or private sale, for cash, on credit or otherwise, at Lender’s sole discretion, with or without warranties or representations (including warranties of title, possession, quiet enjoyment and the like), and upon such other terms and conditions as Lender in its sole discretion may deem advisable, and Lender may bid or become a purchaser at any such sale, free from any right of redemption, which right is hereby expressly waived by Borrower. If any Inventory and Equipment shall require rebuilding, repairing, maintenance or preparation, Lender shall have the right, at its sole discretion, to do such of the aforesaid as is necessary, for the purpose of putting the Inventory and Equipment in such saleable form as Lender shall deem appropriate.</w:t>
      </w:r>
    </w:p>
    <w:p>
      <w:pPr>
        <w:spacing w:after="0" w:line="157" w:lineRule="exact"/>
        <w:rPr>
          <w:rFonts w:ascii="Arial" w:cs="Arial" w:eastAsia="Arial" w:hAnsi="Arial"/>
          <w:sz w:val="16"/>
          <w:szCs w:val="16"/>
          <w:color w:val="auto"/>
        </w:rPr>
      </w:pPr>
    </w:p>
    <w:p>
      <w:pPr>
        <w:jc w:val="both"/>
        <w:ind w:firstLine="1505"/>
        <w:spacing w:after="0" w:line="303" w:lineRule="auto"/>
        <w:tabs>
          <w:tab w:leader="none" w:pos="185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Borrower hereby agrees that a notice received by it at least ten (10) calendar days before the time of any intended public sale or of the time after which any private sale or other disposition of the Collateral is to be made, shall be deemed to be reasonable notice of such sale or other disposition. If permitted by applicable law, any Collateral which threatens to speedily decline in value or which is sold on a recognized market may be sold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0" w:name="page131"/>
    <w:bookmarkEnd w:id="130"/>
    <w:p>
      <w:pPr>
        <w:ind w:right="20"/>
        <w:spacing w:after="0" w:line="277" w:lineRule="auto"/>
        <w:rPr>
          <w:sz w:val="20"/>
          <w:szCs w:val="20"/>
          <w:color w:val="auto"/>
        </w:rPr>
      </w:pPr>
      <w:r>
        <w:rPr>
          <w:rFonts w:ascii="Arial" w:cs="Arial" w:eastAsia="Arial" w:hAnsi="Arial"/>
          <w:sz w:val="18"/>
          <w:szCs w:val="18"/>
          <w:color w:val="auto"/>
        </w:rPr>
        <w:t>immediately by Lender without prior notice to Borrower. Borrower covenants and agrees not to interfere with or impose any obstacle to Lender’s exercise of its rights and remedies with respect to the Collateral.</w:t>
      </w:r>
    </w:p>
    <w:p>
      <w:pPr>
        <w:spacing w:after="0" w:line="157" w:lineRule="exact"/>
        <w:rPr>
          <w:sz w:val="20"/>
          <w:szCs w:val="20"/>
          <w:color w:val="auto"/>
        </w:rPr>
      </w:pPr>
    </w:p>
    <w:p>
      <w:pPr>
        <w:jc w:val="both"/>
        <w:ind w:firstLine="1505"/>
        <w:spacing w:after="0" w:line="249" w:lineRule="auto"/>
        <w:tabs>
          <w:tab w:leader="none" w:pos="18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Lender is hereby granted, until the Obligations are paid in full and all obligations of Lender hereunder are terminated, a worldwide license to use, after the occurrence and during the continuance of an Event of Default and without charge, all of Borrower’s labels, trademarks (and associated goodwill), copyrights, patents and advertising matter, and any other form of Intellectual Property, as they pertain to the Collateral, in completing production of, advertising for sale and selling of any Collateral.</w:t>
      </w:r>
    </w:p>
    <w:p>
      <w:pPr>
        <w:spacing w:after="0" w:line="180"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Section 8.03 to the contrary, upon the occurrence of an Event of Default, the Lender shall have the right to exercise any and all remedies referenced in this </w:t>
      </w:r>
      <w:r>
        <w:rPr>
          <w:rFonts w:ascii="Arial" w:cs="Arial" w:eastAsia="Arial" w:hAnsi="Arial"/>
          <w:sz w:val="18"/>
          <w:szCs w:val="18"/>
          <w:u w:val="single" w:color="auto"/>
          <w:color w:val="auto"/>
        </w:rPr>
        <w:t>Section 8.03</w:t>
      </w:r>
      <w:r>
        <w:rPr>
          <w:rFonts w:ascii="Arial" w:cs="Arial" w:eastAsia="Arial" w:hAnsi="Arial"/>
          <w:sz w:val="18"/>
          <w:szCs w:val="18"/>
          <w:color w:val="auto"/>
        </w:rPr>
        <w:t>; provided, that, Lender may also exercise all such rights and remedies following the occurrence of an Exigent Circumstance after an Event of Default has occurred and is continuing.</w:t>
      </w:r>
    </w:p>
    <w:p>
      <w:pPr>
        <w:spacing w:after="0" w:line="175"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5481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19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color w:val="auto"/>
        </w:rPr>
        <w:t>Nature of Remedies. All rights and remedies granted Lender hereunder and under the Loan Documents, or otherwise available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3792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or in equity, shall be deemed concurrent and cumulative, and not alternative remedies, and Lender may proceed with any number of remedies at the same time until all Obligations are satisfied in full. The exercise of any one right or remedy shall not be deemed a waiver or release of any other right or remedy, and Lender, upon or at any time after the occurrence of an Event of Default, may proceed against Borrower at any time, under any agreement, with any available remedy and in any order.</w:t>
      </w:r>
    </w:p>
    <w:p>
      <w:pPr>
        <w:spacing w:after="0" w:line="18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8.06. Set-Off. Upon the occurrence of an Event of Default, Lender and/or any Affiliate of Lender and/or participant with Lender shall have and be deemed to have, without notice to Borrower, the immediate right of set-off and may apply the funds or other amounts or Property thus set off against any of Borrower’s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-299720</wp:posOffset>
            </wp:positionV>
            <wp:extent cx="7975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8.07. Application of Proceeds. The net cash proceeds resulting from Lender’s exercise of any of Lender’s rights pursuant to this Article 8 (after deducting all Expenses relating thereto) shall be applied by Lender to the payment of the Obligations as set forth in Section 2.08(b) hereof, and Borrower shall remain liable to Lender for any deficiencies, and Lender in turn agrees to remit to Borrower or its successors or assigns, any surplus resulting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5779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9.01. GOVERNING LAW. THIS AGREEMENT, AND ALL MATTERS ARISING OUT OF OR RELATING TO THIS AGREEMENT, SHALL BE GOVERNED BY AND CONSTRUED IN ACCORDANCE WITH THE LAWS OF THE STATE OF NEW YORK, WITHOUT GIVING EFFECT TO PRINCIPLES OF CONFLICTS OF LAWS, AND SHALL BE CONSTRUED WITHOUT THE AID OF ANY CANON, CUSTOM OR RULE OF LAW REQUIRING CONSTRUCTION AGAINST THE DRAFTSMAN.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4325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161" w:lineRule="exact"/>
        <w:rPr>
          <w:sz w:val="20"/>
          <w:szCs w:val="20"/>
          <w:color w:val="auto"/>
        </w:rPr>
      </w:pPr>
    </w:p>
    <w:p>
      <w:pPr>
        <w:ind w:left="760"/>
        <w:spacing w:after="0"/>
        <w:tabs>
          <w:tab w:leader="none" w:pos="1460" w:val="left"/>
          <w:tab w:leader="none" w:pos="328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8"/>
          <w:szCs w:val="18"/>
          <w:color w:val="auto"/>
        </w:rPr>
        <w:t>Integrated Agreement .</w:t>
      </w:r>
      <w:r>
        <w:rPr>
          <w:sz w:val="20"/>
          <w:szCs w:val="20"/>
          <w:color w:val="auto"/>
        </w:rPr>
        <w:tab/>
      </w:r>
      <w:r>
        <w:rPr>
          <w:rFonts w:ascii="Arial" w:cs="Arial" w:eastAsia="Arial" w:hAnsi="Arial"/>
          <w:sz w:val="17"/>
          <w:szCs w:val="17"/>
          <w:color w:val="auto"/>
        </w:rPr>
        <w:t>This Agreement, the Revolving Note and the other Loan Documents shall be construed as integrated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4903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1490345" cy="8890"/>
                    </a:xfrm>
                    <a:prstGeom prst="rect">
                      <a:avLst/>
                    </a:prstGeom>
                    <a:noFill/>
                  </pic:spPr>
                </pic:pic>
              </a:graphicData>
            </a:graphic>
          </wp:anchor>
        </w:drawing>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complementary of each other, and as augmenting and not restricting Lender’s rights and remedies. If, after applying the foregoing, an inconsistency still exists, the provisions of this Agreement shall constitute an amendment thereto and shall control.</w:t>
      </w:r>
    </w:p>
    <w:p>
      <w:pPr>
        <w:spacing w:after="0" w:line="198"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color w:val="auto"/>
        </w:rPr>
        <w:t>Waiver and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4757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1475740" cy="8890"/>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49" w:lineRule="auto"/>
        <w:tabs>
          <w:tab w:leader="none" w:pos="18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omission or delay by Lender in exercising any right or power under this Agreement or any related agreements and documents will impair such right or power or be construed to be a waiver of any Default or Event of Default or an acquiescence therein, and any single or partial exercise of any such right or power will not preclude other or further exercise thereof or the exercise of any other right, and as to Borrower no waiver will be valid unless in writing and signed by Lender and then only to the extent specified.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1" w:name="page132"/>
    <w:bookmarkEnd w:id="131"/>
    <w:p>
      <w:pPr>
        <w:jc w:val="both"/>
        <w:ind w:firstLine="1505"/>
        <w:spacing w:after="0" w:line="272" w:lineRule="auto"/>
        <w:tabs>
          <w:tab w:leader="none" w:pos="185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Borrower releases and shall indemnify, defend and hold harmless Lender, and its respective officers, directors, employees, attorneys and agents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of and from any claims, demands, liabilities, obligations, judgments, injuries, losses, damages and costs and expenses (including Expenses and reasonable legal fees) of any kind or nature, which at any time may be imposed on, incurred by, or asserted against any Indemnified Party (including any such assertion by or on behalf of Borrower), resulting from, in connection with, or otherwise relating to or arising out of (i) acts or conduct of Borrower under, pursuant or related to this Agreement and the other Loan Documents, (ii) Lender’s exercise of (or failure to exercise) any of Lender’s rights and remedies hereunder, including (A) any sale or transfer of the Collateral, (B) the preservation, repair, maintenance, preparation for sale or securing of any Collateral, and (C) the defense of Lender’s interests in the Collateral (including the defense of claims brought by Borrower as a debtor-in-possession or otherwise, any secured or unsecured creditors of Borrower, or any trustee or receiver in bankruptcy); (iii) any environmental pollution, hazardous material or environmental clean-up and Borrower’s off-site disposal practices; (iv) any regulatory investigation or proceeding by any regulatory authority or agency having jurisdiction over Borrower; (v) the transactions contemplated by this Agreement and the other Loan Documents, or any action taken (or failure to act) by any Indemnified Party with respect thereto (including any amounts paid or payable by Lender</w:t>
      </w:r>
    </w:p>
    <w:p>
      <w:pPr>
        <w:spacing w:after="0" w:line="2" w:lineRule="exact"/>
        <w:rPr>
          <w:rFonts w:ascii="Arial" w:cs="Arial" w:eastAsia="Arial" w:hAnsi="Arial"/>
          <w:sz w:val="16"/>
          <w:szCs w:val="16"/>
          <w:color w:val="auto"/>
        </w:rPr>
      </w:pPr>
    </w:p>
    <w:p>
      <w:pPr>
        <w:jc w:val="both"/>
        <w:ind w:firstLine="8"/>
        <w:spacing w:after="0" w:line="256" w:lineRule="auto"/>
        <w:tabs>
          <w:tab w:leader="none" w:pos="28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to any prior lender of Borrower pursuant to any indemnity or reimbursement obligation in any payoff letter or otherwise, (y) to any depository institution of Borrower pursuant to any indemnity or reimbursement obligation in any Control Agreement, Depository Agreement, or other agreement with such depository institution and (z) to any other third party in connection with any indemnity or reimbursement obligation in any Collateral Access Agreement or other agreement between Lender and such third party); (vi) Borrower’s breach, or alleged breach, or violation of any representation, warranty, covenant or undertaking contained in this Agreement or the other Loan Documents, (vii) Borrower’s failure, or alleged failure, to comply with any or all laws, statutes, ordinances, governmental rules, regulations or standards, whether federal, state or local, or court or administrative orders or decrees (including environmental laws, etc.), and (viii) Borrower’s use of the PPP Program, any PPP Loan and any and all subject matters related thereto, and all costs, expenses, fines, penalties or other damages resulting therefrom, unless resulting from acts or conduct of Lender constituting willful misconduct or gross negligence, as finally determined by a court of competent jurisdiction. The provisions of this Section 9.03(b) shall survive the termination of this Agreement and the payment in full and satisfaction of the Obligations.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7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9.04.</w:t>
      </w:r>
      <w:r>
        <w:rPr>
          <w:sz w:val="20"/>
          <w:szCs w:val="20"/>
          <w:color w:val="auto"/>
        </w:rPr>
        <w:tab/>
      </w:r>
      <w:r>
        <w:rPr>
          <w:rFonts w:ascii="Arial" w:cs="Arial" w:eastAsia="Arial" w:hAnsi="Arial"/>
          <w:sz w:val="16"/>
          <w:szCs w:val="16"/>
          <w:color w:val="auto"/>
        </w:rPr>
        <w:t>Time. Whenever Borrower shall be required to make any payment, or perform any act, on a day which is not a Business Day,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7029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payment may be made, or such act may be performed, on the next succeeding Business Day. Time is of the essence in Borrower’s performance under all provisions of this Agreement and all related agreements and documents.</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9.05.</w:t>
      </w:r>
      <w:r>
        <w:rPr>
          <w:sz w:val="20"/>
          <w:szCs w:val="20"/>
          <w:color w:val="auto"/>
        </w:rPr>
        <w:tab/>
      </w:r>
      <w:r>
        <w:rPr>
          <w:rFonts w:ascii="Arial" w:cs="Arial" w:eastAsia="Arial" w:hAnsi="Arial"/>
          <w:sz w:val="15"/>
          <w:szCs w:val="15"/>
          <w:color w:val="auto"/>
        </w:rPr>
        <w:t>Expenses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3868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At Closing and from time to time thereafter, Borrower will pay all reasonable and documented expenses of Lender on demand (including search costs, audit fees, appraisal fees, and reasonable and documented fees and expenses of legal counsel for Lender) relating to this Agreement and the other Loan Documents, including expenses incurred in the analysis, negotiation, preparation, closing, administration and enforcement of this Agreement and the other Loan Documents, the enforcement, protection and defense of the rights of Lender in and to the Revolving Loans and Collateral or otherwise hereunder, and any reasonable and documented expenses relating to extensions, amendments, waivers or consents pursuant to the provisions hereof, or any related agreements and documents or relating to agreements with other creditors, or termination of this Agreement (collectively, the “</w:t>
      </w:r>
      <w:r>
        <w:rPr>
          <w:rFonts w:ascii="Arial" w:cs="Arial" w:eastAsia="Arial" w:hAnsi="Arial"/>
          <w:sz w:val="17"/>
          <w:szCs w:val="17"/>
          <w:u w:val="single" w:color="auto"/>
          <w:color w:val="auto"/>
        </w:rPr>
        <w:t>Expenses</w:t>
      </w:r>
      <w:r>
        <w:rPr>
          <w:rFonts w:ascii="Arial" w:cs="Arial" w:eastAsia="Arial" w:hAnsi="Arial"/>
          <w:sz w:val="17"/>
          <w:szCs w:val="17"/>
          <w:color w:val="auto"/>
        </w:rPr>
        <w:t>”); provided that the aggregate amount of Lender’s Expenses (as defined under the Term Loan Agreement) and Expenses incurred on or prior to the Closing Date reimbursable by Borrower shall not exceed $350,000 (inclusive of the diligence deposit already paid by Borrower). Any Expenses not paid upon demand by Lender (and such non-payment constitutes an Event of Default under Section 8.01(a) after giving effect to any applicable grace or cure period) shall bear interest at the Default Rate.</w:t>
      </w:r>
    </w:p>
    <w:p>
      <w:pPr>
        <w:spacing w:after="0" w:line="19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9.06. Confidentiality . In handling any confidential information of Borrower, the Lender shall maintain the confidentiality of such confidential information and exercise the same degree of care that it exercises for their own proprietary information, but disclosure of information may be made: (a) subject to the terms and conditions of this Agreement, to the Lender’s Subsidiaries or Affiliates, or in connection with Lender’s own financing or securitization transactions and upon the occurrence of a default, event of default or similar occurrence with respect to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-433070</wp:posOffset>
            </wp:positionV>
            <wp:extent cx="11741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2" w:name="page133"/>
    <w:bookmarkEnd w:id="132"/>
    <w:p>
      <w:pPr>
        <w:jc w:val="both"/>
        <w:spacing w:after="0" w:line="275" w:lineRule="auto"/>
        <w:rPr>
          <w:sz w:val="20"/>
          <w:szCs w:val="20"/>
          <w:color w:val="auto"/>
        </w:rPr>
      </w:pPr>
      <w:r>
        <w:rPr>
          <w:rFonts w:ascii="Arial" w:cs="Arial" w:eastAsia="Arial" w:hAnsi="Arial"/>
          <w:sz w:val="16"/>
          <w:szCs w:val="16"/>
          <w:color w:val="auto"/>
        </w:rPr>
        <w:t>or securitization transaction; (b) to prospective transferees (other than those identified in (a) above) or purchasers of any interest in the Term Loans (provided, however, the Lender shall, except upon the occurrence and during the continuance of an Event of Default, obtain such prospective transferee’s or purchaser’s agreement to the terms of this provision or to similar confidentiality terms); (c) as required by law, rule, regulation, regulatory or self-regulatory authority, subpoena, or other order; (d) to Lender’s regulators or as otherwise required in connection with an examination or audit; (e) as Lender reasonably considers appropriate in exercising remedies under the Loan Documents; and (f) to third party service providers of the Lender so long as such service providers have executed a confidentiality agreement or have agreed to similar confidentiality terms with the Lender, as applicable, with terms no less restrictive than those contained herein. Confidential information does not include information that either: (i) is in the public domain or in the Lender’s possession when disclosed to the Lender, or becomes part of the public domain after disclosure to the Lender through no breach of this provision by the Lender; or (ii) is disclosed to the Lender by a third party, if the Lender does not know that the third party is prohibited from disclosing the information. The Lender may use confidential information for any purpose, including, without limitation, for the development of client databases, reporting purposes, and market analysis so long as the Lender does not disclose the identity of the Borrower or the Identity of any person associated with the Borrower.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w:t>
      </w:r>
    </w:p>
    <w:p>
      <w:pPr>
        <w:spacing w:after="0" w:line="16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9.07.</w:t>
      </w:r>
      <w:r>
        <w:rPr>
          <w:sz w:val="20"/>
          <w:szCs w:val="20"/>
          <w:color w:val="auto"/>
        </w:rPr>
        <w:tab/>
      </w:r>
      <w:r>
        <w:rPr>
          <w:rFonts w:ascii="Arial" w:cs="Arial" w:eastAsia="Arial" w:hAnsi="Arial"/>
          <w:sz w:val="16"/>
          <w:szCs w:val="16"/>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8343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70" w:lineRule="auto"/>
        <w:tabs>
          <w:tab w:leader="none" w:pos="185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notices or consents required or permitted by this Agreement shall be in writing and shall be deemed given if delivered in Person or if sent by facsimile, by scanned image or by nationally recognized overnight courier, or via first-class, certified or registered mail, postage prepaid, to the address of such party set forth on the signature pages hereof, unless such address is changed by written notice hereunder;</w:t>
      </w:r>
    </w:p>
    <w:p>
      <w:pPr>
        <w:spacing w:after="0" w:line="177" w:lineRule="exact"/>
        <w:rPr>
          <w:rFonts w:ascii="Arial" w:cs="Arial" w:eastAsia="Arial" w:hAnsi="Arial"/>
          <w:sz w:val="17"/>
          <w:szCs w:val="17"/>
          <w:color w:val="auto"/>
        </w:rPr>
      </w:pPr>
    </w:p>
    <w:p>
      <w:pPr>
        <w:ind w:left="1860" w:hanging="355"/>
        <w:spacing w:after="0"/>
        <w:tabs>
          <w:tab w:leader="none" w:pos="18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notice sent by Lender or Borrower by any of the above methods shall be deemed to be given when so received; and</w:t>
      </w:r>
    </w:p>
    <w:p>
      <w:pPr>
        <w:spacing w:after="0" w:line="223" w:lineRule="exact"/>
        <w:rPr>
          <w:rFonts w:ascii="Arial" w:cs="Arial" w:eastAsia="Arial" w:hAnsi="Arial"/>
          <w:sz w:val="17"/>
          <w:szCs w:val="17"/>
          <w:color w:val="auto"/>
        </w:rPr>
      </w:pPr>
    </w:p>
    <w:p>
      <w:pPr>
        <w:ind w:right="20" w:firstLine="1505"/>
        <w:spacing w:after="0" w:line="261" w:lineRule="auto"/>
        <w:tabs>
          <w:tab w:leader="none" w:pos="185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Lender shall be fully entitled to rely upon any facsimile or scanned image transmission or other writing purported to be sent by any Authorized Officer (whether requesting an Advance or otherwise) as being genuine and authorized.</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7"/>
          <w:szCs w:val="17"/>
          <w:color w:val="auto"/>
        </w:rPr>
        <w:t>9.08. Brokerage. Borrower represents that Borrower has not committed Lender to the payment of any brokerage fee, commission or charge in connection with this transaction. If any such claim is made on Lender by any broker, finder or agent or other Person, Borrower hereby indemnifies, defends and saves Lender harmless against such claim and further will defend, with counsel satisfactory to Lender, any action or actions to recover on such claim, at Borrower’s own cost and expense, including Lender’s reasonable counsel fees. Borrower further agrees that until any such claim or demand is adjudicated in Lender’s favor, the amount demanded shall be deemed an Obligation of Borrower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-558800</wp:posOffset>
            </wp:positionV>
            <wp:extent cx="9328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15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9.09. Headings. The headings of any paragraph or section of this Agreement are for convenience only and shall not be used to interpret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8883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9.10. Survival. All warranties, representations, and covenants made by Borrower herein, or in any of the other Loan Documents or on any certificate, document or other instrument delivered by it or on its behalf under this Agreement, shall be considered to have been relied upon by Lender, and shall survive the delivery to Lender of the Revolving Note, regardless of any investigation made by Lender or on its behalf. All statements in any such certificate or other instrument prepared and/or delivered to the Lender shall constitute warranties and representations by Borrower hereunder. Except as otherwise expressly provided herein, all covenants made by Borrower hereunder or under any other agreement Loan Document shall be deemed continuing until all Obligations are satisfied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-677545</wp:posOffset>
            </wp:positionV>
            <wp:extent cx="8439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8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582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3" w:name="page134"/>
    <w:bookmarkEnd w:id="133"/>
    <w:p>
      <w:pPr>
        <w:ind w:left="760"/>
        <w:spacing w:after="0"/>
        <w:tabs>
          <w:tab w:leader="none" w:pos="14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Duplicate Originals. Two (2) or more duplicate originals of this Agreement may be signed by the parties, each of which shall be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36334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original but all of which together shall constitute one and the same instrument. This Agreement may be executed in counterparts, all of which counterparts taken together shall constitute one completed fully executed document.</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Modification. No modification hereof or any agreement referred to herein shall be binding or enforceable unless in writing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534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Borrower and Lender.</w:t>
      </w:r>
    </w:p>
    <w:p>
      <w:pPr>
        <w:spacing w:after="0" w:line="197"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9.14. Signatories. Each individual signatory hereto represents and warrants that he is duly authorized to execute this Agreement on behalf of his principal and that he executes the Agreement in such capacity and not as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-164465</wp:posOffset>
            </wp:positionV>
            <wp:extent cx="9709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9.15. Third Parties. No rights are intended to be created hereunder, or under any other Loan Document for the benefit of any third-party donee, creditor or incidental beneficiary of Borrower. Nothing contained in this Agreement shall be construed as a delegation to Lender of Borrower’s duty of performance, including Borrower’s duties under any Account or contract with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-286385</wp:posOffset>
            </wp:positionV>
            <wp:extent cx="1067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162"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5"/>
          <w:szCs w:val="15"/>
          <w:color w:val="auto"/>
        </w:rPr>
        <w:t>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8286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205" w:lineRule="exact"/>
        <w:rPr>
          <w:sz w:val="20"/>
          <w:szCs w:val="20"/>
          <w:color w:val="auto"/>
        </w:rPr>
      </w:pPr>
    </w:p>
    <w:p>
      <w:pPr>
        <w:jc w:val="both"/>
        <w:ind w:firstLine="1505"/>
        <w:spacing w:after="0" w:line="274" w:lineRule="auto"/>
        <w:tabs>
          <w:tab w:leader="none" w:pos="185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Borrower hereby waives diligence, demand, presentment, protest and any notices thereof as well as notices of nonpayment, intent to accelerate and acceleration. To the extent there is more than one Borrower hereunder, each of such Borrower hereby irrevocably, unconditionally and fully subordinates in favor of Lender any and all rights it may have at any time (whether arising directly or indirectly, by operation of law or contract) to assert or receive payment on any claim against the other co-Borrower(s), on account of payments made under this Agreement, including any and all rights of subrogation, reimbursement, exoneration, contribution or indemnity. To the extent there is more than one Borrower hereunder, each of such Borrower waives any event or circumstances that might constitute a legal or equitable defense of, or discharge of, such Borrower. Furthermore, Borrower agrees that if Borrower makes any payment on the Obligations or Lender enforces its Liens or Lender exercises its right of set-off, and such payment or the proceeds of such enforcement or set-off is subsequently invalidated, declared to be fraudulent or preferential, set aside, or required to be repaid by anyone, in whole or in part, including without limitation in connection with any bankruptcy, insolvency or similar proceeding instituted by or against Borrower,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 Borrower consents and agrees that Lender shall be under no obligation to marshal any assets or Collateral in favor of Borrower or against or in payment of any or all of the Obligations.</w:t>
      </w:r>
    </w:p>
    <w:p>
      <w:pPr>
        <w:spacing w:after="0" w:line="179" w:lineRule="exact"/>
        <w:rPr>
          <w:rFonts w:ascii="Arial" w:cs="Arial" w:eastAsia="Arial" w:hAnsi="Arial"/>
          <w:sz w:val="16"/>
          <w:szCs w:val="16"/>
          <w:color w:val="auto"/>
        </w:rPr>
      </w:pPr>
    </w:p>
    <w:p>
      <w:pPr>
        <w:jc w:val="both"/>
        <w:ind w:firstLine="1505"/>
        <w:spacing w:after="0" w:line="241" w:lineRule="auto"/>
        <w:tabs>
          <w:tab w:leader="none" w:pos="18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Borrower hereby consents and agrees that Lender, at any time or from time to time in its discretion, may: (i) following the occurrence and during the continuance of an Event of Default, settle, compromise or grant releases for liabilities of Borrower, and/or any other Person or Persons liable for any Obligations, (ii) exchange, release, surrender, sell, subordinate or compromise any Collateral of any party now or hereafter securing any of the Obligations in accordance with the terms hereof, and (iii) following and during the continuance of an Event of Default, apply any and all payments received at any time against the Obligations in any order as Lender may determine; all of the foregoing in such manner and upon such terms as Lender may see fit, without notice to or further consent from Borrower, who hereby agrees and shall remain bound upon this Agreement notwithstanding any such action on Lender’s part.</w:t>
      </w:r>
    </w:p>
    <w:p>
      <w:pPr>
        <w:spacing w:after="0" w:line="205" w:lineRule="exact"/>
        <w:rPr>
          <w:rFonts w:ascii="Arial" w:cs="Arial" w:eastAsia="Arial" w:hAnsi="Arial"/>
          <w:sz w:val="18"/>
          <w:szCs w:val="18"/>
          <w:color w:val="auto"/>
        </w:rPr>
      </w:pPr>
    </w:p>
    <w:p>
      <w:pPr>
        <w:jc w:val="both"/>
        <w:ind w:firstLine="1505"/>
        <w:spacing w:after="0" w:line="243" w:lineRule="auto"/>
        <w:tabs>
          <w:tab w:leader="none" w:pos="18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liability of Borrower hereunder is absolute and unconditional and shall not be reduced, impaired or affected in any way by reason of (i) any failure to obtain, retain or preserve, or the lack of prior enforcement of, any rights against any Person or Persons (including other Borrower), or in any Property, (ii) the invalidity or unenforceability of any Obligations or rights in any Collateral, (iii) any delay in making demand upon Borrower or any delay in enforcing, or any failure to enforce, any rights against Borrower or in any Collateral even if such rights are thereby lost, (iv) any failure, neglect or omission to obtain, perfect or retain any Lien upon, protect, exercise rights against, or realize on, any Property of Borrower, or any other party securing the Obligations, (v) the existence or nonexistence of any defenses which may be available to the other Borrower with respect to the Obligations, or (vi) the commencement of any bankruptcy, reorganization, liquidation, dissolution or receivership proceeding or case filed by or against Borrower.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4" w:name="page135"/>
    <w:bookmarkEnd w:id="134"/>
    <w:p>
      <w:pPr>
        <w:ind w:right="20" w:firstLine="1505"/>
        <w:spacing w:after="0" w:line="277" w:lineRule="auto"/>
        <w:tabs>
          <w:tab w:leader="none" w:pos="18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Borrower subordinates all present and future indebtedness owing by any other Borrower to such Borrower to the obligations at any time owing by such other Borrower to Lender under this Agreement and the other Loan Documents.</w:t>
      </w:r>
    </w:p>
    <w:p>
      <w:pPr>
        <w:spacing w:after="0" w:line="15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9.17. CONSENT TO JURISDICTION . BORROWER AND LENDER HEREBY IRREVOCABLY CONSENT TO THE NONEXCLUSIVE JURISDICTION OF, AND VENUE IN, ANY STATE OR FEDERAL COURT LOCATED IN THE CITY OF NEW YORK, NEW YORK IN ANY AND ALL ACTIONS AND PROCEEDINGS WHETHER ARISING HEREUNDER OR UNDER ANY OTHER AGREEMENT OR UNDERTAKING. BORROWER WAIVES ANY OBJECTION TO IMPROPER VENUE AND FORUM NON CONVENIENS TO PROCEEDINGS IN ANY SUCH COURT OR COURTS AND ALL RIGHTS TO TRANSFER FOR ANY REASON. BORROWER IRREVOCABLY AGREES TO SERVICE OF PROCESS BY CERTIFIED MAIL, RETURN RECEIPT REQUESTED TO THE ADDRESS OF THE APPROPRIATE PARTY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-814070</wp:posOffset>
            </wp:positionV>
            <wp:extent cx="218884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9.18. WAIVER OF JURY TRIAL . EACH OF BORROWER AND LENDER HEREBY WAIVES ANY AND ALL RIGHTS IT MAY HAVE TO A JURY TRIAL IN CONNECTION WITH ANY LITIGATION COMMENCED BY OR AGAINST LENDER WITH RESPECT TO RIGHTS AND OBLIGATIONS OF THE PARTIES HERETO OR UNDER THE LOAN DOCUMENTS, WHETHER SOUNDING IN TORT,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8084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9.19.</w:t>
      </w:r>
      <w:r>
        <w:rPr>
          <w:sz w:val="20"/>
          <w:szCs w:val="20"/>
          <w:color w:val="auto"/>
        </w:rPr>
        <w:tab/>
      </w:r>
      <w:r>
        <w:rPr>
          <w:rFonts w:ascii="Arial" w:cs="Arial" w:eastAsia="Arial" w:hAnsi="Arial"/>
          <w:sz w:val="17"/>
          <w:szCs w:val="17"/>
          <w:color w:val="auto"/>
        </w:rPr>
        <w:t>Publication.  Borrower grants Lender the right to publish and/or advertise information to the effect that this transaction has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861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which information may include, without limit, (a) the names of Borrower and Lender, (b) the size of the transaction and (c) those items of information commonly included within a “tombstone advertisement” of the type customarily published in financial or business periodicals.</w:t>
      </w:r>
    </w:p>
    <w:p>
      <w:pPr>
        <w:spacing w:after="0" w:line="18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9.20.</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95821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9.21. Injunctive Relief. The parties acknowledge and agree that, in the event of a breach or threatened breach of any party’s obligations hereunder, the other party may have no adequate remedy in money damages and, accordingly, shall be entitled to an injunction (including a temporary restraining order, preliminary injunction, writ of attachment, or order compelling an audit) against such breach or threatened breach, including maintaining the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-677545</wp:posOffset>
            </wp:positionV>
            <wp:extent cx="12452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18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9.22. Successors and Assigns. This Agreement binds and is for the benefit of the successors and permitted assigns of each party. Borrower may not transfer, pledge or assign this Agreement or any rights or obligations under it without Lender’s prior written consent (which may be granted or withheld in Lender’s discretion). The Lender has the right, without the consent of or notice to Borrower, to sell, transfer, assign, pledge, negotiate, or grant participation in (any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u w:val="single" w:color="auto"/>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to any Eligible Assignee;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(i) any Transfer at any time that an Event of Default has occurred and is continuing, or (ii) a transfer, pledge, sale or assignment to an Eligible Assignee) of its obligations, rights, and benefits under this Agreement and the other Loan Documents shall require the prior written consent of the Lender and Borrower (such consent of Borrower not to be unreasonably withheld, conditioned or delayed) (such approved assignee, an “</w:t>
      </w:r>
      <w:r>
        <w:rPr>
          <w:rFonts w:ascii="Arial" w:cs="Arial" w:eastAsia="Arial" w:hAnsi="Arial"/>
          <w:sz w:val="16"/>
          <w:szCs w:val="16"/>
          <w:u w:val="single" w:color="auto"/>
          <w:color w:val="auto"/>
        </w:rPr>
        <w:t>Approved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Borrower and Lender shall be entitled to continue to deal solely and directly with Lender in connection with the interests so assigned until Lender shall have received and accepted an effective assignment agreement in form satisfactory to Lender executed, delivered and fully completed by the applicable parties thereto, and shall have received such other information regarding such Eligible Assignee or Approved Lender as Lender reasonably shall require. Notwithstanding anything to the contrary contained herein, so long as no Event of Default has occurred and is continuing, no Lender Transfer (other than a Lender Transfer in connection with (x) assignments by Lender due to a forced divestiture at the request of any regulatory agency; or (y) upon the occurrence of a default, event of default or similar occurrence with respect to Lender’s own financing or securitization transactions) shall be permitted, without Borrower’s consent, to any Person which is an Affiliate or Subsidiary of Borrower, a then-current direct competitor, vulture fund or distress investment fund of Borrower, as reasonably determined by Lender at the time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-1997075</wp:posOffset>
            </wp:positionV>
            <wp:extent cx="15506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155067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5" w:name="page136"/>
    <w:bookmarkEnd w:id="135"/>
    <w:p>
      <w:pPr>
        <w:jc w:val="both"/>
        <w:spacing w:after="0" w:line="256" w:lineRule="auto"/>
        <w:rPr>
          <w:sz w:val="20"/>
          <w:szCs w:val="20"/>
          <w:color w:val="auto"/>
        </w:rPr>
      </w:pPr>
      <w:r>
        <w:rPr>
          <w:rFonts w:ascii="Arial" w:cs="Arial" w:eastAsia="Arial" w:hAnsi="Arial"/>
          <w:sz w:val="17"/>
          <w:szCs w:val="17"/>
          <w:color w:val="auto"/>
        </w:rPr>
        <w:t>assignment. Lender, acting solely for this purpose as a non-fiduciary agent of Borrower, shall maintain at one of its offices in the United States a register for the recordation of the names and addresses of the Lender, and the Revolving Loan Commitments of, and principal amounts (and stated interest) of the Revolving Loans owing to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Borrower, Lender and Lender shall treat each Person whose name is recorded in the Register pursuant to the terms hereof as Lender hereunder for all purposes of this Agreement. The Register shall be available for inspection by Borrower and Lender at any reasonable time and from time to time upon reasonable prior notice. Lender that sells a participation shall, acting solely for this purpose as a non-fiduciary agent of Borrower, maintain a register on which it enters the name and address of each participant and the principal amounts (and stated interest) of each participant’s interest in the Revolving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Lender shall treat each Person whose name is recorded in the Participant Register as the owner of such participation for all purposes of this Agreement notwithstanding any notice to the contrary. For the avoidance of doubt, Lender shall have no responsibility for maintaining a Participant Register. Borrower agrees that each participant shall be entitled to the benefits of the provisions in Annex II attached hereto (subject to the requirements and limitations therein, including the requirements under Section 7 of Annex II attached hereto (it being understood that the documentation required under Section 7 of Annex II attached hereto shall be delivered to the participating Lender)) to the same extent as if it were Lender and had acquired its interest by assignment pursuant to this Section; provided that such participant shall not be entitled to receive any greater payment under Annex II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9.23. Severability. If any provision hereof or of any other Loan Document is held to be illegal or unenforceable, such provision shall be fully severable, and the remaining provisions of the applicable agreement shall remain in full force and effect and shall not be affected by such provision’s severance. Furthermore, in lieu of any such provision, there shall be added automatically as a part of the applicable agreement a legal and enforceable provision as similar in terms to the severed provision as may be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0172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9.24. Authority. Without limiting the powers granted to Lender in Section 8.03 hereof, if an Event of Default shall have occurred, Borrower hereby authorizes Lender, or any Person or agent which Lender may designate, at Borrower’s cost and expense, to exercise all the following powers, which authority shall be irrevocable until the termination of this Agreement and the full and final payment and satisfaction of the Obligations to: (a) receive, take, endorse, sign, assign and deliver, all in the name of Lender or Borrower, any and all checks, notes, drafts and other documents or instruments relating to the Collateral; (b) receive, open and dispose of all mail addressed to Borrower and to notify postal authorities to change the address for delivery thereof to such address as Lender may designate; (c) request from customers indebted on Accounts at any time, in the name of Lender, information concerning the amounts owing on the Accounts; (d) request from customers indebted on Accounts at any time, in the name of Borrower any certified public accountant designated by Lender or any other designee of Lender, information concerning the amounts owing on the Accounts; (e) transmit to customers indebted on Accounts notice of Lender’s interest therein and to notify customers indebted on Accounts to make payment directly to Lender for Borrower’s account (subject to all applicable laws and regulations governing payment of Medicare and Medicaid receivables or receivables owing by a Governmental Authority); and/or (f) take or bring, in the name of Lender or Borrower all steps, actions, suits or proceedings deemed by Lender necessary or desirable to enforce or effect collection of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-1473835</wp:posOffset>
            </wp:positionV>
            <wp:extent cx="90106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9.25. Usury Limit. In no event shall Borrower, upon demand by Lender for payment of any indebtedness relating hereto, by acceleration of the maturity thereof, or otherwise, be obligated to pay interest and fees in excess of the amount permitted by law. Regardless of any provision herein or in any agreement made in connection herewith, Lender shall never be entitled to receive, charge or apply, as interest on any indebtedness relating hereto, any amount in excess of the maximum amount of interest permissible under Applicable Law. If Lender ever receives, collects or applies any such excess, it shall be deemed a partial repayment of principal and treated as such. If as a result, the entire principal amount of the Obligations is paid in full, any remaining excess shall be refunded to Borrower.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-677545</wp:posOffset>
            </wp:positionV>
            <wp:extent cx="101854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t>Section 9.25 shall control every other provision of this Agreement, the other Loan Documents and any other agreement made in connection herewith.</w:t>
      </w:r>
    </w:p>
    <w:p>
      <w:pPr>
        <w:spacing w:after="0" w:line="237"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9.26.</w:t>
      </w:r>
      <w:r>
        <w:rPr>
          <w:sz w:val="20"/>
          <w:szCs w:val="20"/>
          <w:color w:val="auto"/>
        </w:rPr>
        <w:tab/>
      </w:r>
      <w:r>
        <w:rPr>
          <w:rFonts w:ascii="Arial" w:cs="Arial" w:eastAsia="Arial" w:hAnsi="Arial"/>
          <w:sz w:val="17"/>
          <w:szCs w:val="17"/>
          <w:color w:val="auto"/>
        </w:rPr>
        <w:t>Termination.  Except as otherwise provided in Article 8 hereof, Lender may terminate this Agreement only as of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0223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10223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Borrower may terminate this Agreement at any time prior to the Maturity Date only in accordance with the terms of Section 2.03(c).</w:t>
      </w:r>
    </w:p>
    <w:p>
      <w:pPr>
        <w:spacing w:after="0" w:line="196"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9.27.</w:t>
      </w:r>
      <w:r>
        <w:rPr>
          <w:sz w:val="20"/>
          <w:szCs w:val="20"/>
          <w:color w:val="auto"/>
        </w:rPr>
        <w:tab/>
      </w:r>
      <w:r>
        <w:rPr>
          <w:rFonts w:ascii="Arial" w:cs="Arial" w:eastAsia="Arial" w:hAnsi="Arial"/>
          <w:sz w:val="16"/>
          <w:szCs w:val="16"/>
          <w:color w:val="auto"/>
        </w:rPr>
        <w:t>Release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wp:posOffset>
            </wp:positionV>
            <wp:extent cx="14147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5" w:lineRule="exact"/>
        <w:rPr>
          <w:sz w:val="20"/>
          <w:szCs w:val="20"/>
          <w:color w:val="auto"/>
        </w:rPr>
      </w:pPr>
    </w:p>
    <w:p>
      <w:pPr>
        <w:jc w:val="both"/>
        <w:ind w:right="20" w:firstLine="1505"/>
        <w:spacing w:after="0" w:line="248" w:lineRule="auto"/>
        <w:tabs>
          <w:tab w:leader="none" w:pos="185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the case of any such sale or other Transfer of any property constituting Collateral in a transaction (i) constituting a Transfer permitted pursuant to clauses (a), (b) or (c) of Section 7.01, the Liens created by any of the Loan Documents on such property shall be automatically released without need for further action by any Person.</w:t>
      </w:r>
    </w:p>
    <w:p>
      <w:pPr>
        <w:spacing w:after="0" w:line="195" w:lineRule="exact"/>
        <w:rPr>
          <w:rFonts w:ascii="Arial" w:cs="Arial" w:eastAsia="Arial" w:hAnsi="Arial"/>
          <w:sz w:val="18"/>
          <w:szCs w:val="18"/>
          <w:color w:val="auto"/>
        </w:rPr>
      </w:pPr>
    </w:p>
    <w:p>
      <w:pPr>
        <w:jc w:val="both"/>
        <w:ind w:firstLine="1505"/>
        <w:spacing w:after="0" w:line="243" w:lineRule="auto"/>
        <w:tabs>
          <w:tab w:leader="none" w:pos="185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Lender will, upon Borrower’s request and at Borrower’s expense, execute and deliver to Borrower such documents as Borrower may reasonably request to evidence the release of such item of Collateral from the security interest granted under the Loan Documents, or to release any co-Borrower from its obligations under the Loan Document, in each case in accordance with the terms of the Loan Documents, including the terms set forth in this Section 9.27. Lender hereby consents to release the following:</w:t>
      </w:r>
    </w:p>
    <w:p>
      <w:pPr>
        <w:spacing w:after="0" w:line="201" w:lineRule="exact"/>
        <w:rPr>
          <w:rFonts w:ascii="Arial" w:cs="Arial" w:eastAsia="Arial" w:hAnsi="Arial"/>
          <w:sz w:val="18"/>
          <w:szCs w:val="18"/>
          <w:color w:val="auto"/>
        </w:rPr>
      </w:pPr>
    </w:p>
    <w:p>
      <w:pPr>
        <w:jc w:val="both"/>
        <w:ind w:firstLine="2254"/>
        <w:spacing w:after="0" w:line="249" w:lineRule="auto"/>
        <w:tabs>
          <w:tab w:leader="none" w:pos="2606" w:val="left"/>
        </w:tabs>
        <w:numPr>
          <w:ilvl w:val="2"/>
          <w:numId w:val="121"/>
        </w:numPr>
        <w:rPr>
          <w:rFonts w:ascii="Arial" w:cs="Arial" w:eastAsia="Arial" w:hAnsi="Arial"/>
          <w:sz w:val="18"/>
          <w:szCs w:val="18"/>
          <w:color w:val="auto"/>
        </w:rPr>
      </w:pPr>
      <w:r>
        <w:rPr>
          <w:rFonts w:ascii="Arial" w:cs="Arial" w:eastAsia="Arial" w:hAnsi="Arial"/>
          <w:sz w:val="18"/>
          <w:szCs w:val="18"/>
          <w:color w:val="auto"/>
        </w:rPr>
        <w:t>any co-Borrower if (i) all of the stock of such Subsidiary is sold or transferred in a transaction permitted under the Loan Documents (including pursuant to a valid waiver or consent), to the extent that, after giving effect to such transaction, such Subsidiary would not be required to guaranty any Obligations pursuant to any Loan Document or (ii) such co-Borrower is liquidated or dissolved to the extent permitted under Section 7.03; and</w:t>
      </w:r>
    </w:p>
    <w:p>
      <w:pPr>
        <w:spacing w:after="0" w:line="180" w:lineRule="exact"/>
        <w:rPr>
          <w:rFonts w:ascii="Arial" w:cs="Arial" w:eastAsia="Arial" w:hAnsi="Arial"/>
          <w:sz w:val="18"/>
          <w:szCs w:val="18"/>
          <w:color w:val="auto"/>
        </w:rPr>
      </w:pPr>
    </w:p>
    <w:p>
      <w:pPr>
        <w:jc w:val="both"/>
        <w:ind w:firstLine="2254"/>
        <w:spacing w:after="0" w:line="273" w:lineRule="auto"/>
        <w:tabs>
          <w:tab w:leader="none" w:pos="2606" w:val="left"/>
        </w:tabs>
        <w:numPr>
          <w:ilvl w:val="2"/>
          <w:numId w:val="121"/>
        </w:numPr>
        <w:rPr>
          <w:rFonts w:ascii="Arial" w:cs="Arial" w:eastAsia="Arial" w:hAnsi="Arial"/>
          <w:sz w:val="16"/>
          <w:szCs w:val="16"/>
          <w:color w:val="auto"/>
        </w:rPr>
      </w:pPr>
      <w:r>
        <w:rPr>
          <w:rFonts w:ascii="Arial" w:cs="Arial" w:eastAsia="Arial" w:hAnsi="Arial"/>
          <w:sz w:val="16"/>
          <w:szCs w:val="16"/>
          <w:color w:val="auto"/>
        </w:rPr>
        <w:t>any Lien held by Lender against (i) any Collateral that is sold or otherwise Transferred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 (A) termination of the Revolving Loan Commitment, (B) the payment in full in cash of all of the Obligations (other than inchoate indemnity obligations for which no claim has been made), and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extent requested by Lender, receipt by Lender of liability releases from Borrower in form and substance acceptable to Lender.</w:t>
      </w:r>
    </w:p>
    <w:p>
      <w:pPr>
        <w:spacing w:after="0" w:line="20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as of the day and year first above written.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10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tc>
        <w:tc>
          <w:tcPr>
            <w:tcW w:w="6040" w:type="dxa"/>
            <w:vAlign w:val="bottom"/>
            <w:gridSpan w:val="3"/>
          </w:tcPr>
          <w:p>
            <w:pPr>
              <w:ind w:left="520"/>
              <w:spacing w:after="0"/>
              <w:rPr>
                <w:sz w:val="20"/>
                <w:szCs w:val="20"/>
                <w:color w:val="auto"/>
              </w:rPr>
            </w:pPr>
            <w:r>
              <w:rPr>
                <w:rFonts w:ascii="Arial" w:cs="Arial" w:eastAsia="Arial" w:hAnsi="Arial"/>
                <w:sz w:val="18"/>
                <w:szCs w:val="18"/>
                <w:b w:val="1"/>
                <w:bCs w:val="1"/>
                <w:color w:val="auto"/>
              </w:rPr>
              <w:t>OUTSET MEDICAL, INC.</w:t>
            </w:r>
          </w:p>
        </w:tc>
        <w:tc>
          <w:tcPr>
            <w:tcW w:w="0" w:type="dxa"/>
            <w:vAlign w:val="bottom"/>
          </w:tcPr>
          <w:p>
            <w:pPr>
              <w:spacing w:after="0"/>
              <w:rPr>
                <w:sz w:val="1"/>
                <w:szCs w:val="1"/>
                <w:color w:val="auto"/>
              </w:rPr>
            </w:pPr>
          </w:p>
        </w:tc>
      </w:tr>
      <w:tr>
        <w:trPr>
          <w:trHeight w:val="405"/>
        </w:trPr>
        <w:tc>
          <w:tcPr>
            <w:tcW w:w="5200" w:type="dxa"/>
            <w:vAlign w:val="bottom"/>
          </w:tcPr>
          <w:p>
            <w:pPr>
              <w:ind w:left="100"/>
              <w:spacing w:after="0"/>
              <w:rPr>
                <w:sz w:val="20"/>
                <w:szCs w:val="20"/>
                <w:color w:val="auto"/>
              </w:rPr>
            </w:pPr>
            <w:r>
              <w:rPr>
                <w:rFonts w:ascii="Arial" w:cs="Arial" w:eastAsia="Arial" w:hAnsi="Arial"/>
                <w:sz w:val="18"/>
                <w:szCs w:val="18"/>
                <w:color w:val="auto"/>
              </w:rPr>
              <w:t>Address for notices to Borrower:</w:t>
            </w:r>
          </w:p>
        </w:tc>
        <w:tc>
          <w:tcPr>
            <w:tcW w:w="6040" w:type="dxa"/>
            <w:vAlign w:val="bottom"/>
            <w:gridSpan w:val="3"/>
            <w:vMerge w:val="restart"/>
          </w:tcPr>
          <w:p>
            <w:pPr>
              <w:ind w:left="520"/>
              <w:spacing w:after="0"/>
              <w:rPr>
                <w:sz w:val="20"/>
                <w:szCs w:val="20"/>
                <w:color w:val="auto"/>
              </w:rPr>
            </w:pPr>
            <w:r>
              <w:rPr>
                <w:rFonts w:ascii="Arial" w:cs="Arial" w:eastAsia="Arial" w:hAnsi="Arial"/>
                <w:sz w:val="18"/>
                <w:szCs w:val="18"/>
                <w:color w:val="auto"/>
              </w:rPr>
              <w:t>By:/s/ Nabeel Ahmed</w:t>
            </w:r>
          </w:p>
        </w:tc>
        <w:tc>
          <w:tcPr>
            <w:tcW w:w="0" w:type="dxa"/>
            <w:vAlign w:val="bottom"/>
          </w:tcPr>
          <w:p>
            <w:pPr>
              <w:spacing w:after="0"/>
              <w:rPr>
                <w:sz w:val="1"/>
                <w:szCs w:val="1"/>
                <w:color w:val="auto"/>
              </w:rPr>
            </w:pPr>
          </w:p>
        </w:tc>
      </w:tr>
      <w:tr>
        <w:trPr>
          <w:trHeight w:val="175"/>
        </w:trPr>
        <w:tc>
          <w:tcPr>
            <w:tcW w:w="5200" w:type="dxa"/>
            <w:vAlign w:val="bottom"/>
            <w:vMerge w:val="restart"/>
          </w:tcPr>
          <w:p>
            <w:pPr>
              <w:ind w:left="100"/>
              <w:spacing w:after="0"/>
              <w:rPr>
                <w:sz w:val="20"/>
                <w:szCs w:val="20"/>
                <w:color w:val="auto"/>
              </w:rPr>
            </w:pPr>
            <w:r>
              <w:rPr>
                <w:rFonts w:ascii="Arial" w:cs="Arial" w:eastAsia="Arial" w:hAnsi="Arial"/>
                <w:sz w:val="18"/>
                <w:szCs w:val="18"/>
                <w:color w:val="auto"/>
              </w:rPr>
              <w:t>Outset Medical, Inc.</w:t>
            </w:r>
          </w:p>
        </w:tc>
        <w:tc>
          <w:tcPr>
            <w:tcW w:w="6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2080" w:type="dxa"/>
            <w:vAlign w:val="bottom"/>
            <w:gridSpan w:val="2"/>
          </w:tcPr>
          <w:p>
            <w:pPr>
              <w:ind w:left="520"/>
              <w:spacing w:after="0" w:line="168" w:lineRule="exact"/>
              <w:rPr>
                <w:sz w:val="20"/>
                <w:szCs w:val="20"/>
                <w:color w:val="auto"/>
              </w:rPr>
            </w:pPr>
            <w:r>
              <w:rPr>
                <w:rFonts w:ascii="Arial" w:cs="Arial" w:eastAsia="Arial" w:hAnsi="Arial"/>
                <w:sz w:val="18"/>
                <w:szCs w:val="18"/>
                <w:color w:val="auto"/>
                <w:w w:val="86"/>
              </w:rPr>
              <w:t>Name: Nabeel Ahmed</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100"/>
              <w:spacing w:after="0" w:line="189" w:lineRule="exact"/>
              <w:rPr>
                <w:sz w:val="20"/>
                <w:szCs w:val="20"/>
                <w:color w:val="auto"/>
              </w:rPr>
            </w:pPr>
            <w:r>
              <w:rPr>
                <w:rFonts w:ascii="Arial" w:cs="Arial" w:eastAsia="Arial" w:hAnsi="Arial"/>
                <w:sz w:val="18"/>
                <w:szCs w:val="18"/>
                <w:color w:val="auto"/>
              </w:rPr>
              <w:t>3052 Orchard Dr.</w:t>
            </w:r>
          </w:p>
        </w:tc>
        <w:tc>
          <w:tcPr>
            <w:tcW w:w="6040" w:type="dxa"/>
            <w:vAlign w:val="bottom"/>
            <w:gridSpan w:val="3"/>
          </w:tcPr>
          <w:p>
            <w:pPr>
              <w:ind w:left="520"/>
              <w:spacing w:after="0" w:line="189" w:lineRule="exact"/>
              <w:rPr>
                <w:sz w:val="20"/>
                <w:szCs w:val="20"/>
                <w:color w:val="auto"/>
              </w:rPr>
            </w:pPr>
            <w:r>
              <w:rPr>
                <w:rFonts w:ascii="Arial" w:cs="Arial" w:eastAsia="Arial" w:hAnsi="Arial"/>
                <w:sz w:val="18"/>
                <w:szCs w:val="18"/>
                <w:color w:val="auto"/>
              </w:rPr>
              <w:t>Title: Chief Financial Officer</w:t>
            </w:r>
          </w:p>
        </w:tc>
        <w:tc>
          <w:tcPr>
            <w:tcW w:w="0" w:type="dxa"/>
            <w:vAlign w:val="bottom"/>
          </w:tcPr>
          <w:p>
            <w:pPr>
              <w:spacing w:after="0"/>
              <w:rPr>
                <w:sz w:val="1"/>
                <w:szCs w:val="1"/>
                <w:color w:val="auto"/>
              </w:rPr>
            </w:pPr>
          </w:p>
        </w:tc>
      </w:tr>
      <w:tr>
        <w:trPr>
          <w:trHeight w:val="189"/>
        </w:trPr>
        <w:tc>
          <w:tcPr>
            <w:tcW w:w="5200" w:type="dxa"/>
            <w:vAlign w:val="bottom"/>
          </w:tcPr>
          <w:p>
            <w:pPr>
              <w:ind w:left="100"/>
              <w:spacing w:after="0" w:line="189" w:lineRule="exact"/>
              <w:rPr>
                <w:sz w:val="20"/>
                <w:szCs w:val="20"/>
                <w:color w:val="auto"/>
              </w:rPr>
            </w:pPr>
            <w:r>
              <w:rPr>
                <w:rFonts w:ascii="Arial" w:cs="Arial" w:eastAsia="Arial" w:hAnsi="Arial"/>
                <w:sz w:val="18"/>
                <w:szCs w:val="18"/>
                <w:color w:val="auto"/>
              </w:rPr>
              <w:t>San Jose, California</w:t>
            </w: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100"/>
              <w:spacing w:after="0" w:line="189" w:lineRule="exact"/>
              <w:rPr>
                <w:sz w:val="20"/>
                <w:szCs w:val="20"/>
                <w:color w:val="auto"/>
              </w:rPr>
            </w:pPr>
            <w:r>
              <w:rPr>
                <w:rFonts w:ascii="Arial" w:cs="Arial" w:eastAsia="Arial" w:hAnsi="Arial"/>
                <w:sz w:val="18"/>
                <w:szCs w:val="18"/>
                <w:color w:val="auto"/>
              </w:rPr>
              <w:t>Attention: Nabeel Ahmed; John Brottem</w:t>
            </w: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w w:val="96"/>
              </w:rPr>
              <w:t>Email: nahmed@outsemedical.com; jbrottem@outsetmedical.com</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8"/>
        </w:trPr>
        <w:tc>
          <w:tcPr>
            <w:tcW w:w="520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22"/>
                <w:szCs w:val="22"/>
                <w:color w:val="auto"/>
              </w:rPr>
              <w:t>43</w:t>
            </w:r>
          </w:p>
        </w:tc>
        <w:tc>
          <w:tcPr>
            <w:tcW w:w="13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tc>
        <w:tc>
          <w:tcPr>
            <w:tcW w:w="7100" w:type="dxa"/>
            <w:vAlign w:val="bottom"/>
            <w:gridSpan w:val="3"/>
          </w:tcPr>
          <w:p>
            <w:pPr>
              <w:ind w:left="1580"/>
              <w:spacing w:after="0"/>
              <w:rPr>
                <w:sz w:val="20"/>
                <w:szCs w:val="20"/>
                <w:color w:val="auto"/>
              </w:rPr>
            </w:pPr>
            <w:r>
              <w:rPr>
                <w:rFonts w:ascii="Arial" w:cs="Arial" w:eastAsia="Arial" w:hAnsi="Arial"/>
                <w:sz w:val="18"/>
                <w:szCs w:val="18"/>
                <w:b w:val="1"/>
                <w:bCs w:val="1"/>
                <w:color w:val="auto"/>
              </w:rPr>
              <w:t>GEMINO HEALTHCARE FINANCE, LLC d/b/a SLR</w:t>
            </w:r>
          </w:p>
        </w:tc>
        <w:tc>
          <w:tcPr>
            <w:tcW w:w="0" w:type="dxa"/>
            <w:vAlign w:val="bottom"/>
          </w:tcPr>
          <w:p>
            <w:pPr>
              <w:spacing w:after="0"/>
              <w:rPr>
                <w:sz w:val="1"/>
                <w:szCs w:val="1"/>
                <w:color w:val="auto"/>
              </w:rPr>
            </w:pPr>
          </w:p>
        </w:tc>
      </w:tr>
      <w:tr>
        <w:trPr>
          <w:trHeight w:val="234"/>
        </w:trPr>
        <w:tc>
          <w:tcPr>
            <w:tcW w:w="4140" w:type="dxa"/>
            <w:vAlign w:val="bottom"/>
            <w:vMerge w:val="restart"/>
          </w:tcPr>
          <w:p>
            <w:pPr>
              <w:ind w:left="100"/>
              <w:spacing w:after="0"/>
              <w:rPr>
                <w:sz w:val="20"/>
                <w:szCs w:val="20"/>
                <w:color w:val="auto"/>
              </w:rPr>
            </w:pPr>
            <w:r>
              <w:rPr>
                <w:rFonts w:ascii="Arial" w:cs="Arial" w:eastAsia="Arial" w:hAnsi="Arial"/>
                <w:sz w:val="18"/>
                <w:szCs w:val="18"/>
                <w:color w:val="auto"/>
              </w:rPr>
              <w:t>Address for notices to Lender:</w:t>
            </w:r>
          </w:p>
        </w:tc>
        <w:tc>
          <w:tcPr>
            <w:tcW w:w="7100" w:type="dxa"/>
            <w:vAlign w:val="bottom"/>
            <w:gridSpan w:val="3"/>
          </w:tcPr>
          <w:p>
            <w:pPr>
              <w:ind w:left="1580"/>
              <w:spacing w:after="0"/>
              <w:rPr>
                <w:sz w:val="20"/>
                <w:szCs w:val="20"/>
                <w:color w:val="auto"/>
              </w:rPr>
            </w:pPr>
            <w:r>
              <w:rPr>
                <w:rFonts w:ascii="Arial" w:cs="Arial" w:eastAsia="Arial" w:hAnsi="Arial"/>
                <w:sz w:val="18"/>
                <w:szCs w:val="18"/>
                <w:b w:val="1"/>
                <w:bCs w:val="1"/>
                <w:color w:val="auto"/>
              </w:rPr>
              <w:t>HEALTHCARE ABL</w:t>
            </w:r>
            <w:r>
              <w:rPr>
                <w:rFonts w:ascii="Arial" w:cs="Arial" w:eastAsia="Arial" w:hAnsi="Arial"/>
                <w:sz w:val="18"/>
                <w:szCs w:val="18"/>
                <w:color w:val="auto"/>
              </w:rPr>
              <w:t>, a Delaware limited liability company</w:t>
            </w:r>
          </w:p>
        </w:tc>
        <w:tc>
          <w:tcPr>
            <w:tcW w:w="0" w:type="dxa"/>
            <w:vAlign w:val="bottom"/>
          </w:tcPr>
          <w:p>
            <w:pPr>
              <w:spacing w:after="0"/>
              <w:rPr>
                <w:sz w:val="1"/>
                <w:szCs w:val="1"/>
                <w:color w:val="auto"/>
              </w:rPr>
            </w:pPr>
          </w:p>
        </w:tc>
      </w:tr>
      <w:tr>
        <w:trPr>
          <w:trHeight w:val="189"/>
        </w:trPr>
        <w:tc>
          <w:tcPr>
            <w:tcW w:w="414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00"/>
              <w:spacing w:after="0"/>
              <w:rPr>
                <w:sz w:val="20"/>
                <w:szCs w:val="20"/>
                <w:color w:val="auto"/>
              </w:rPr>
            </w:pPr>
            <w:r>
              <w:rPr>
                <w:rFonts w:ascii="Arial" w:cs="Arial" w:eastAsia="Arial" w:hAnsi="Arial"/>
                <w:sz w:val="18"/>
                <w:szCs w:val="18"/>
                <w:color w:val="auto"/>
              </w:rPr>
              <w:t>One International Plaza, Suite 220</w:t>
            </w:r>
          </w:p>
        </w:tc>
        <w:tc>
          <w:tcPr>
            <w:tcW w:w="7100" w:type="dxa"/>
            <w:vAlign w:val="bottom"/>
            <w:gridSpan w:val="3"/>
          </w:tcPr>
          <w:p>
            <w:pPr>
              <w:ind w:left="1580"/>
              <w:spacing w:after="0"/>
              <w:rPr>
                <w:sz w:val="20"/>
                <w:szCs w:val="20"/>
                <w:color w:val="auto"/>
              </w:rPr>
            </w:pPr>
            <w:r>
              <w:rPr>
                <w:rFonts w:ascii="Arial" w:cs="Arial" w:eastAsia="Arial" w:hAnsi="Arial"/>
                <w:sz w:val="18"/>
                <w:szCs w:val="18"/>
                <w:color w:val="auto"/>
              </w:rPr>
              <w:t>By:/s/ Stacy Allen</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Philadelphia, PA 19113</w:t>
            </w:r>
          </w:p>
        </w:tc>
        <w:tc>
          <w:tcPr>
            <w:tcW w:w="1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vMerge w:val="continue"/>
          </w:tcPr>
          <w:p>
            <w:pPr>
              <w:spacing w:after="0"/>
              <w:rPr>
                <w:sz w:val="14"/>
                <w:szCs w:val="14"/>
                <w:color w:val="auto"/>
              </w:rPr>
            </w:pPr>
          </w:p>
        </w:tc>
        <w:tc>
          <w:tcPr>
            <w:tcW w:w="2900" w:type="dxa"/>
            <w:vAlign w:val="bottom"/>
            <w:gridSpan w:val="2"/>
          </w:tcPr>
          <w:p>
            <w:pPr>
              <w:ind w:left="1580"/>
              <w:spacing w:after="0" w:line="168" w:lineRule="exact"/>
              <w:rPr>
                <w:sz w:val="20"/>
                <w:szCs w:val="20"/>
                <w:color w:val="auto"/>
              </w:rPr>
            </w:pPr>
            <w:r>
              <w:rPr>
                <w:rFonts w:ascii="Arial" w:cs="Arial" w:eastAsia="Arial" w:hAnsi="Arial"/>
                <w:sz w:val="18"/>
                <w:szCs w:val="18"/>
                <w:color w:val="auto"/>
                <w:w w:val="87"/>
              </w:rPr>
              <w:t>Name: Stacy Allen</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line="189" w:lineRule="exact"/>
              <w:rPr>
                <w:sz w:val="20"/>
                <w:szCs w:val="20"/>
                <w:color w:val="auto"/>
              </w:rPr>
            </w:pPr>
            <w:r>
              <w:rPr>
                <w:rFonts w:ascii="Arial" w:cs="Arial" w:eastAsia="Arial" w:hAnsi="Arial"/>
                <w:sz w:val="18"/>
                <w:szCs w:val="18"/>
                <w:color w:val="auto"/>
              </w:rPr>
              <w:t>Thomas Schneider, CEO</w:t>
            </w:r>
          </w:p>
        </w:tc>
        <w:tc>
          <w:tcPr>
            <w:tcW w:w="7100" w:type="dxa"/>
            <w:vAlign w:val="bottom"/>
            <w:gridSpan w:val="3"/>
          </w:tcPr>
          <w:p>
            <w:pPr>
              <w:ind w:left="1580"/>
              <w:spacing w:after="0" w:line="189" w:lineRule="exact"/>
              <w:rPr>
                <w:sz w:val="20"/>
                <w:szCs w:val="20"/>
                <w:color w:val="auto"/>
              </w:rPr>
            </w:pPr>
            <w:r>
              <w:rPr>
                <w:rFonts w:ascii="Arial" w:cs="Arial" w:eastAsia="Arial" w:hAnsi="Arial"/>
                <w:sz w:val="18"/>
                <w:szCs w:val="18"/>
                <w:color w:val="auto"/>
              </w:rPr>
              <w:t>Title:  Executive Vice President</w:t>
            </w: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line="189" w:lineRule="exact"/>
              <w:rPr>
                <w:sz w:val="20"/>
                <w:szCs w:val="20"/>
                <w:color w:val="auto"/>
              </w:rPr>
            </w:pPr>
            <w:r>
              <w:rPr>
                <w:rFonts w:ascii="Arial" w:cs="Arial" w:eastAsia="Arial" w:hAnsi="Arial"/>
                <w:sz w:val="18"/>
                <w:szCs w:val="18"/>
                <w:color w:val="auto"/>
              </w:rPr>
              <w:t>P: (610) 870-5403</w:t>
            </w:r>
          </w:p>
        </w:tc>
        <w:tc>
          <w:tcPr>
            <w:tcW w:w="1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line="189" w:lineRule="exact"/>
              <w:rPr>
                <w:sz w:val="20"/>
                <w:szCs w:val="20"/>
                <w:color w:val="auto"/>
              </w:rPr>
            </w:pPr>
            <w:r>
              <w:rPr>
                <w:rFonts w:ascii="Arial" w:cs="Arial" w:eastAsia="Arial" w:hAnsi="Arial"/>
                <w:sz w:val="18"/>
                <w:szCs w:val="18"/>
                <w:color w:val="auto"/>
              </w:rPr>
              <w:t>F: (610) 870-5401</w:t>
            </w:r>
          </w:p>
        </w:tc>
        <w:tc>
          <w:tcPr>
            <w:tcW w:w="1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00"/>
              <w:spacing w:after="0"/>
              <w:rPr>
                <w:sz w:val="20"/>
                <w:szCs w:val="20"/>
                <w:color w:val="auto"/>
              </w:rPr>
            </w:pPr>
            <w:r>
              <w:rPr>
                <w:rFonts w:ascii="Arial" w:cs="Arial" w:eastAsia="Arial" w:hAnsi="Arial"/>
                <w:sz w:val="18"/>
                <w:szCs w:val="18"/>
                <w:color w:val="auto"/>
              </w:rPr>
              <w:t>Email: tschneider@slrhcabl.com</w:t>
            </w:r>
          </w:p>
        </w:tc>
        <w:tc>
          <w:tcPr>
            <w:tcW w:w="1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4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u w:val="single" w:color="auto"/>
          <w:color w:val="auto"/>
        </w:rPr>
        <w:t>ANNEX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means (a) all of Borrower’s present and future accounts, payment intangibles, instruments and chattel paper (including electronic chattel paper) (all as defined in the UCC) and all other rights of Borrower to receive payments including the third-party reimbursable portion of accounts receivable owing to Borrower arising out of the delivery by Borrower of medical, surgical, diagnostic, treatment or other professional or medical or healthcare-related services and/or the supply of goods related to any of such services (whether such services are supplied by Borrower or a third party), including all health-care-insurance-receivables (as defined in the UCC) and all other rights to reimbursement under any agreements with an Obligor, (b) all accounts, general intangibles, rights, remedies, guarantees, supporting obligations, letter-of-credit rights and security interests in respect of the foregoing, and all rights of enforcement and collection, all books and records evidencing or related to the foregoing, and all rights under this Agreement in respect of the foregoing, (c) all information and data compiled or derived by Borrower in respect of such accounts receivable (other than any such information and data subject to legal restrictions of patient confidentiality), and (d) all proceeds of any of the foregoing.</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Detail File</w:t>
      </w:r>
      <w:r>
        <w:rPr>
          <w:rFonts w:ascii="Arial" w:cs="Arial" w:eastAsia="Arial" w:hAnsi="Arial"/>
          <w:sz w:val="18"/>
          <w:szCs w:val="18"/>
          <w:color w:val="auto"/>
        </w:rPr>
        <w:t>” has the meaning set forth in Section 2.02(d) hereof.</w:t>
      </w:r>
    </w:p>
    <w:p>
      <w:pPr>
        <w:spacing w:after="0" w:line="212" w:lineRule="exact"/>
        <w:rPr>
          <w:sz w:val="20"/>
          <w:szCs w:val="20"/>
          <w:color w:val="auto"/>
        </w:rPr>
      </w:pPr>
    </w:p>
    <w:p>
      <w:pPr>
        <w:jc w:val="both"/>
        <w:ind w:firstLine="83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Tranche</w:t>
      </w:r>
      <w:r>
        <w:rPr>
          <w:rFonts w:ascii="Arial" w:cs="Arial" w:eastAsia="Arial" w:hAnsi="Arial"/>
          <w:sz w:val="18"/>
          <w:szCs w:val="18"/>
          <w:color w:val="auto"/>
        </w:rPr>
        <w:t>” means an additional amount of Revolving Loan Commitment equal to Twenty Five Million and No/100 Dollars ($25,000,000.00).</w:t>
      </w:r>
    </w:p>
    <w:p>
      <w:pPr>
        <w:spacing w:after="0" w:line="18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means any monies advanced or credit extended, including the Revolving Loans to or for the benefit of Borrower by Lender, under the Credit Facility.</w:t>
      </w:r>
    </w:p>
    <w:p>
      <w:pPr>
        <w:spacing w:after="0" w:line="17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means (i) with respect to Eligible Accounts, eighty-five percent (85%) or such other percentage(s) resulting from an adjustment pursuant to Section 2.01(e) hereof and (ii) with respect to Eligible Inventory, twenty-five percent (25%) or such other percentage(s) resulting from an adjustment pursuant to Section 2.01(e) hereof.</w:t>
      </w:r>
    </w:p>
    <w:p>
      <w:pPr>
        <w:spacing w:after="0" w:line="17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Plan</w:t>
      </w:r>
      <w:r>
        <w:rPr>
          <w:rFonts w:ascii="Arial" w:cs="Arial" w:eastAsia="Arial" w:hAnsi="Arial"/>
          <w:sz w:val="17"/>
          <w:szCs w:val="17"/>
          <w:color w:val="auto"/>
        </w:rPr>
        <w:t>” means, with respect to any fiscal year of the Borrower, an annual plan approved by Borrower’s board of directors, setting forth, among other things, projected quarterly Product Revenue and Gross Profit Margins for such fiscal year (provided that solely for the purpose of determining the financial covenants set forth in Section 7.13(b) for fiscal quarters after December 31, 2023, such projected amounts and percentages for each of the fiscal years ending December 31, 2024, December 31, 2025 and December 31, 2026 on an annual basis must be (i) greater than or equal to the annual amounts or percentages, as applicable, set forth in the Lender Presentation and (ii) approved by Lender).</w:t>
      </w:r>
    </w:p>
    <w:p>
      <w:pPr>
        <w:spacing w:after="0" w:line="1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 Terrorism Laws</w:t>
      </w:r>
      <w:r>
        <w:rPr>
          <w:rFonts w:ascii="Arial" w:cs="Arial" w:eastAsia="Arial" w:hAnsi="Arial"/>
          <w:sz w:val="18"/>
          <w:szCs w:val="18"/>
          <w:color w:val="auto"/>
        </w:rPr>
        <w:t>” are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9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Borrower or its assets, any law, ordinance, policy, manual provision, administrative guidance, statute, rule or regulation, or any final and non-appealable determination of a court or other Governmental Authority, in each case applicable to or binding upon Borrower or any of its assets, or to which Borrower or any of its assets is subject.</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3.20% per annum.</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Lender</w:t>
      </w:r>
      <w:r>
        <w:rPr>
          <w:rFonts w:ascii="Arial" w:cs="Arial" w:eastAsia="Arial" w:hAnsi="Arial"/>
          <w:sz w:val="18"/>
          <w:szCs w:val="18"/>
          <w:color w:val="auto"/>
        </w:rPr>
        <w:t>” shall have the meaning set forth in Section 9.22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9" w:name="page140"/>
    <w:bookmarkEnd w:id="139"/>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Lender or any entity described in the preceding clause (i) and that, with respect to each of the preceding clauses (i) and (ii), is administered or managed by (a) Lender, (b) an Affiliate of Lender or (c) a Person (other than a natural person) or an Affiliate of a Person (other than a natural person) that administers or manages Lender.</w:t>
      </w:r>
    </w:p>
    <w:p>
      <w:pPr>
        <w:spacing w:after="0" w:line="182"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any officer, member or partner of Borrower authorized by specific resolution of such Borrower to request Revolving Loans and such other matters as set forth in the incumbency certificate referred to in Section 4.01(c) of this Agreement.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Billed Claim File</w:t>
      </w:r>
      <w:r>
        <w:rPr>
          <w:rFonts w:ascii="Arial" w:cs="Arial" w:eastAsia="Arial" w:hAnsi="Arial"/>
          <w:sz w:val="18"/>
          <w:szCs w:val="18"/>
          <w:color w:val="auto"/>
        </w:rPr>
        <w:t>” has the meaning set forth in Section 2.02(d)(ii) hereof.</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Billing Date</w:t>
      </w:r>
      <w:r>
        <w:rPr>
          <w:rFonts w:ascii="Arial" w:cs="Arial" w:eastAsia="Arial" w:hAnsi="Arial"/>
          <w:sz w:val="18"/>
          <w:szCs w:val="18"/>
          <w:color w:val="auto"/>
        </w:rPr>
        <w:t>” means the last day of the month in which the goods or services were provided.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Blocked Account</w:t>
      </w:r>
      <w:r>
        <w:rPr>
          <w:rFonts w:ascii="Arial" w:cs="Arial" w:eastAsia="Arial" w:hAnsi="Arial"/>
          <w:sz w:val="16"/>
          <w:szCs w:val="16"/>
          <w:color w:val="auto"/>
        </w:rPr>
        <w:t>” means each bank account that is established by Borrower pursuant to this Agreement and subject to a Control Agreement.</w:t>
      </w:r>
    </w:p>
    <w:p>
      <w:pPr>
        <w:spacing w:after="0" w:line="235" w:lineRule="exact"/>
        <w:rPr>
          <w:sz w:val="20"/>
          <w:szCs w:val="20"/>
          <w:color w:val="auto"/>
        </w:rPr>
      </w:pPr>
    </w:p>
    <w:p>
      <w:pPr>
        <w:jc w:val="both"/>
        <w:ind w:firstLine="749"/>
        <w:spacing w:after="0" w:line="214"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Lender is prohibited from dealing or otherwise engaging in any transaction by any Anti</w:t>
      </w:r>
      <w:r>
        <w:rPr>
          <w:rFonts w:ascii="MS PGothic" w:cs="MS PGothic" w:eastAsia="MS PGothic" w:hAnsi="MS PGothic"/>
          <w:sz w:val="17"/>
          <w:szCs w:val="17"/>
          <w:color w:val="auto"/>
        </w:rPr>
        <w:t>‑</w:t>
      </w:r>
      <w:r>
        <w:rPr>
          <w:rFonts w:ascii="Arial" w:cs="Arial" w:eastAsia="Arial" w:hAnsi="Arial"/>
          <w:sz w:val="17"/>
          <w:szCs w:val="17"/>
          <w:color w:val="auto"/>
        </w:rPr>
        <w:t>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 Hedge Transaction</w:t>
      </w:r>
      <w:r>
        <w:rPr>
          <w:rFonts w:ascii="Arial" w:cs="Arial" w:eastAsia="Arial" w:hAnsi="Arial"/>
          <w:sz w:val="18"/>
          <w:szCs w:val="18"/>
          <w:color w:val="auto"/>
        </w:rPr>
        <w:t>” has the meaning assigned to such term in the definition of “Permitted Call Spread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means Outset Medical.</w:t>
      </w:r>
    </w:p>
    <w:p>
      <w:pPr>
        <w:spacing w:after="0" w:line="2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means, at any date, an amount equal to the lesser of (a) the Revolving Loan Commitment, and (b) the sum of (w) the product of (i) the applicable Advance Rate then in effect, times (ii) the Estimated Net Value of all Eligible Accounts,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(x) the product of (i) the applicable Advance Rate then in effect, times (ii) the Estimated Net Value of all Eligible Inventory,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an amount equal to any reserves,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(z) unposted cash; provided, on any date of determination, the amount of Eligible Inventory included in the Borrowing Base shall not exceed the lesser of (1) fifty percent (50%) of the Borrowing Base and (2) $5,000,000.</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has the meaning set forth in Section 2.02(a) hereof.</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as of any date, the amount, if any, by which (a) the aggregate amount of all Advances outstanding as of such date exceeds (b) the Borrowing Base as of such date.</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Excess</w:t>
      </w:r>
      <w:r>
        <w:rPr>
          <w:rFonts w:ascii="Arial" w:cs="Arial" w:eastAsia="Arial" w:hAnsi="Arial"/>
          <w:sz w:val="18"/>
          <w:szCs w:val="18"/>
          <w:color w:val="auto"/>
        </w:rPr>
        <w:t>” means, as of any date, the amount, if any, by which (a) the Borrowing Base as of such date exceeds (b) the aggregate amount of all Advances outstanding as of such date.</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commercial banks in New York, New York are required or authorized to be closed; provided that for purposes of any direct or indirect calculation or determination of, or when used in connection with any interest rate settings, Advances, disbursements, settlements, payments, or other dealings with respect to any Revolving Loan, the term “Business Day” shall also exclude any day that is not a “U.S. Government Securities Business Day”.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0" w:name="page141"/>
    <w:bookmarkEnd w:id="140"/>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means the Coronavirus Aid, Relief, and Economic Security Act (Pub. L. No. 116-136)(H.R. 748), as amended from time to time, and all rules, requirements, regulations, and administrative guidance related to the same.</w:t>
      </w:r>
    </w:p>
    <w:p>
      <w:pPr>
        <w:spacing w:after="0" w:line="15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Lender, (d) any money market or similar funds that exclusively hold any of the foregoing, and (e) such other investment securities permitted under Borrower’s Investment Policy.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defined in Section 957 of the Code.</w:t>
      </w:r>
    </w:p>
    <w:p>
      <w:pPr>
        <w:spacing w:after="0" w:line="21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CHAMPVA</w:t>
      </w:r>
      <w:r>
        <w:rPr>
          <w:rFonts w:ascii="Arial" w:cs="Arial" w:eastAsia="Arial" w:hAnsi="Arial"/>
          <w:sz w:val="17"/>
          <w:szCs w:val="17"/>
          <w:color w:val="auto"/>
        </w:rPr>
        <w:t>” means, collectively, the Civilian Health and Medical Program of the Department of Veterans Affairs, and all Requirements of Law pertaining to such program, in each case as the same may be amended, supplemented or otherwise modified from time to time.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4.03 hereof.</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4.03 hereof.</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set forth in Section 3.01 hereof.</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Monitoring Fee</w:t>
      </w:r>
      <w:r>
        <w:rPr>
          <w:rFonts w:ascii="Arial" w:cs="Arial" w:eastAsia="Arial" w:hAnsi="Arial"/>
          <w:sz w:val="18"/>
          <w:szCs w:val="18"/>
          <w:color w:val="auto"/>
        </w:rPr>
        <w:t>” has the meaning set forth in the Fee Letter.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has the meaning set forth in Section 2.07(a) hereof.</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with respect to any Account, all cash collections on such Account.</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Lockbox</w:t>
      </w:r>
      <w:r>
        <w:rPr>
          <w:rFonts w:ascii="Arial" w:cs="Arial" w:eastAsia="Arial" w:hAnsi="Arial"/>
          <w:sz w:val="18"/>
          <w:szCs w:val="18"/>
          <w:color w:val="auto"/>
        </w:rPr>
        <w:t>” means collectively, each lockbox and/or deposit account in the name of Borrower and maintained at the Lockbox Bank, or such other bank as is acceptable to Lender, to which Collections on all Accounts are sent or deposited.</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Account</w:t>
      </w:r>
      <w:r>
        <w:rPr>
          <w:rFonts w:ascii="Arial" w:cs="Arial" w:eastAsia="Arial" w:hAnsi="Arial"/>
          <w:sz w:val="16"/>
          <w:szCs w:val="16"/>
          <w:color w:val="auto"/>
        </w:rPr>
        <w:t>” is any “commodity account” as defined in the UCC with such additions to such term as may hereafter be made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UCC.</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is that certain certificate in substantially the form attached hereto as Exhibit 6.02.</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Limits</w:t>
      </w:r>
      <w:r>
        <w:rPr>
          <w:rFonts w:ascii="Arial" w:cs="Arial" w:eastAsia="Arial" w:hAnsi="Arial"/>
          <w:sz w:val="18"/>
          <w:szCs w:val="18"/>
          <w:color w:val="auto"/>
        </w:rPr>
        <w:t xml:space="preserve">” means the various financial tests, expressed as percentages of the then current ENV of all Eligible Accounts, described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hereto as in effect from time to time.</w:t>
      </w:r>
    </w:p>
    <w:p>
      <w:pPr>
        <w:spacing w:after="0" w:line="15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either the use or administration of SOFR, any technical, administrative or operational changes (including changes to the definition of “Business Day,” the definition of “U.S. Government Securities Business Day,” timing and frequency of determining rates and making payments of interest, timing of borrowing requests or prepayment, conversion or continuation notices, the applicability and length of lookback periods and other technical, administrative or operational matters) that the Lender decides may be appropriate to reflect the adoption and implementation of any such rate or to permit the use and administration thereof by the Lender in a manner substantially consistent with market practice (or, if the Lender decides that adoption of any portion of such market practice is not administratively feasible or if the Lender determines that no market practice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1" w:name="page142"/>
    <w:bookmarkEnd w:id="141"/>
    <w:p>
      <w:pPr>
        <w:jc w:val="both"/>
        <w:spacing w:after="0" w:line="277" w:lineRule="auto"/>
        <w:rPr>
          <w:sz w:val="20"/>
          <w:szCs w:val="20"/>
          <w:color w:val="auto"/>
        </w:rPr>
      </w:pPr>
      <w:r>
        <w:rPr>
          <w:rFonts w:ascii="Arial" w:cs="Arial" w:eastAsia="Arial" w:hAnsi="Arial"/>
          <w:sz w:val="18"/>
          <w:szCs w:val="18"/>
          <w:color w:val="auto"/>
        </w:rPr>
        <w:t>the administration of any such rate exists, in such other manner of administration as the Lender decides is reasonably necessary in connection with the administration of this Agreement and the other Loan Documents).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shall have the meaning ascribed to such term in Annex II.</w:t>
      </w:r>
    </w:p>
    <w:p>
      <w:pPr>
        <w:spacing w:after="0" w:line="212"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w:t>
      </w:r>
      <w:r>
        <w:rPr>
          <w:rFonts w:ascii="MS PGothic" w:cs="MS PGothic" w:eastAsia="MS PGothic" w:hAnsi="MS PGothic"/>
          <w:sz w:val="18"/>
          <w:szCs w:val="18"/>
          <w:color w:val="auto"/>
        </w:rPr>
        <w:t>‑</w:t>
      </w:r>
      <w:r>
        <w:rPr>
          <w:rFonts w:ascii="Arial" w:cs="Arial" w:eastAsia="Arial" w:hAnsi="Arial"/>
          <w:sz w:val="18"/>
          <w:szCs w:val="18"/>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 Notwithstanding anything to the contrary in the foregoing, any Permitted Call Spread Agreement shall not constitute a Contingent Obligation of the Borrower.</w:t>
      </w:r>
    </w:p>
    <w:p>
      <w:pPr>
        <w:spacing w:after="0" w:line="19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Lender pursuant to which Lender obtains “control” (within the meaning of the UCC) over such Deposit Account, Securities Account, or Commodity Account.</w:t>
      </w:r>
    </w:p>
    <w:p>
      <w:pPr>
        <w:spacing w:after="0" w:line="194" w:lineRule="exact"/>
        <w:rPr>
          <w:sz w:val="20"/>
          <w:szCs w:val="20"/>
          <w:color w:val="auto"/>
        </w:rPr>
      </w:pPr>
    </w:p>
    <w:p>
      <w:pPr>
        <w:jc w:val="both"/>
        <w:ind w:right="20" w:firstLine="79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has the meaning set forth in Section 2.01(a) hereof.</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Cross-Default Reference Obligation</w:t>
      </w:r>
      <w:r>
        <w:rPr>
          <w:rFonts w:ascii="Arial" w:cs="Arial" w:eastAsia="Arial" w:hAnsi="Arial"/>
          <w:sz w:val="18"/>
          <w:szCs w:val="18"/>
          <w:color w:val="auto"/>
        </w:rPr>
        <w:t>” has the meaning assigned to such term in the definition of “Permitted Convertible Debt.”</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means a fixed per annum rate equal to the rate that is otherwise applicable thereto plus four percentage points (4.00%).</w:t>
      </w:r>
    </w:p>
    <w:p>
      <w:pPr>
        <w:spacing w:after="0" w:line="223" w:lineRule="exact"/>
        <w:rPr>
          <w:sz w:val="20"/>
          <w:szCs w:val="20"/>
          <w:color w:val="auto"/>
        </w:rPr>
      </w:pPr>
    </w:p>
    <w:p>
      <w:pPr>
        <w:jc w:val="both"/>
        <w:ind w:right="20"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Defaulted Account</w:t>
      </w:r>
      <w:r>
        <w:rPr>
          <w:rFonts w:ascii="Arial" w:cs="Arial" w:eastAsia="Arial" w:hAnsi="Arial"/>
          <w:sz w:val="17"/>
          <w:szCs w:val="17"/>
          <w:color w:val="auto"/>
        </w:rPr>
        <w:t>” means an Account as to which (a) the initial ENV has not been received in full as Collections within one hundred twenty (120) days of the Billing Date, or (b) Lender reasonably deems uncollectible because of the bankruptcy or insolvency of the Obligor.</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w:t>
      </w:r>
      <w:r>
        <w:rPr>
          <w:rFonts w:ascii="Arial" w:cs="Arial" w:eastAsia="Arial" w:hAnsi="Arial"/>
          <w:sz w:val="16"/>
          <w:szCs w:val="16"/>
          <w:color w:val="auto"/>
        </w:rPr>
        <w:t>” is any “deposit account” as defined in the UCC with such additions to such term as may hereafter be made under the UCC.</w:t>
      </w:r>
    </w:p>
    <w:p>
      <w:pPr>
        <w:spacing w:after="0" w:line="24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Agreement(s)</w:t>
      </w:r>
      <w:r>
        <w:rPr>
          <w:rFonts w:ascii="Arial" w:cs="Arial" w:eastAsia="Arial" w:hAnsi="Arial"/>
          <w:sz w:val="18"/>
          <w:szCs w:val="18"/>
          <w:color w:val="auto"/>
        </w:rPr>
        <w:t>” means those certain Depository Agreements entered into in connection with this Agreement among Borrower, Lender and the Lockbox Bank, relating to the Commercial Lockbox.</w:t>
      </w:r>
    </w:p>
    <w:p>
      <w:pPr>
        <w:spacing w:after="0" w:line="17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Signatory</w:t>
      </w:r>
      <w:r>
        <w:rPr>
          <w:rFonts w:ascii="Arial" w:cs="Arial" w:eastAsia="Arial" w:hAnsi="Arial"/>
          <w:sz w:val="18"/>
          <w:szCs w:val="18"/>
          <w:color w:val="auto"/>
        </w:rPr>
        <w:t>” is a senior finance officer of Borrower designated by a Responsible Officer and reasonably acceptable to Lender (provided that the VP Controller who directly reports to the Chief Financial Officer of the Company shall be an acceptable Designated Signatory). As of the Closing Date, the Designated Signatory shall be John Geraci, VP Corporate Controller.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2" w:name="page143"/>
    <w:bookmarkEnd w:id="142"/>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Download Date</w:t>
      </w:r>
      <w:r>
        <w:rPr>
          <w:rFonts w:ascii="Arial" w:cs="Arial" w:eastAsia="Arial" w:hAnsi="Arial"/>
          <w:sz w:val="18"/>
          <w:szCs w:val="18"/>
          <w:color w:val="auto"/>
        </w:rPr>
        <w:t>” has the meaning set forth in Section 2.02(d) hereof.</w:t>
      </w:r>
    </w:p>
    <w:p>
      <w:pPr>
        <w:spacing w:after="0" w:line="21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w:t>
      </w:r>
      <w:r>
        <w:rPr>
          <w:rFonts w:ascii="Arial" w:cs="Arial" w:eastAsia="Arial" w:hAnsi="Arial"/>
          <w:sz w:val="18"/>
          <w:szCs w:val="18"/>
          <w:color w:val="auto"/>
        </w:rPr>
        <w:t>” means an Account owing to Borrower that arises in the Ordinary Course of Business from the sale of goods or rendition of services, is payable in Dollars and is deemed by Lender, in its Permitted Discretion, to be an eligible Account. Without limiting the generality of the foregoing, the defined term Eligible Account includes an Account of Borrower;</w:t>
      </w:r>
    </w:p>
    <w:p>
      <w:pPr>
        <w:spacing w:after="0" w:line="175" w:lineRule="exact"/>
        <w:rPr>
          <w:sz w:val="20"/>
          <w:szCs w:val="20"/>
          <w:color w:val="auto"/>
        </w:rPr>
      </w:pPr>
    </w:p>
    <w:p>
      <w:pPr>
        <w:ind w:right="20" w:firstLine="1505"/>
        <w:spacing w:after="0" w:line="261" w:lineRule="auto"/>
        <w:tabs>
          <w:tab w:leader="none" w:pos="18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which is a liability of an Obligor which is organized under the laws of any jurisdiction in the United States, having its principal office in the United States, and which is not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hereto as an ineligible Obligor;</w:t>
      </w:r>
    </w:p>
    <w:p>
      <w:pPr>
        <w:spacing w:after="0" w:line="184"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Obligor of which is not an Affiliate of Borrower;</w:t>
      </w:r>
    </w:p>
    <w:p>
      <w:pPr>
        <w:spacing w:after="0" w:line="211" w:lineRule="exact"/>
        <w:rPr>
          <w:rFonts w:ascii="Arial" w:cs="Arial" w:eastAsia="Arial" w:hAnsi="Arial"/>
          <w:sz w:val="18"/>
          <w:szCs w:val="18"/>
          <w:color w:val="auto"/>
        </w:rPr>
      </w:pPr>
    </w:p>
    <w:p>
      <w:pPr>
        <w:ind w:firstLine="1505"/>
        <w:spacing w:after="0" w:line="261" w:lineRule="auto"/>
        <w:tabs>
          <w:tab w:leader="none" w:pos="18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after the Initial Revolving Loan Advance Date, the Obligor of which has received a letter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4.02(c)</w:t>
      </w:r>
      <w:r>
        <w:rPr>
          <w:rFonts w:ascii="Arial" w:cs="Arial" w:eastAsia="Arial" w:hAnsi="Arial"/>
          <w:sz w:val="18"/>
          <w:szCs w:val="18"/>
          <w:color w:val="auto"/>
        </w:rPr>
        <w:t xml:space="preserve"> to the extent such Obligor had historically not made payments to the Commercial Lockbox,</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to which the representations and warranties of Section 5.17 hereof are true;</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which is not an Individual Payor Account;</w:t>
      </w:r>
    </w:p>
    <w:p>
      <w:pPr>
        <w:spacing w:after="0" w:line="207"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which is not outstanding more than one hundred twenty (120) days past the Billing Date</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Obligor on which does not have fifty percent (50%) or more of its Accounts owing to Borrower constituting Defaulted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Accounts;</w:t>
      </w:r>
    </w:p>
    <w:p>
      <w:pPr>
        <w:spacing w:after="0" w:line="197" w:lineRule="exact"/>
        <w:rPr>
          <w:rFonts w:ascii="Arial" w:cs="Arial" w:eastAsia="Arial" w:hAnsi="Arial"/>
          <w:sz w:val="17"/>
          <w:szCs w:val="17"/>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the extent such Account does not include late charges or finance charges;</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which is not subject to a dispute between the Obligor and Borrower;</w:t>
      </w:r>
    </w:p>
    <w:p>
      <w:pPr>
        <w:spacing w:after="0" w:line="225" w:lineRule="exact"/>
        <w:rPr>
          <w:rFonts w:ascii="Arial" w:cs="Arial" w:eastAsia="Arial" w:hAnsi="Arial"/>
          <w:sz w:val="18"/>
          <w:szCs w:val="18"/>
          <w:color w:val="auto"/>
        </w:rPr>
      </w:pPr>
    </w:p>
    <w:p>
      <w:pPr>
        <w:ind w:right="20" w:firstLine="1505"/>
        <w:spacing w:after="0" w:line="324" w:lineRule="auto"/>
        <w:tabs>
          <w:tab w:leader="none" w:pos="185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which is not owing by a creditor or supplier, or otherwise subject to a potential offset, counterclaim, dispute, deduction, discount, recoupment, reserve, defense, chargeback, credit or allowance (but ineligibility shall be limited to the accrued but not taken amount thereof);</w:t>
      </w:r>
    </w:p>
    <w:p>
      <w:pPr>
        <w:spacing w:after="0" w:line="124" w:lineRule="exact"/>
        <w:rPr>
          <w:rFonts w:ascii="Arial" w:cs="Arial" w:eastAsia="Arial" w:hAnsi="Arial"/>
          <w:sz w:val="16"/>
          <w:szCs w:val="16"/>
          <w:color w:val="auto"/>
        </w:rPr>
      </w:pPr>
    </w:p>
    <w:p>
      <w:pPr>
        <w:ind w:firstLine="1505"/>
        <w:spacing w:after="0" w:line="277" w:lineRule="auto"/>
        <w:tabs>
          <w:tab w:leader="none" w:pos="18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which an action for the bankruptcy, insolvency, receivership, assignment for the benefit of creditors, dissolution or liquidation, or similar proceeding under any federal or state law has not been commenced by or against the Obligor;</w:t>
      </w:r>
    </w:p>
    <w:p>
      <w:pPr>
        <w:spacing w:after="0" w:line="156" w:lineRule="exact"/>
        <w:rPr>
          <w:rFonts w:ascii="Arial" w:cs="Arial" w:eastAsia="Arial" w:hAnsi="Arial"/>
          <w:sz w:val="18"/>
          <w:szCs w:val="18"/>
          <w:color w:val="auto"/>
        </w:rPr>
      </w:pPr>
    </w:p>
    <w:p>
      <w:pPr>
        <w:ind w:left="1860" w:hanging="355"/>
        <w:spacing w:after="0"/>
        <w:tabs>
          <w:tab w:leader="none" w:pos="18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Obligor on such Account, has not failed, suspended or ceased doing business, is not liquidating, dissolving or winding up its</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affairs;</w:t>
      </w:r>
    </w:p>
    <w:p>
      <w:pPr>
        <w:spacing w:after="0" w:line="209" w:lineRule="exact"/>
        <w:rPr>
          <w:rFonts w:ascii="Arial" w:cs="Arial" w:eastAsia="Arial" w:hAnsi="Arial"/>
          <w:sz w:val="16"/>
          <w:szCs w:val="16"/>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Obligor on which is not insolvent;</w:t>
      </w:r>
    </w:p>
    <w:p>
      <w:pPr>
        <w:spacing w:after="0" w:line="211" w:lineRule="exact"/>
        <w:rPr>
          <w:rFonts w:ascii="Arial" w:cs="Arial" w:eastAsia="Arial" w:hAnsi="Arial"/>
          <w:sz w:val="18"/>
          <w:szCs w:val="18"/>
          <w:color w:val="auto"/>
        </w:rPr>
      </w:pPr>
    </w:p>
    <w:p>
      <w:pPr>
        <w:ind w:right="40" w:firstLine="1505"/>
        <w:spacing w:after="0" w:line="291" w:lineRule="auto"/>
        <w:tabs>
          <w:tab w:leader="none" w:pos="185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which is owing by a Governmental Authority, unless, in the case of the Obligor being the United States or any department, agency or instrumentality thereof, the Account has been assigned to Lender in compliance with the federal Assignment of Claims Act;</w:t>
      </w:r>
    </w:p>
    <w:p>
      <w:pPr>
        <w:spacing w:after="0" w:line="146" w:lineRule="exact"/>
        <w:rPr>
          <w:rFonts w:ascii="Arial" w:cs="Arial" w:eastAsia="Arial" w:hAnsi="Arial"/>
          <w:sz w:val="17"/>
          <w:szCs w:val="17"/>
          <w:color w:val="auto"/>
        </w:rPr>
      </w:pPr>
    </w:p>
    <w:p>
      <w:pPr>
        <w:ind w:left="1860" w:hanging="355"/>
        <w:spacing w:after="0"/>
        <w:tabs>
          <w:tab w:leader="none" w:pos="1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which is subject to a duly perfected, first priority Lien in favor of Lender;</w:t>
      </w:r>
    </w:p>
    <w:p>
      <w:pPr>
        <w:spacing w:after="0" w:line="225"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goods giving rise to which Account have been delivered to the Obligor, the services giving rise to which Account have been accepted by the Obligor, or such Account otherwise represents a final sale;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3" w:name="page144"/>
    <w:bookmarkEnd w:id="143"/>
    <w:p>
      <w:pPr>
        <w:ind w:left="1860" w:hanging="355"/>
        <w:spacing w:after="0"/>
        <w:tabs>
          <w:tab w:leader="none" w:pos="1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which is not evidenced by Chattel Paper or an Instrument of any kind, or has not been reduced to judgment;</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payment of which has not been extended or the Obligor on which has not made a partial payment;</w:t>
      </w:r>
    </w:p>
    <w:p>
      <w:pPr>
        <w:spacing w:after="0" w:line="211"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which does not arise from a sale on a cash-on-delivery, bill-and-hold, sale-or-return, sale-on-approval, consignment, or other repurchase or return basis, or from a sale for personal, family or household purposes; or</w:t>
      </w:r>
    </w:p>
    <w:p>
      <w:pPr>
        <w:spacing w:after="0" w:line="184"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which does not represent a progress billing or retainage, or relate to services for which a performance, surety or completion bond or similar assurance has been issued; and</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which complies with such other criteria and requirements as may be specified from time to time by Lender in its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Discretion.</w:t>
      </w:r>
    </w:p>
    <w:p>
      <w:pPr>
        <w:spacing w:after="0" w:line="19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is (i) an Affiliate of Lender, (ii) an Approved Fund and (iii)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Two Billion Five Hundred Million Dollars ($2,500,000,000.00); provided that notwithstanding the foregoing, “Eligible Assignee” shall not include, unless an Event of Default has occurred and is continuing, (i) Borrower or any of Borrower’s Affiliates or Subsidiaries or (ii) a then-current direct competitor of Borrower, vulture fund or distress investment fund, as reasonably determined by Lender in its reasonable discretion. Notwithstanding the foregoing, (x) in connection with any assignment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Lender shall have received and accepted an effective assignment agreement from such Person or party in form satisfactory to Lender executed, delivered and fully completed by the applicable parties thereto, and shall have received such other information regarding such Eligible Assignee as Lender reasonably shall require.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Inventory of Borrower which meets each of the following requirements:</w:t>
      </w:r>
    </w:p>
    <w:p>
      <w:pPr>
        <w:spacing w:after="0" w:line="212" w:lineRule="exact"/>
        <w:rPr>
          <w:sz w:val="20"/>
          <w:szCs w:val="20"/>
          <w:color w:val="auto"/>
        </w:rPr>
      </w:pPr>
    </w:p>
    <w:p>
      <w:pPr>
        <w:ind w:left="1860" w:hanging="355"/>
        <w:spacing w:after="0"/>
        <w:tabs>
          <w:tab w:leader="none" w:pos="1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it (i) is subject to a perfected, first priority Lien in favor of Lender and (ii) is not subject to any other assignment, claim or Lien;</w:t>
      </w:r>
    </w:p>
    <w:p>
      <w:pPr>
        <w:spacing w:after="0" w:line="223" w:lineRule="exact"/>
        <w:rPr>
          <w:rFonts w:ascii="Arial" w:cs="Arial" w:eastAsia="Arial" w:hAnsi="Arial"/>
          <w:sz w:val="17"/>
          <w:szCs w:val="17"/>
          <w:color w:val="auto"/>
        </w:rPr>
      </w:pPr>
    </w:p>
    <w:p>
      <w:pPr>
        <w:ind w:left="1860" w:hanging="355"/>
        <w:spacing w:after="0"/>
        <w:tabs>
          <w:tab w:leader="none" w:pos="18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is salable and not slow-moving, obsolete or discontinued;</w:t>
      </w:r>
    </w:p>
    <w:p>
      <w:pPr>
        <w:spacing w:after="0" w:line="225" w:lineRule="exact"/>
        <w:rPr>
          <w:rFonts w:ascii="Arial" w:cs="Arial" w:eastAsia="Arial" w:hAnsi="Arial"/>
          <w:sz w:val="18"/>
          <w:szCs w:val="18"/>
          <w:color w:val="auto"/>
        </w:rPr>
      </w:pPr>
    </w:p>
    <w:p>
      <w:pPr>
        <w:jc w:val="both"/>
        <w:ind w:firstLine="1505"/>
        <w:spacing w:after="0" w:line="248" w:lineRule="auto"/>
        <w:tabs>
          <w:tab w:leader="none" w:pos="18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is in the possession and control of Borrower and it is stored and held in facilities owned by Borrower or, if such facilities are not so owned, Lender (i) is in possession of a landlord waiver with respect thereto or (ii) has established reserves against the Borrowing Base with respect thereto in its Permitted Discretion;</w:t>
      </w:r>
    </w:p>
    <w:p>
      <w:pPr>
        <w:spacing w:after="0" w:line="195" w:lineRule="exact"/>
        <w:rPr>
          <w:rFonts w:ascii="Arial" w:cs="Arial" w:eastAsia="Arial" w:hAnsi="Arial"/>
          <w:sz w:val="18"/>
          <w:szCs w:val="18"/>
          <w:color w:val="auto"/>
        </w:rPr>
      </w:pPr>
    </w:p>
    <w:p>
      <w:pPr>
        <w:ind w:firstLine="1505"/>
        <w:spacing w:after="0" w:line="261" w:lineRule="auto"/>
        <w:tabs>
          <w:tab w:leader="none" w:pos="18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it is not Inventory produced in violation of the Fair Labor Standards Act, 29 U.S.C. §201 </w:t>
      </w:r>
      <w:r>
        <w:rPr>
          <w:rFonts w:ascii="Arial" w:cs="Arial" w:eastAsia="Arial" w:hAnsi="Arial"/>
          <w:sz w:val="18"/>
          <w:szCs w:val="18"/>
          <w:u w:val="single" w:color="auto"/>
          <w:color w:val="auto"/>
        </w:rPr>
        <w:t>et seq</w:t>
      </w:r>
      <w:r>
        <w:rPr>
          <w:rFonts w:ascii="Arial" w:cs="Arial" w:eastAsia="Arial" w:hAnsi="Arial"/>
          <w:sz w:val="18"/>
          <w:szCs w:val="18"/>
          <w:color w:val="auto"/>
        </w:rPr>
        <w:t>. and subject to the “hot goods” provisions contained in Title 29 U.S.C. § 215 (as amended from time to time or any successor statute);</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it is not subject to any agreement or license which would restrict Lender’s ability to sell or otherwise dispose of such Inventory;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4" w:name="page145"/>
    <w:bookmarkEnd w:id="144"/>
    <w:p>
      <w:pPr>
        <w:ind w:left="1860" w:hanging="355"/>
        <w:spacing w:after="0"/>
        <w:tabs>
          <w:tab w:leader="none" w:pos="18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it is located in the United States or in any territory or possession of the United States that has adopted Article 9 of the Uniform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Commercial Code;</w:t>
      </w:r>
    </w:p>
    <w:p>
      <w:pPr>
        <w:spacing w:after="0" w:line="197" w:lineRule="exact"/>
        <w:rPr>
          <w:sz w:val="20"/>
          <w:szCs w:val="20"/>
          <w:color w:val="auto"/>
        </w:rPr>
      </w:pPr>
    </w:p>
    <w:p>
      <w:pPr>
        <w:ind w:left="1860" w:hanging="355"/>
        <w:spacing w:after="0"/>
        <w:tabs>
          <w:tab w:leader="none" w:pos="18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is not “in transit” to Borrower or held by Borrower on consignment;</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is not “work-in-progress” Inventory but “finished goods” Inventory;</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is not supply items or packaging;</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it is not identified to any purchase order or contract to the extent progress or advance payments are received with respect to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09"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it does not breach any of the representations, warranties or covenants pertaining to Inventory set forth in the Loan Documents;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96" w:lineRule="exact"/>
        <w:rPr>
          <w:sz w:val="20"/>
          <w:szCs w:val="20"/>
          <w:color w:val="auto"/>
        </w:rPr>
      </w:pPr>
    </w:p>
    <w:p>
      <w:pPr>
        <w:ind w:right="20" w:firstLine="1505"/>
        <w:spacing w:after="0" w:line="261" w:lineRule="auto"/>
        <w:tabs>
          <w:tab w:leader="none" w:pos="185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Lender shall not have determined in its Permitted Discretion that it is unacceptable due to age, type, category, quality, quantity and/or any other reason whatsoever.</w:t>
      </w:r>
    </w:p>
    <w:p>
      <w:pPr>
        <w:spacing w:after="0" w:line="18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Inventory which is at any time Eligible Inventory but which, on any date of determination, subsequently fails to meet any of the foregoing requirements shall forthwith cease to be Eligible Inventory.</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means, collectively, any local, state or federal law, rule or regulation or common-law duty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including the Comprehensive Environmental Response, Compensation and Liability Act of 1980 (42 U.S.C. §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Resource Conservation and Recovery Act of 1976 (42 U.S.C. § 6901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Federal Water Pollution Control Act (33 U.S.C. § 1251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Hazardous Materials Transportation Act (49 U.S.C. § 5101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Clean Air Act (42 U.S.C. § 7401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Federal Insecticide, Fungicide and Rodenticide Act (7 U.S.C. § 136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Emergency Planning and Community Right-to-Know Act (42 U.S.C. § 11001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Residential Lead-Based Paint Hazard Reduction Act (42 U.S.C. § 4851 </w:t>
      </w:r>
      <w:r>
        <w:rPr>
          <w:rFonts w:ascii="Arial" w:cs="Arial" w:eastAsia="Arial" w:hAnsi="Arial"/>
          <w:sz w:val="17"/>
          <w:szCs w:val="17"/>
          <w:u w:val="single" w:color="auto"/>
          <w:color w:val="auto"/>
        </w:rPr>
        <w:t>et seq.</w:t>
      </w:r>
      <w:r>
        <w:rPr>
          <w:rFonts w:ascii="Arial" w:cs="Arial" w:eastAsia="Arial" w:hAnsi="Arial"/>
          <w:sz w:val="17"/>
          <w:szCs w:val="17"/>
          <w:color w:val="auto"/>
        </w:rPr>
        <w:t>), any analogous state or local laws, any amendments thereto, and the regulations promulgated pursuant to said laws, together with all amendments from time to time to any of the foregoing.</w:t>
      </w:r>
    </w:p>
    <w:p>
      <w:pPr>
        <w:spacing w:after="0" w:line="194" w:lineRule="exact"/>
        <w:rPr>
          <w:sz w:val="20"/>
          <w:szCs w:val="20"/>
          <w:color w:val="auto"/>
        </w:rPr>
      </w:pPr>
    </w:p>
    <w:p>
      <w:pPr>
        <w:jc w:val="both"/>
        <w:ind w:right="20"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Equipment</w:t>
      </w:r>
      <w:r>
        <w:rPr>
          <w:rFonts w:ascii="Arial" w:cs="Arial" w:eastAsia="Arial" w:hAnsi="Arial"/>
          <w:sz w:val="17"/>
          <w:szCs w:val="17"/>
          <w:color w:val="auto"/>
        </w:rPr>
        <w:t>” is all “equipment” as defined in the UCC with such additions to such term as may hereafter be made under the UCC, and includes without limitation all machinery, fixtures, goods, vehicles (including motor vehicles and trailers), and any interest in any of the foregoing.</w:t>
      </w:r>
    </w:p>
    <w:p>
      <w:pPr>
        <w:spacing w:after="0" w:line="147" w:lineRule="exact"/>
        <w:rPr>
          <w:sz w:val="20"/>
          <w:szCs w:val="20"/>
          <w:color w:val="auto"/>
        </w:rPr>
      </w:pPr>
    </w:p>
    <w:p>
      <w:pPr>
        <w:jc w:val="both"/>
        <w:ind w:right="20" w:firstLine="8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 from time to time.</w:t>
      </w:r>
    </w:p>
    <w:p>
      <w:pPr>
        <w:spacing w:after="0" w:line="184" w:lineRule="exact"/>
        <w:rPr>
          <w:sz w:val="20"/>
          <w:szCs w:val="20"/>
          <w:color w:val="auto"/>
        </w:rPr>
      </w:pPr>
    </w:p>
    <w:p>
      <w:pPr>
        <w:jc w:val="both"/>
        <w:ind w:firstLine="807"/>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Net Value</w:t>
      </w:r>
      <w:r>
        <w:rPr>
          <w:rFonts w:ascii="Arial" w:cs="Arial" w:eastAsia="Arial" w:hAnsi="Arial"/>
          <w:sz w:val="17"/>
          <w:szCs w:val="17"/>
          <w:color w:val="auto"/>
        </w:rPr>
        <w:t>” or “</w:t>
      </w:r>
      <w:r>
        <w:rPr>
          <w:rFonts w:ascii="Arial" w:cs="Arial" w:eastAsia="Arial" w:hAnsi="Arial"/>
          <w:sz w:val="17"/>
          <w:szCs w:val="17"/>
          <w:u w:val="single" w:color="auto"/>
          <w:color w:val="auto"/>
        </w:rPr>
        <w:t>ENV</w:t>
      </w:r>
      <w:r>
        <w:rPr>
          <w:rFonts w:ascii="Arial" w:cs="Arial" w:eastAsia="Arial" w:hAnsi="Arial"/>
          <w:sz w:val="17"/>
          <w:szCs w:val="17"/>
          <w:color w:val="auto"/>
        </w:rPr>
        <w:t>” means on any date of calculation (i) with respect to any Account, an amount equal to the anticipated cash collections as calculated by Lender based upon the applicable Borrower’s historical cash collection and adjustments history in a manner consistent with Lender’s underwriting procedures in its Permitted Discretion, except that if Lender determines that all Obligor payments with respect to an Account have been made or if an Account has become a Defaulted Account, the ENV of such Account shall be zero, and (ii) with respect to Inventory, the lower of (y) Borrower’s cost to acquire such Inventory and (z) the fair market value of such Inventory as of such date of determination.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8.01 hereof.</w:t>
      </w:r>
    </w:p>
    <w:p>
      <w:pPr>
        <w:spacing w:after="0" w:line="22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means (a) any Deposit Account of Borrower or any Subsidiary that is used by such Person solely as a payroll account for the employees of Borrower or its Subsidiaries, provided that the aggregate balance maintained therein shall not exceed the aggregate amount of such payments to be paid in the then next two (2) payroll periods or the funds in which consist solely of funds held by the Borrower in trust for any director, officer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5" w:name="page146"/>
    <w:bookmarkEnd w:id="145"/>
    <w:p>
      <w:pPr>
        <w:jc w:val="both"/>
        <w:spacing w:after="0" w:line="260" w:lineRule="auto"/>
        <w:rPr>
          <w:sz w:val="20"/>
          <w:szCs w:val="20"/>
          <w:color w:val="auto"/>
        </w:rPr>
      </w:pPr>
      <w:r>
        <w:rPr>
          <w:rFonts w:ascii="Arial" w:cs="Arial" w:eastAsia="Arial" w:hAnsi="Arial"/>
          <w:sz w:val="17"/>
          <w:szCs w:val="17"/>
          <w:color w:val="auto"/>
        </w:rPr>
        <w:t>or employee of the Borrower or any employee benefit plan maintained by the Borrower in the ordinary course of business or funds representing deferred compensation for the directors and employees of the Borrower, (b) escrow accounts, Collateral Accounts and trust accounts, in each case either securing Permitted Liens or otherwise entered into in the ordinary course of business, (c) [reserved], (d) Collateral Accounts and securities accounts held in jurisdictions outside the United States, (e) payment processing accounts or merchant accounts or segregated accounts solely to the extent such payment processing accounts, merchant accounts or segregated accounts hold receivables owing by a Governmental Authority (provided that any balance thereof is swept daily into Collateral Accounts pursuant to depository agreements in form and substance reasonably satisfactory to Lender), (f) segregated accounts holding Medicare/Medicaid receivables (provided that any balance thereof is swept daily into Collateral Accounts pursuant to depository agreements in form and substance reasonably satisfactory to Lender) and (g) so long as Borrower shall have complied with the requirements of Section 6.18(b) within the timeframe set forth therein, the Specified Account.</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shall have the meaning set forth in Section 3.01 hereof.</w:t>
      </w:r>
    </w:p>
    <w:p>
      <w:pPr>
        <w:spacing w:after="0" w:line="21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any Subsidiary that is prohibited by any applicable law or, on the date such Subsidiary is acquired (provided, that such prohibition is not be created in contemplation of such acquisition), its Operating Documents, in each case, from guaranteeing the Obligations; (b) any Subsidiary that is prohibited by any contractual obligation that existed on the date any such Subsidiary is acquired (provided, that such prohibition is not created in contemplation of such acquisition) from guaranteeing the Obligations; (c) any Subsidiary to the extent that the provision of any guarantee of the Obligations would require the consent, approval, license or authorization of any governmental authority which has not been obtained; (d) any Subsidiary that is subject to such restrictions (provided that after such time that such restrictions on subsidiary guarantees are waived, lapse, terminate or are no longer effective, such Subsidiary shall no longer be an Excluded Subsidiary by virtue of this clause (d)); (e) any Subsidiary that is (i) a CFC or FSHCO or (ii) a Subsidiary of a CFC or FSHCO, in each case of this clause (e), to the extent that the pledge of all of the equity interests of such Subsidiary as Collateral or the guarantee by such Subsidiary of the Obligations would result in material adverse tax consequences to Borrower (as reasonably determined by Borrower and Lender); (f) any Subsidiary for which the provision of a subsidiary guarantee would result in a material adverse tax or regulatory consequence to Borrower or a violation of fiduciary duties of the directors or officers of such Subsidiary, in each case, as reasonably determined by Borrower; and (g) any Subsidiary that (i) owns properties and assets with an aggregate fair market value (as reasonably determined in good faith by Borrower and on a consolidated basis) less than Two Hundred Fifty Thousand Dollars ($250,000.00) and (ii) has annual revenues (other than revenues from transfer pricing transactions or “cost-plus” revenues) less than Two Hundred Fifty Thousand Dollars ($250,000.00); provided that all Subsidiaries excluded pursuant to this clause (g) together shall not (i) own properties and assets with an aggregate fair market value (as reasonably determined in good faith by Borrower and on a consolidated basis) less than One Million Dollars ($1,000,000.00) or (ii) have annual revenues (other than revenues from transfer pricing transactions or “cost-plus” revenues) greater than One Million Dollars ($1,000,000.00). Notwithstanding anything to the contrary herein, no Subsidiary shall be an Excluded Subsidiary if it is a guarantor or obligor under the Term Loan Documents.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shall have the meaning ascribed to such term in Annex II.</w:t>
      </w:r>
    </w:p>
    <w:p>
      <w:pPr>
        <w:spacing w:after="0" w:line="21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Exigent Circumstance</w:t>
      </w:r>
      <w:r>
        <w:rPr>
          <w:rFonts w:ascii="Arial" w:cs="Arial" w:eastAsia="Arial" w:hAnsi="Arial"/>
          <w:sz w:val="16"/>
          <w:szCs w:val="16"/>
          <w:color w:val="auto"/>
        </w:rPr>
        <w:t>” means any event or circumstance that, in the reasonable judgment of the Lender, imminently threatens the ability of the Lender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the Lender, could reasonably be expected to result in a material diminution in value of the Collateral.</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has the meaning set forth in Section 9.05(a) hereof.</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have the meaning ascribed to such term in Annex II.</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and any Governmental Authority successor thereto.</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6" w:name="page147"/>
    <w:bookmarkEnd w:id="146"/>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the Closing Date, between Borrower and the Lender, as amended, amended and restated, supplemented or otherwise modified from time to time.</w:t>
      </w:r>
    </w:p>
    <w:p>
      <w:pPr>
        <w:spacing w:after="0" w:line="15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means any Subsidiary that does not have (and is not treated as having for U.S. federal income tax purposes) any material assets other than capital stock (or capital stock and debt interests) of one or more Subsidiaries that are CFCs or other entities described in this definition.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has the meaning set forth in Section 2.02(a) hereof.</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are all “general intangibles” as defined in the UCC in effect on the date hereof with such additions to such term as may hereafter be made under the UCC,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9" w:lineRule="exact"/>
        <w:rPr>
          <w:sz w:val="20"/>
          <w:szCs w:val="20"/>
          <w:color w:val="auto"/>
        </w:rPr>
      </w:pPr>
    </w:p>
    <w:p>
      <w:pPr>
        <w:jc w:val="both"/>
        <w:ind w:right="20"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Approval</w:t>
      </w:r>
      <w:r>
        <w:rPr>
          <w:rFonts w:ascii="Arial" w:cs="Arial" w:eastAsia="Arial" w:hAnsi="Arial"/>
          <w:sz w:val="17"/>
          <w:szCs w:val="17"/>
          <w:color w:val="auto"/>
        </w:rPr>
        <w:t>” is any consent, authorization, license, certification, clearance, exemption, approval, order, license, franchise, permit, certificate, accreditation, registration, filing or notice, of, issued by, from or to, or other act by or in respect of, any Governmental Authority.</w:t>
      </w:r>
    </w:p>
    <w:p>
      <w:pPr>
        <w:spacing w:after="0" w:line="14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(including, without limitation, the FDA), court, central bank or other entity exercising executive, legislative, judicial, taxing, regulatory or administrative functions of or pertaining to government. Governmental Authority shall include any agency, branch or other governmental body charged with the responsibility and/or vested with the authority to administer and/or enforce any Healthcare Laws.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Reimbursement Program</w:t>
      </w:r>
      <w:r>
        <w:rPr>
          <w:rFonts w:ascii="Arial" w:cs="Arial" w:eastAsia="Arial" w:hAnsi="Arial"/>
          <w:sz w:val="16"/>
          <w:szCs w:val="16"/>
          <w:color w:val="auto"/>
        </w:rPr>
        <w:t>” means (a) Medicare, (b) Medicaid, (c) the Federal Employees Health Benefit Program under 5 U.S.C. §</w:t>
      </w:r>
    </w:p>
    <w:p>
      <w:pPr>
        <w:spacing w:after="0" w:line="35" w:lineRule="exact"/>
        <w:rPr>
          <w:sz w:val="20"/>
          <w:szCs w:val="20"/>
          <w:color w:val="auto"/>
        </w:rPr>
      </w:pPr>
    </w:p>
    <w:p>
      <w:pPr>
        <w:ind w:firstLine="8"/>
        <w:spacing w:after="0" w:line="243" w:lineRule="auto"/>
        <w:tabs>
          <w:tab w:leader="none" w:pos="1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8902 et seq., (d) TRICARE, (e) CHAMPVA, or (f) if applicable within the context of this Agreement, any agent, administrator, administrative contractor, intermediary or carrier for any of the foregoing.</w:t>
      </w:r>
    </w:p>
    <w:p>
      <w:pPr>
        <w:spacing w:after="0" w:line="18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Profit Margin</w:t>
      </w:r>
      <w:r>
        <w:rPr>
          <w:rFonts w:ascii="Arial" w:cs="Arial" w:eastAsia="Arial" w:hAnsi="Arial"/>
          <w:sz w:val="18"/>
          <w:szCs w:val="18"/>
          <w:color w:val="auto"/>
        </w:rPr>
        <w:t>” means a percentage equal to: (x)(1) Product Revenue of Borrower minus (2) the total cost of goods sold (as determined in accordance with GAAP but excluding any stock-based compensation expense) divided by (y) Product Revenue of Borrower.</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is any Person providing a Guaranty in favor of the Lender (including without limitation pursuant to Section 6.10).</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substances defined or designated as hazardous or toxic waste, hazardous or toxic material, hazardous or toxic substance or similar term, by any environmental statute, rule or regulation of any governmental entity presently in effect and applicable to such real property.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7" w:name="page148"/>
    <w:bookmarkEnd w:id="147"/>
    <w:p>
      <w:pPr>
        <w:jc w:val="both"/>
        <w:ind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Healthcare Laws</w:t>
      </w:r>
      <w:r>
        <w:rPr>
          <w:rFonts w:ascii="Arial" w:cs="Arial" w:eastAsia="Arial" w:hAnsi="Arial"/>
          <w:sz w:val="17"/>
          <w:szCs w:val="17"/>
          <w:color w:val="auto"/>
        </w:rPr>
        <w:t xml:space="preserve">” means: (a) any and all federal, state and local fraud and abuse laws, including (i) the federal Anti-Kickback Statute (42 U.S.C. § 1320a-7b(b)), (ii) the Stark Law (42 U.S.C. § 1395nn and § 1395(q)), (iii) the civil False Claims Act (31 U.S.C. § 3729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the criminal false statements law (42 U.S.C. § 1320a-7b(a)), (iv) Sections 1320a-7, 1320a-7a and 1320a-7h of Title 42 of the United States Code and all criminal laws relating to health care fraud and abuse, including but not limited to 18 U.S.C. §§ 286, 287, 1035, 1347, 1349, and (v) the regulations promulgated pursuant to such statutes; (b) the federal Food, Drug &amp; Cosmetic Act (21 U.S.C. § § 301 </w:t>
      </w:r>
      <w:r>
        <w:rPr>
          <w:rFonts w:ascii="Arial" w:cs="Arial" w:eastAsia="Arial" w:hAnsi="Arial"/>
          <w:sz w:val="17"/>
          <w:szCs w:val="17"/>
          <w:u w:val="single" w:color="auto"/>
          <w:color w:val="auto"/>
        </w:rPr>
        <w:t>et seq.</w:t>
      </w:r>
      <w:r>
        <w:rPr>
          <w:rFonts w:ascii="Arial" w:cs="Arial" w:eastAsia="Arial" w:hAnsi="Arial"/>
          <w:sz w:val="17"/>
          <w:szCs w:val="17"/>
          <w:color w:val="auto"/>
        </w:rPr>
        <w:t>) and the regulations promulgated pursuant thereunder; (c) any and all federal, state and local data privacy and security laws, including HIPAA; (d) laws, rules and regulations governing any Government Reimbursement Program; (e) the Medicare Prescription Drug, Improvement, and Modernization Act of 2003 (Pub. L. No. 108-173) and the regulations promulgated pursuant thereto; (f) quality, safety, life safety, and accreditation standards and requirements of all applicable state laws or regulatory bodies; (g) any Applicable Law relating to the testing, development, sale, marketing, manufacture, packaging, processing, use, distribution, storage, import, export or disposal of Borrower’s or any Subsidiary’s products or product candidates; and (h) any Applicable Law relating to the billing or submission of claims, collection of accounts receivable, underwriting the cost of, or provision of management or administrative services in connection with, any and all of the foregoing, by Borrower, each of (a) through (h) as may be amended from time to time.</w:t>
      </w:r>
    </w:p>
    <w:p>
      <w:pPr>
        <w:spacing w:after="0" w:line="17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Permits</w:t>
      </w:r>
      <w:r>
        <w:rPr>
          <w:rFonts w:ascii="Arial" w:cs="Arial" w:eastAsia="Arial" w:hAnsi="Arial"/>
          <w:sz w:val="18"/>
          <w:szCs w:val="18"/>
          <w:color w:val="auto"/>
        </w:rPr>
        <w:t>” means any and all permits, licenses, authorizations, certificates, clearances, exemptions, registrations, approvals, certificates of need, accreditations and plans of third-party accreditation agencies required under any Healthcare Law.</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Proceeding</w:t>
      </w:r>
      <w:r>
        <w:rPr>
          <w:rFonts w:ascii="Arial" w:cs="Arial" w:eastAsia="Arial" w:hAnsi="Arial"/>
          <w:sz w:val="18"/>
          <w:szCs w:val="18"/>
          <w:color w:val="auto"/>
        </w:rPr>
        <w:t>” means any audits, hearings, litigation or proceedings (in each case, whether civil, criminal, administrative or investigative) concerning any alleged or actual non-compliance by Borrower with any Healthcare Laws or the requirements of any Healthcare Permit (including any audits or procedures initiated by an Attorney General, the Office of Inspector General, the Department of Justice or any similar governmental agencies or contractors for such agencies).</w:t>
      </w:r>
    </w:p>
    <w:p>
      <w:pPr>
        <w:spacing w:after="0" w:line="181"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all liabilities under take-or-pay or similar arrangements or under any interest rate swaps, caps, floors, collars and other interest hedge or protection agreements, treasury locks, equity forward contracts, currency agreements or commodity purchase or option agreements or other interest or exchange rate or commodity price hedging agreements and any other derivative instruments, in each case, whether the Borrower and its Subsidiaries are liable contingently or otherwise, as obligor, guarantor or otherwise, or in respect of which liabilities the Borrower or its Subsidiaries otherwise assures a creditor against loss. For the avoidance of doubt, no Permitted Call Spread Agreement shall constitute a Hedging Obligation.</w:t>
      </w:r>
    </w:p>
    <w:p>
      <w:pPr>
        <w:spacing w:after="0" w:line="17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HIPAA</w:t>
      </w:r>
      <w:r>
        <w:rPr>
          <w:rFonts w:ascii="Arial" w:cs="Arial" w:eastAsia="Arial" w:hAnsi="Arial"/>
          <w:sz w:val="17"/>
          <w:szCs w:val="17"/>
          <w:color w:val="auto"/>
        </w:rPr>
        <w:t>” means the Health Insurance Portability and Accountability Act of 1996 (42 U.S.C. § 1320d et seq.) as amended by the Health Information Technology for Economic and Clinical Health (HITECH) Act (42 U.S.C. § 17921 et seq.) and the implementing regulations of same.</w:t>
      </w:r>
    </w:p>
    <w:p>
      <w:pPr>
        <w:spacing w:after="0" w:line="14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is (a) indebtedness for borrowed money or the deferred purchase price of property or services, such as reimbursement and other obligations for surety bonds and letters of credit (other than in respect of (i) “earnouts”, purchase price adjustments, profit sharing arrangement and similar contingent payment obligations arising out of purchase and/or sale contracts (unless any such obligations would appear as a liability on the balance sheet of such Person under GAAP), and (ii) bonus, deferred compensation, incentive compensation or similar arrangements in the ordinary course of business), (b) obligations evidenced by notes, bonds, debentures or similar instruments, (c) capital lease obligations, (d) non-contingent obligations of such Person to reimburse any bank or other Person in respect of amounts paid under a letter of credit, banker’s acceptance or similar instrument, (e) equity securities of such Person subject to repurchase or redemption other than at the sole option of such Person (other than a change of control or asset sale or similar events, but in each case, only so long as any such repurchase or redemption after such change of control or asset sale or similar events shall be subject to the prior indefeasible payment in full in cash of all Obligations and the termination of all commitments hereunder) on or prior to a date that is 91 days after the Maturity Date, (f) obligations secured by a Lien on any asset of such Person, whether or not such obligation is otherwise an obligation of such Person, and</w:t>
      </w:r>
    </w:p>
    <w:p>
      <w:pPr>
        <w:spacing w:after="0" w:line="4" w:lineRule="exact"/>
        <w:rPr>
          <w:sz w:val="20"/>
          <w:szCs w:val="20"/>
          <w:color w:val="auto"/>
        </w:rPr>
      </w:pPr>
    </w:p>
    <w:p>
      <w:pPr>
        <w:ind w:firstLine="8"/>
        <w:spacing w:after="0" w:line="258" w:lineRule="auto"/>
        <w:tabs>
          <w:tab w:leader="none" w:pos="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Contingent Obligations. Notwithstanding anything to the contrary in the foregoing, any Permitted Call Spread Agreement or operating leases shall not constitute Indebtedness of the Borrower.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8" w:name="page149"/>
    <w:bookmarkEnd w:id="148"/>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Upsize Conditions</w:t>
      </w:r>
      <w:r>
        <w:rPr>
          <w:rFonts w:ascii="Arial" w:cs="Arial" w:eastAsia="Arial" w:hAnsi="Arial"/>
          <w:sz w:val="16"/>
          <w:szCs w:val="16"/>
          <w:color w:val="auto"/>
        </w:rPr>
        <w:t>” are satisfaction of each of the following: (a) no Default or Event of Default shall have occurred and is continuing and</w:t>
      </w:r>
    </w:p>
    <w:p>
      <w:pPr>
        <w:spacing w:after="0" w:line="46" w:lineRule="exact"/>
        <w:rPr>
          <w:sz w:val="20"/>
          <w:szCs w:val="20"/>
          <w:color w:val="auto"/>
        </w:rPr>
      </w:pPr>
    </w:p>
    <w:p>
      <w:pPr>
        <w:ind w:right="20" w:firstLine="8"/>
        <w:spacing w:after="0" w:line="245"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or before August 15, 2024, Borrower shall have provided evidence to Lender satisfactory to Lender that Borrower has achieved the Product Revenue Milestone I.</w:t>
      </w:r>
    </w:p>
    <w:p>
      <w:pPr>
        <w:spacing w:after="0" w:line="184"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means not Solvent.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9.03(b) hereof.</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have the meaning ascribed to such term in Annex II.</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Individual Payor Account</w:t>
      </w:r>
      <w:r>
        <w:rPr>
          <w:rFonts w:ascii="Arial" w:cs="Arial" w:eastAsia="Arial" w:hAnsi="Arial"/>
          <w:sz w:val="16"/>
          <w:szCs w:val="16"/>
          <w:color w:val="auto"/>
        </w:rPr>
        <w:t>” means an Account owing by an Obligor who is an individual patient or person who received the goods or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rendered.</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 Commitment</w:t>
      </w:r>
      <w:r>
        <w:rPr>
          <w:rFonts w:ascii="Arial" w:cs="Arial" w:eastAsia="Arial" w:hAnsi="Arial"/>
          <w:sz w:val="18"/>
          <w:szCs w:val="18"/>
          <w:color w:val="auto"/>
        </w:rPr>
        <w:t>” means an amount equal to Twenty Five Million and No/100 Dollars ($25,000,000.00).</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has the meaning set forth in Section 2.01(d) hereof.</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of Borrower’s or any of its Subsidiaries’ right, title and interest in and to the following:</w:t>
      </w:r>
    </w:p>
    <w:p>
      <w:pPr>
        <w:spacing w:after="0" w:line="212" w:lineRule="exact"/>
        <w:rPr>
          <w:sz w:val="20"/>
          <w:szCs w:val="20"/>
          <w:color w:val="auto"/>
        </w:rPr>
      </w:pPr>
    </w:p>
    <w:p>
      <w:pPr>
        <w:ind w:left="1860" w:hanging="355"/>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860" w:hanging="355"/>
        <w:spacing w:after="0" w:line="196" w:lineRule="exact"/>
        <w:tabs>
          <w:tab w:leader="none" w:pos="18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manuals;</w:t>
      </w:r>
    </w:p>
    <w:p>
      <w:pPr>
        <w:spacing w:after="0" w:line="196" w:lineRule="exact"/>
        <w:rPr>
          <w:sz w:val="20"/>
          <w:szCs w:val="20"/>
          <w:color w:val="auto"/>
        </w:rPr>
      </w:pPr>
    </w:p>
    <w:p>
      <w:pPr>
        <w:ind w:left="1860" w:hanging="355"/>
        <w:spacing w:after="0"/>
        <w:tabs>
          <w:tab w:leader="none" w:pos="18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11" w:lineRule="exact"/>
        <w:rPr>
          <w:rFonts w:ascii="Arial" w:cs="Arial" w:eastAsia="Arial" w:hAnsi="Arial"/>
          <w:sz w:val="18"/>
          <w:szCs w:val="18"/>
          <w:color w:val="auto"/>
        </w:rPr>
      </w:pPr>
    </w:p>
    <w:p>
      <w:pPr>
        <w:ind w:firstLine="1505"/>
        <w:spacing w:after="0" w:line="261" w:lineRule="auto"/>
        <w:tabs>
          <w:tab w:leader="none" w:pos="18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84" w:lineRule="exact"/>
        <w:rPr>
          <w:rFonts w:ascii="Arial" w:cs="Arial" w:eastAsia="Arial" w:hAnsi="Arial"/>
          <w:sz w:val="18"/>
          <w:szCs w:val="18"/>
          <w:color w:val="auto"/>
        </w:rPr>
      </w:pPr>
    </w:p>
    <w:p>
      <w:pPr>
        <w:ind w:left="1860" w:hanging="355"/>
        <w:spacing w:after="0"/>
        <w:tabs>
          <w:tab w:leader="none" w:pos="18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1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that certain Intercreditor Agreement, dated as of the Closing Date, by and between Term Loan Lender, in its capacity as collateral agent under the Term Loan, and the Lender, and acknowledged and agreed to by the Borrower, as amended, restated, amended and restated, supplemented or otherwise modified from time to time in accordance with the terms thereof.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has the meaning set forth in Section 2.03(a) hereof.</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is all “inventory” as defined in the UCC in effect on the date hereof with such additions to such term as may hereafter be made under the UCC,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any beneficial ownership interest in any Person (including stock, partnership interest or other securities), and any loan, advance or capital contribution to any Person.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9" w:name="page150"/>
    <w:bookmarkEnd w:id="149"/>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Policy</w:t>
      </w:r>
      <w:r>
        <w:rPr>
          <w:rFonts w:ascii="Arial" w:cs="Arial" w:eastAsia="Arial" w:hAnsi="Arial"/>
          <w:sz w:val="18"/>
          <w:szCs w:val="18"/>
          <w:color w:val="auto"/>
        </w:rPr>
        <w:t>” is Borrower’s investment policy as provided to Lender on October 21, 2022 and in effect as of the Closing Date, as amended from time to time; provided that any amendment to such investment policy or amended investment policy after the Closing Date has been approved in writing by Lender (which approval shall not be unreasonably withheld, conditioned or delayed).</w:t>
      </w:r>
    </w:p>
    <w:p>
      <w:pPr>
        <w:spacing w:after="0" w:line="17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Person</w:t>
      </w:r>
      <w:r>
        <w:rPr>
          <w:rFonts w:ascii="Arial" w:cs="Arial" w:eastAsia="Arial" w:hAnsi="Arial"/>
          <w:sz w:val="18"/>
          <w:szCs w:val="18"/>
          <w:color w:val="auto"/>
        </w:rPr>
        <w:t>” is each of Borrower’s (i) Chief Executive Officer, who is Leslie Trigg as of the Closing Date, and (ii) Chief Financial Officer, who is Nabeel Ahmed as of the Closing Date.</w:t>
      </w:r>
    </w:p>
    <w:p>
      <w:pPr>
        <w:spacing w:after="0" w:line="15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to the “best of” Borrower’s knowledge, or with a similar qualification, knowledge or awareness means the actual knowledge, after reasonable investigation, of the Responsible Officers.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Presentation</w:t>
      </w:r>
      <w:r>
        <w:rPr>
          <w:rFonts w:ascii="Arial" w:cs="Arial" w:eastAsia="Arial" w:hAnsi="Arial"/>
          <w:sz w:val="18"/>
          <w:szCs w:val="18"/>
          <w:color w:val="auto"/>
        </w:rPr>
        <w:t>” means that certain lender presentation delivered to the Term Loan Lender on October 4, 2022.</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Transfer</w:t>
      </w:r>
      <w:r>
        <w:rPr>
          <w:rFonts w:ascii="Arial" w:cs="Arial" w:eastAsia="Arial" w:hAnsi="Arial"/>
          <w:sz w:val="18"/>
          <w:szCs w:val="18"/>
          <w:color w:val="auto"/>
        </w:rPr>
        <w:t>” shall have the meaning set forth in Section 9.22 hereof.</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claim, mortgage, deed of trust, levy, charge, pledge, security interest, or other similar encumbrance, whether voluntarily incurred or arising by operation of law or otherwise against any property.</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Revolving Note, the Fee Letter, each Control Agreement, each Depository Agreement, the Fee Letter, the Perfection Certificate, each landlord waiver and collateral access agreement, and all agreements relating to the Commercial Lockbox, all financing statements, any Subordination Agreements, and any other agreements, instruments, documents and certificates delivered at any time in connection with this Agreement.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Borrower and each Guarantor, if any, individually and collectively.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Request</w:t>
      </w:r>
      <w:r>
        <w:rPr>
          <w:rFonts w:ascii="Arial" w:cs="Arial" w:eastAsia="Arial" w:hAnsi="Arial"/>
          <w:sz w:val="18"/>
          <w:szCs w:val="18"/>
          <w:color w:val="auto"/>
        </w:rPr>
        <w:t>” has the meaning set forth in Section 2.02(a) hereof.</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Bank</w:t>
      </w:r>
      <w:r>
        <w:rPr>
          <w:rFonts w:ascii="Arial" w:cs="Arial" w:eastAsia="Arial" w:hAnsi="Arial"/>
          <w:sz w:val="18"/>
          <w:szCs w:val="18"/>
          <w:color w:val="auto"/>
        </w:rPr>
        <w:t>” means Silicon Valley Bank or such other bank that is acceptable to Lender.</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Capitalization</w:t>
      </w:r>
      <w:r>
        <w:rPr>
          <w:rFonts w:ascii="Arial" w:cs="Arial" w:eastAsia="Arial" w:hAnsi="Arial"/>
          <w:sz w:val="18"/>
          <w:szCs w:val="18"/>
          <w:color w:val="auto"/>
        </w:rPr>
        <w:t>” means, as of any date of determination, the product of (a) the number of Borrower’s outstanding shares of common stock as disclosed in the most recent filing of Borrower with the Securities Exchange Commission and (b) the price per share of Borrower’s common stock as listed on the National Association of Securities Dealers Automated Quotation Stock Market (or, if not listed thereon, the New York Stock Exchange) at the close of business on such date.</w:t>
      </w:r>
    </w:p>
    <w:p>
      <w:pPr>
        <w:spacing w:after="0" w:line="181"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is (a) a material adverse change in the business, operations or condition (financial or otherwise) of Borrower and its Subsidiaries, when taken as a whole; (b) a material impairment of (i) the ability of repayment of any portion of the Obligations as they become due and payable, (ii) the legality, validity or enforceability of any Loan Document, (iii) the rights and remedies of Lender under any Loan Document except as the result of the action or inaction of the Lender or (iv) the validity, perfection or priority of any Lien in favor of Lender on any of the Collateral except as the result of the action or inaction of the Lender; or (c) the occurrence of a “Change in Control”, “Fundamental Change” and/or “Make-Whole Fundamental Change” (each howsoever defined) under any indenture governing any Permitted Convertible Debt or under the Term Loan Documents.</w:t>
      </w:r>
    </w:p>
    <w:p>
      <w:pPr>
        <w:spacing w:after="0" w:line="15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Agreement</w:t>
      </w:r>
      <w:r>
        <w:rPr>
          <w:rFonts w:ascii="Arial" w:cs="Arial" w:eastAsia="Arial" w:hAnsi="Arial"/>
          <w:sz w:val="17"/>
          <w:szCs w:val="17"/>
          <w:color w:val="auto"/>
        </w:rPr>
        <w:t>” is any license, agreement or other contractual arrangement required to be disclosed (including amendments thereto) under regulations promulgated under the Securities Act of 1933 or Securities Exchange Act of 1934, as may be amended; provided, however, that “Material Agreements” shall exclude all real estate leases, management contracts and compensatory plans, contracts or arrangements.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has the meaning set forth in Section 2.01(d) hereof.</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Medicaid</w:t>
      </w:r>
      <w:r>
        <w:rPr>
          <w:rFonts w:ascii="Arial" w:cs="Arial" w:eastAsia="Arial" w:hAnsi="Arial"/>
          <w:sz w:val="18"/>
          <w:szCs w:val="18"/>
          <w:color w:val="auto"/>
        </w:rPr>
        <w:t xml:space="preserve">” means, collectively, the healthcare assistance program established by Title XIX of the Social Security Act (42 U.S.C. § § 1396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seq.</w:t>
      </w:r>
      <w:r>
        <w:rPr>
          <w:rFonts w:ascii="Arial" w:cs="Arial" w:eastAsia="Arial" w:hAnsi="Arial"/>
          <w:sz w:val="18"/>
          <w:szCs w:val="18"/>
          <w:color w:val="auto"/>
        </w:rPr>
        <w:t>) and any statutes succeeding thereto, and all Requirements of Law pertaining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0" w:name="page151"/>
    <w:bookmarkEnd w:id="150"/>
    <w:p>
      <w:pPr>
        <w:jc w:val="both"/>
        <w:ind w:right="20"/>
        <w:spacing w:after="0" w:line="277" w:lineRule="auto"/>
        <w:rPr>
          <w:sz w:val="20"/>
          <w:szCs w:val="20"/>
          <w:color w:val="auto"/>
        </w:rPr>
      </w:pPr>
      <w:r>
        <w:rPr>
          <w:rFonts w:ascii="Arial" w:cs="Arial" w:eastAsia="Arial" w:hAnsi="Arial"/>
          <w:sz w:val="18"/>
          <w:szCs w:val="18"/>
          <w:color w:val="auto"/>
        </w:rPr>
        <w:t>to such program, including all state statutes and plans for medical assistance enacted in connection with such program, in each case as the same may be amended, supplemented or otherwise modified from time to time.</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Medicare</w:t>
      </w:r>
      <w:r>
        <w:rPr>
          <w:rFonts w:ascii="Arial" w:cs="Arial" w:eastAsia="Arial" w:hAnsi="Arial"/>
          <w:sz w:val="18"/>
          <w:szCs w:val="18"/>
          <w:color w:val="auto"/>
        </w:rPr>
        <w:t xml:space="preserve">” means, collectively, the health insurance program for the aged and disabled established by Title XVIII of the Social Security Act (42 U.S.C. § § 1395 </w:t>
      </w:r>
      <w:r>
        <w:rPr>
          <w:rFonts w:ascii="Arial" w:cs="Arial" w:eastAsia="Arial" w:hAnsi="Arial"/>
          <w:sz w:val="18"/>
          <w:szCs w:val="18"/>
          <w:u w:val="single" w:color="auto"/>
          <w:color w:val="auto"/>
        </w:rPr>
        <w:t>et seq.</w:t>
      </w:r>
      <w:r>
        <w:rPr>
          <w:rFonts w:ascii="Arial" w:cs="Arial" w:eastAsia="Arial" w:hAnsi="Arial"/>
          <w:sz w:val="18"/>
          <w:szCs w:val="18"/>
          <w:color w:val="auto"/>
        </w:rPr>
        <w:t>) and any statutes succeeding thereto, and all Requirements of Law pertaining to such program, in each case as the same may be amended, supplemented or otherwise modified from time to time.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as applicable, a shareholder, member or partner of Borrower.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Subsidiary</w:t>
      </w:r>
      <w:r>
        <w:rPr>
          <w:rFonts w:ascii="Arial" w:cs="Arial" w:eastAsia="Arial" w:hAnsi="Arial"/>
          <w:sz w:val="18"/>
          <w:szCs w:val="18"/>
          <w:color w:val="auto"/>
        </w:rPr>
        <w:t>” shall have the meaning set forth in Section 6.10</w:t>
      </w:r>
    </w:p>
    <w:p>
      <w:pPr>
        <w:spacing w:after="0" w:line="2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now existing or hereafter arising debts, obligations, covenants, and duties of payment or performance of every kind, matured or unmatured, direct or contingent, owing, arising, due, or payable to Lender, by or from Borrower whether arising out of this Agreement, the Fee Letter or any other Loan Document or otherwise, including all obligations to repay principal of and interest on all the Revolving Loans, and to pay interest, fees, costs, charges, Expenses, professional fees, and all sums chargeable to Borrower under the Loan Documents, whether or not evidenced by any note or other instrument.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the party primarily obligated to pay an Account.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hereof.</w:t>
      </w:r>
    </w:p>
    <w:p>
      <w:pPr>
        <w:spacing w:after="0" w:line="21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Documents</w:t>
      </w:r>
      <w:r>
        <w:rPr>
          <w:rFonts w:ascii="Arial" w:cs="Arial" w:eastAsia="Arial" w:hAnsi="Arial"/>
          <w:sz w:val="16"/>
          <w:szCs w:val="16"/>
          <w:color w:val="auto"/>
        </w:rPr>
        <w:t>” means, for any Person, such Person’s formation documents, as certified by the Secretary of State (or equivalent agency) of such Person’s jurisdiction of organization on a date that is no earlier than thirty (30) days prior to the Closing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43" w:lineRule="auto"/>
        <w:tabs>
          <w:tab w:leader="none" w:pos="2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99"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course of business of Borrower or its Subsidiaries, undertaken in good faith by Borrower or such Subsidiaries.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shall have the meaning ascribed to such term in Annex II.</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shall have the meaning ascribed to such term in Annex II.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“Participant Register” shall have the meaning set forth in Section 9.22 hereof.</w:t>
      </w:r>
    </w:p>
    <w:p>
      <w:pPr>
        <w:spacing w:after="0" w:line="21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 means all patents, patent applications and like protections including without limitation improvements, divisions, continuations, renewals, reissues, re-examination certificates, utility models, extensions and continuations-in-part of the same.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has the meaning set forth in Section 5.01 hereof.</w:t>
      </w:r>
    </w:p>
    <w:p>
      <w:pPr>
        <w:spacing w:after="0" w:line="212" w:lineRule="exact"/>
        <w:rPr>
          <w:sz w:val="20"/>
          <w:szCs w:val="20"/>
          <w:color w:val="auto"/>
        </w:rPr>
      </w:pPr>
    </w:p>
    <w:p>
      <w:pPr>
        <w:ind w:firstLine="794"/>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w:t>
      </w:r>
      <w:r>
        <w:rPr>
          <w:rFonts w:ascii="Arial" w:cs="Arial" w:eastAsia="Arial" w:hAnsi="Arial"/>
          <w:sz w:val="17"/>
          <w:szCs w:val="17"/>
          <w:color w:val="auto"/>
        </w:rPr>
        <w:t>” means any permit, approval, authorization, license, accreditation, certification, provider or supplier number, registration, certificate of authority, certificate of need, certificate of reimbursement, variance, qualification, filing or consent required under any Applicable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1" w:name="page152"/>
    <w:bookmarkEnd w:id="151"/>
    <w:p>
      <w:pPr>
        <w:jc w:val="both"/>
        <w:ind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Call Spread Agreements</w:t>
      </w:r>
      <w:r>
        <w:rPr>
          <w:rFonts w:ascii="Arial" w:cs="Arial" w:eastAsia="Arial" w:hAnsi="Arial"/>
          <w:sz w:val="17"/>
          <w:szCs w:val="17"/>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in connection with the issuance of Permitted Convertible Debt (such transaction, a “</w:t>
      </w:r>
      <w:r>
        <w:rPr>
          <w:rFonts w:ascii="Arial" w:cs="Arial" w:eastAsia="Arial" w:hAnsi="Arial"/>
          <w:sz w:val="17"/>
          <w:szCs w:val="17"/>
          <w:u w:val="single" w:color="auto"/>
          <w:color w:val="auto"/>
        </w:rPr>
        <w:t>Bond Hedge Transaction</w:t>
      </w:r>
      <w:r>
        <w:rPr>
          <w:rFonts w:ascii="Arial" w:cs="Arial" w:eastAsia="Arial" w:hAnsi="Arial"/>
          <w:sz w:val="17"/>
          <w:szCs w:val="17"/>
          <w:color w:val="auto"/>
        </w:rPr>
        <w:t>”) and/or (b) any call option transaction pursuant to which the Borrower issues to the counterparty thereto warrants to acquire common stock of the Borrower (or other securities or property following a merger event or other change of the common stock of the Borrower) (whether such warrant is settled in shares, cash or a combination thereof) entered into by the Borrower in connection with the issuance of Permitted Convertible Debt (such transaction, a “</w:t>
      </w:r>
      <w:r>
        <w:rPr>
          <w:rFonts w:ascii="Arial" w:cs="Arial" w:eastAsia="Arial" w:hAnsi="Arial"/>
          <w:sz w:val="17"/>
          <w:szCs w:val="17"/>
          <w:u w:val="single" w:color="auto"/>
          <w:color w:val="auto"/>
        </w:rPr>
        <w:t>Warrant Transaction</w:t>
      </w:r>
      <w:r>
        <w:rPr>
          <w:rFonts w:ascii="Arial" w:cs="Arial" w:eastAsia="Arial" w:hAnsi="Arial"/>
          <w:sz w:val="17"/>
          <w:szCs w:val="17"/>
          <w:color w:val="auto"/>
        </w:rPr>
        <w:t>”); provided that (i) the terms, conditions and covenants of each such call option transaction are customary for agreements of such type, as determined by Borrower in good faith, (ii) the purchase price for such Bond Hedge Transaction, less the proceeds received by the Borrower from the sale of any related Warrant Transaction, does not exceed the net proceeds received by the Borrower from the issuance of the related Permitted Convertible Debt and (iii) in the case of clause (b) above, such call option transaction would be classified as an equity instrument in accordance with GAAP.</w:t>
      </w:r>
    </w:p>
    <w:p>
      <w:pPr>
        <w:spacing w:after="0" w:line="17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Convertible Debt</w:t>
      </w:r>
      <w:r>
        <w:rPr>
          <w:rFonts w:ascii="Arial" w:cs="Arial" w:eastAsia="Arial" w:hAnsi="Arial"/>
          <w:sz w:val="16"/>
          <w:szCs w:val="16"/>
          <w:color w:val="auto"/>
        </w:rPr>
        <w:t>” is any unsecured notes issued by the Borrower that are convertible into a fixed number (subject to customary anti-dilution adjustments, “make-whole” increases and the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provided that the Indebtedness thereunder must satisfy each of the following conditions: (i) both immediately prior to and after giving effect (including pro forma effect) thereto, no Event of Default shall exist or result therefrom, (ii) such Indebtedness matures after, and does not require any scheduled amortization or other scheduled or otherwise required payments of principal prior to, the date that is 180 calendar days after the Maturity Date (it being understood that neither (x) any provision requiring an offer to purchase such Indebtedness as a result of change of control or other fundamental change (for the avoidance of doubt, which change of control or fundamental change shall constitute a Material Adverse Change hereunder), which purchase is settled on a date no earlier than the date twenty</w:t>
      </w:r>
    </w:p>
    <w:p>
      <w:pPr>
        <w:spacing w:after="0" w:line="2" w:lineRule="exact"/>
        <w:rPr>
          <w:sz w:val="20"/>
          <w:szCs w:val="20"/>
          <w:color w:val="auto"/>
        </w:rPr>
      </w:pPr>
    </w:p>
    <w:p>
      <w:pPr>
        <w:jc w:val="both"/>
        <w:ind w:firstLine="8"/>
        <w:spacing w:after="0" w:line="256" w:lineRule="auto"/>
        <w:tabs>
          <w:tab w:leader="none" w:pos="37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Business Days following the occurrence of such change of control or other fundamental change, nor (y) any early conversion of any Permitted Convertible Debt in accordance with the terms thereof, in each case, shall violate the foregoing restriction),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Arial" w:cs="Arial" w:eastAsia="Arial" w:hAnsi="Arial"/>
          <w:sz w:val="17"/>
          <w:szCs w:val="17"/>
          <w:u w:val="single" w:color="auto"/>
          <w:color w:val="auto"/>
        </w:rPr>
        <w:t>Cross-Default Reference Obligation</w:t>
      </w:r>
      <w:r>
        <w:rPr>
          <w:rFonts w:ascii="Arial" w:cs="Arial" w:eastAsia="Arial" w:hAnsi="Arial"/>
          <w:sz w:val="17"/>
          <w:szCs w:val="17"/>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of such Indebtedness must be customary for convertible Indebtedness of such type (as determined by the board of directors of the Borrower, or a committee thereof, in good faith), and (v) such Indebtedness is not guaranteed by any Subsidiary of the Borrower unless the Obligations are also guaranteed by such Subsidiary on a secured basis.</w:t>
      </w:r>
    </w:p>
    <w:p>
      <w:pPr>
        <w:spacing w:after="0" w:line="180"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Discretion</w:t>
      </w:r>
      <w:r>
        <w:rPr>
          <w:rFonts w:ascii="Arial" w:cs="Arial" w:eastAsia="Arial" w:hAnsi="Arial"/>
          <w:sz w:val="17"/>
          <w:szCs w:val="17"/>
          <w:color w:val="auto"/>
        </w:rPr>
        <w:t>” means a determination made in good faith and in the exercise of commercially reasonable (from the perspective of a secured asset-based lender) credit judgment in accordance with the customary business practices of Lender for its asset-based lending transactions.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is:</w:t>
      </w:r>
    </w:p>
    <w:p>
      <w:pPr>
        <w:spacing w:after="0" w:line="212" w:lineRule="exact"/>
        <w:rPr>
          <w:sz w:val="20"/>
          <w:szCs w:val="20"/>
          <w:color w:val="auto"/>
        </w:rPr>
      </w:pPr>
    </w:p>
    <w:p>
      <w:pPr>
        <w:ind w:left="1860" w:hanging="355"/>
        <w:spacing w:after="0"/>
        <w:tabs>
          <w:tab w:leader="none" w:pos="1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Borrower’s Indebtedness to the Lender under this Agreement and the other Loan Documents;</w:t>
      </w:r>
    </w:p>
    <w:p>
      <w:pPr>
        <w:spacing w:after="0" w:line="211"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existing on the Closing Date and disclosed on the Perfection Certificate; provided, that, to the extent that any such Indebtedness is of the type described in clause (f), (j), (m) or (o) below, then such Indebtedness shall also be deemed to be incurred, and reduce availability on a dollar-for-dollar basis, under such clause (f), (j), (m) or (o), as applicable;</w:t>
      </w:r>
    </w:p>
    <w:p>
      <w:pPr>
        <w:spacing w:after="0" w:line="174" w:lineRule="exact"/>
        <w:rPr>
          <w:rFonts w:ascii="Arial" w:cs="Arial" w:eastAsia="Arial" w:hAnsi="Arial"/>
          <w:sz w:val="18"/>
          <w:szCs w:val="18"/>
          <w:color w:val="auto"/>
        </w:rPr>
      </w:pPr>
    </w:p>
    <w:p>
      <w:pPr>
        <w:ind w:right="20" w:firstLine="1505"/>
        <w:spacing w:after="0" w:line="277" w:lineRule="auto"/>
        <w:tabs>
          <w:tab w:leader="none" w:pos="18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solely to the extent that the Term Loan Lender an Affiliate of Lender, Indebtedness under the Term Loan Documents in an aggregate principal amount not to exceed an amount equal to the Term Loan Commitment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2" w:name="page153"/>
    <w:bookmarkEnd w:id="152"/>
    <w:p>
      <w:pPr>
        <w:jc w:val="both"/>
        <w:spacing w:after="0" w:line="278" w:lineRule="auto"/>
        <w:rPr>
          <w:sz w:val="20"/>
          <w:szCs w:val="20"/>
          <w:color w:val="auto"/>
        </w:rPr>
      </w:pPr>
      <w:r>
        <w:rPr>
          <w:rFonts w:ascii="Arial" w:cs="Arial" w:eastAsia="Arial" w:hAnsi="Arial"/>
          <w:sz w:val="17"/>
          <w:szCs w:val="17"/>
          <w:color w:val="auto"/>
        </w:rPr>
        <w:t xml:space="preserve">(as defined in the Term Loan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outstanding principal amount of Revolving Loans and Term Loans shall not in the aggregate exceed (x) prior to satisfaction of the Initial Upsize Conditions, Two Hundred Million Dollars ($200,000,000.00) and (y) upon satisfaction of the Initial Upsize Conditions but prior to the satisfaction of the Second Upsize Condition, Two Hundred Fifty Million Dollars ($250,000,000.00);</w:t>
      </w:r>
    </w:p>
    <w:p>
      <w:pPr>
        <w:spacing w:after="0" w:line="158" w:lineRule="exact"/>
        <w:rPr>
          <w:sz w:val="20"/>
          <w:szCs w:val="20"/>
          <w:color w:val="auto"/>
        </w:rPr>
      </w:pPr>
    </w:p>
    <w:p>
      <w:pPr>
        <w:ind w:left="1860" w:hanging="355"/>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right="20" w:firstLine="1505"/>
        <w:spacing w:after="0" w:line="291" w:lineRule="auto"/>
        <w:tabs>
          <w:tab w:leader="none" w:pos="185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Permitted Convertible Debt in an aggregate principal amount not to exceed the greater of (i) Three Hundred Million Dollars ($300,000,000.00) and (ii) 20% of Borrower’s Market Capitalization (determined as of the date of pricing of such Permitted Convertible Debt).</w:t>
      </w:r>
    </w:p>
    <w:p>
      <w:pPr>
        <w:spacing w:after="0" w:line="146" w:lineRule="exact"/>
        <w:rPr>
          <w:rFonts w:ascii="Arial" w:cs="Arial" w:eastAsia="Arial" w:hAnsi="Arial"/>
          <w:sz w:val="17"/>
          <w:szCs w:val="17"/>
          <w:color w:val="auto"/>
        </w:rPr>
      </w:pPr>
    </w:p>
    <w:p>
      <w:pPr>
        <w:jc w:val="both"/>
        <w:ind w:firstLine="1505"/>
        <w:spacing w:after="0" w:line="283" w:lineRule="auto"/>
        <w:tabs>
          <w:tab w:leader="none" w:pos="185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or software of such person, provided that (i) the aggregate outstanding principal amount of all such Indebtedness does not exceed One Million Dollars ($1,000,000.00)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70" w:lineRule="exact"/>
        <w:rPr>
          <w:rFonts w:ascii="Arial" w:cs="Arial" w:eastAsia="Arial" w:hAnsi="Arial"/>
          <w:sz w:val="16"/>
          <w:szCs w:val="16"/>
          <w:color w:val="auto"/>
        </w:rPr>
      </w:pPr>
    </w:p>
    <w:p>
      <w:pPr>
        <w:ind w:left="1860" w:hanging="355"/>
        <w:spacing w:after="0"/>
        <w:tabs>
          <w:tab w:leader="none" w:pos="18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Borrower’s business;</w:t>
      </w:r>
    </w:p>
    <w:p>
      <w:pPr>
        <w:spacing w:after="0" w:line="234" w:lineRule="exact"/>
        <w:rPr>
          <w:rFonts w:ascii="Arial" w:cs="Arial" w:eastAsia="Arial" w:hAnsi="Arial"/>
          <w:sz w:val="16"/>
          <w:szCs w:val="16"/>
          <w:color w:val="auto"/>
        </w:rPr>
      </w:pPr>
    </w:p>
    <w:p>
      <w:pPr>
        <w:ind w:left="1860" w:hanging="355"/>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Guaranties of Permitted Indebtedness incurred in the ordinary course of business;</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intercompany Indebtedness that constitutes a Permitted Investment under clauses (f), (i) or (l) of the term “Permitted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Investments”;</w:t>
      </w:r>
    </w:p>
    <w:p>
      <w:pPr>
        <w:spacing w:after="0" w:line="197"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in respect of letters of credit, bank guarantees and similar instruments issued for the account of the Borrower or any Subsidiary in the ordinary course of business not to exceed Five Million Dollars ($5,000,000.00);</w:t>
      </w:r>
    </w:p>
    <w:p>
      <w:pPr>
        <w:spacing w:after="0" w:line="184" w:lineRule="exact"/>
        <w:rPr>
          <w:rFonts w:ascii="Arial" w:cs="Arial" w:eastAsia="Arial" w:hAnsi="Arial"/>
          <w:sz w:val="18"/>
          <w:szCs w:val="18"/>
          <w:color w:val="auto"/>
        </w:rPr>
      </w:pPr>
    </w:p>
    <w:p>
      <w:pPr>
        <w:ind w:left="1860" w:hanging="355"/>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advances or deposits received in the ordinary course of business from customers or vendors;</w:t>
      </w:r>
    </w:p>
    <w:p>
      <w:pPr>
        <w:spacing w:after="0" w:line="211"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spacing w:after="0" w:line="180" w:lineRule="exact"/>
        <w:rPr>
          <w:rFonts w:ascii="Arial" w:cs="Arial" w:eastAsia="Arial" w:hAnsi="Arial"/>
          <w:sz w:val="18"/>
          <w:szCs w:val="18"/>
          <w:color w:val="auto"/>
        </w:rPr>
      </w:pPr>
    </w:p>
    <w:p>
      <w:pPr>
        <w:ind w:right="40" w:firstLine="1505"/>
        <w:spacing w:after="0" w:line="277" w:lineRule="auto"/>
        <w:tabs>
          <w:tab w:leader="none" w:pos="18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credit card Indebtedness for credit cards, purchasing or debit cards or other bank card programs not to exceed Two Million Dollars ($2,000,000.00) in the aggregate principal amount at any time outstanding;</w:t>
      </w:r>
    </w:p>
    <w:p>
      <w:pPr>
        <w:spacing w:after="0" w:line="156" w:lineRule="exact"/>
        <w:rPr>
          <w:rFonts w:ascii="Arial" w:cs="Arial" w:eastAsia="Arial" w:hAnsi="Arial"/>
          <w:sz w:val="18"/>
          <w:szCs w:val="18"/>
          <w:color w:val="auto"/>
        </w:rPr>
      </w:pPr>
    </w:p>
    <w:p>
      <w:pPr>
        <w:ind w:left="1860" w:hanging="355"/>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arising in connection with the financing of insurance premiums;</w:t>
      </w:r>
    </w:p>
    <w:p>
      <w:pPr>
        <w:spacing w:after="0" w:line="211"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with respect to performance bonds, appeal bonds and other similar obligations in an aggregate amount not to exceed Five Hundred Thousand Dollars ($500,000.00) at any time outstanding;</w:t>
      </w:r>
    </w:p>
    <w:p>
      <w:pPr>
        <w:spacing w:after="0" w:line="184" w:lineRule="exact"/>
        <w:rPr>
          <w:rFonts w:ascii="Arial" w:cs="Arial" w:eastAsia="Arial" w:hAnsi="Arial"/>
          <w:sz w:val="18"/>
          <w:szCs w:val="18"/>
          <w:color w:val="auto"/>
        </w:rPr>
      </w:pPr>
    </w:p>
    <w:p>
      <w:pPr>
        <w:ind w:left="1860" w:hanging="355"/>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Hedging Obligations incurred in the ordinary course of business not for speculative purposes;</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other unsecured Indebtedness not to exceed One Million Dollars ($1,000,000.00) in aggregate principal amount at any time</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outstanding;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3" w:name="page154"/>
    <w:bookmarkEnd w:id="153"/>
    <w:p>
      <w:pPr>
        <w:ind w:left="1860" w:hanging="355"/>
        <w:spacing w:after="0"/>
        <w:tabs>
          <w:tab w:leader="none" w:pos="18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under clauses (a),</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and (d) through (q) above, provided that the extended, refinanced, modified or amended Indebtedness otherwise constitutes Permitted Indebtedness.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are:</w:t>
      </w:r>
    </w:p>
    <w:p>
      <w:pPr>
        <w:spacing w:after="0" w:line="212" w:lineRule="exact"/>
        <w:rPr>
          <w:sz w:val="20"/>
          <w:szCs w:val="20"/>
          <w:color w:val="auto"/>
        </w:rPr>
      </w:pPr>
    </w:p>
    <w:p>
      <w:pPr>
        <w:ind w:left="1860" w:hanging="355"/>
        <w:spacing w:after="0"/>
        <w:tabs>
          <w:tab w:leader="none" w:pos="18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 and existing on the Closing Date;</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Investments permitted by Borrower’s Investment Policy;</w:t>
      </w:r>
    </w:p>
    <w:p>
      <w:pPr>
        <w:spacing w:after="0" w:line="234" w:lineRule="exact"/>
        <w:rPr>
          <w:rFonts w:ascii="Arial" w:cs="Arial" w:eastAsia="Arial" w:hAnsi="Arial"/>
          <w:sz w:val="16"/>
          <w:szCs w:val="16"/>
          <w:color w:val="auto"/>
        </w:rPr>
      </w:pPr>
    </w:p>
    <w:p>
      <w:pPr>
        <w:ind w:right="40" w:firstLine="1505"/>
        <w:spacing w:after="0" w:line="261"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84"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consisting of Collateral Accounts in which Lender has a perfected Lien (subject to the terms of this Agreement) except as otherwise permitted by Section 6.06;</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7.01 and Investments permitted by Section 7.03;</w:t>
      </w:r>
    </w:p>
    <w:p>
      <w:pPr>
        <w:spacing w:after="0" w:line="211"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Seven Hundred Fifty Thousand Dollars ($750,000.00) in the aggregate for all such Investments made pursuant to this clauses (f);</w:t>
      </w:r>
    </w:p>
    <w:p>
      <w:pPr>
        <w:spacing w:after="0" w:line="194" w:lineRule="exact"/>
        <w:rPr>
          <w:rFonts w:ascii="Arial" w:cs="Arial" w:eastAsia="Arial" w:hAnsi="Arial"/>
          <w:sz w:val="18"/>
          <w:szCs w:val="18"/>
          <w:color w:val="auto"/>
        </w:rPr>
      </w:pPr>
    </w:p>
    <w:p>
      <w:pPr>
        <w:ind w:right="20" w:firstLine="1505"/>
        <w:spacing w:after="0" w:line="291" w:lineRule="auto"/>
        <w:tabs>
          <w:tab w:leader="none" w:pos="185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firstLine="1505"/>
        <w:spacing w:after="0" w:line="342" w:lineRule="auto"/>
        <w:tabs>
          <w:tab w:leader="none" w:pos="185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 and</w:t>
      </w:r>
    </w:p>
    <w:p>
      <w:pPr>
        <w:spacing w:after="0" w:line="110" w:lineRule="exact"/>
        <w:rPr>
          <w:rFonts w:ascii="Arial" w:cs="Arial" w:eastAsia="Arial" w:hAnsi="Arial"/>
          <w:sz w:val="16"/>
          <w:szCs w:val="16"/>
          <w:color w:val="auto"/>
        </w:rPr>
      </w:pPr>
    </w:p>
    <w:p>
      <w:pPr>
        <w:jc w:val="both"/>
        <w:ind w:firstLine="1505"/>
        <w:spacing w:after="0" w:line="249"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made by Borrower or its Subsidiaries in Borrower or its Subsidiaries; provided that the amount of Investments by Borrower or Subsidiaries that are co-Borrowers or Guarantors in Subsidiaries that are not co-Borrowers or Guarantors, together with Transfers of assets by Borrower, co-Borrowers or Guarantors to Subsidiaries that are not co-Borrowers or Guarantors made in reliance on Section 7.01(g), shall not, in the aggregate, exceed Five Hundred Thousand Dollars ($500,000.00) per fiscal year;</w:t>
      </w:r>
    </w:p>
    <w:p>
      <w:pPr>
        <w:spacing w:after="0" w:line="180" w:lineRule="exact"/>
        <w:rPr>
          <w:rFonts w:ascii="Arial" w:cs="Arial" w:eastAsia="Arial" w:hAnsi="Arial"/>
          <w:sz w:val="18"/>
          <w:szCs w:val="18"/>
          <w:color w:val="auto"/>
        </w:rPr>
      </w:pPr>
    </w:p>
    <w:p>
      <w:pPr>
        <w:jc w:val="both"/>
        <w:ind w:firstLine="1505"/>
        <w:spacing w:after="0" w:line="256"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in joint ventures, corporate collaborations or strategic alliances in the ordinary course of Borrower’s business permitted hereunder; provided that the aggregate amount for cash consideration for all such cash Investments do not exceed Five Hundred Thousand Dollars ($500,000.00) per fiscal year;</w:t>
      </w:r>
    </w:p>
    <w:p>
      <w:pPr>
        <w:spacing w:after="0" w:line="174" w:lineRule="exact"/>
        <w:rPr>
          <w:rFonts w:ascii="Arial" w:cs="Arial" w:eastAsia="Arial" w:hAnsi="Arial"/>
          <w:sz w:val="18"/>
          <w:szCs w:val="18"/>
          <w:color w:val="auto"/>
        </w:rPr>
      </w:pPr>
    </w:p>
    <w:p>
      <w:pPr>
        <w:ind w:left="1860" w:hanging="355"/>
        <w:spacing w:after="0"/>
        <w:tabs>
          <w:tab w:leader="none" w:pos="18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Permitted Call Spread Agreements; and</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other Investments not exceed One Million Dollars ($1,000,000.00) in the aggregate during the term of this Agreement.</w:t>
      </w:r>
    </w:p>
    <w:p>
      <w:pPr>
        <w:spacing w:after="0" w:line="2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Licenses</w:t>
      </w:r>
      <w:r>
        <w:rPr>
          <w:rFonts w:ascii="Arial" w:cs="Arial" w:eastAsia="Arial" w:hAnsi="Arial"/>
          <w:sz w:val="18"/>
          <w:szCs w:val="18"/>
          <w:color w:val="auto"/>
        </w:rPr>
        <w:t>” are: (A) licenses of over-the-counter software that is commercially available to the public; (B) non exclusive licenses for the use of the Intellectual Property of Borrower or any of its Subsidiaries entered into in the ordinary course of business, provided, that, with respect to each such license described in clause (B), the license constitutes an arms 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and (C)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4" w:name="page155"/>
    <w:bookmarkEnd w:id="154"/>
    <w:p>
      <w:pPr>
        <w:jc w:val="both"/>
        <w:spacing w:after="0" w:line="249" w:lineRule="auto"/>
        <w:rPr>
          <w:sz w:val="20"/>
          <w:szCs w:val="20"/>
          <w:color w:val="auto"/>
        </w:rPr>
      </w:pPr>
      <w:r>
        <w:rPr>
          <w:rFonts w:ascii="Arial" w:cs="Arial" w:eastAsia="Arial" w:hAnsi="Arial"/>
          <w:sz w:val="18"/>
          <w:szCs w:val="18"/>
          <w:color w:val="auto"/>
        </w:rPr>
        <w:t>exclusive licenses for the use of the Intellectual Property of Borrower or any of its Subsidiaries entered into in the ordinary course of business, provided, that, with respect to each such license described in this clause (C), the license (i) constitutes an arms 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and (ii) is limited in territory with respect to a specific geographic country or region outside of the United States.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are:</w:t>
      </w:r>
    </w:p>
    <w:p>
      <w:pPr>
        <w:spacing w:after="0" w:line="212"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Liens existing on the Closing Date and disclosed on the Perfection Certificate or arising under this Agreement and the other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97" w:lineRule="exact"/>
        <w:rPr>
          <w:sz w:val="20"/>
          <w:szCs w:val="20"/>
          <w:color w:val="auto"/>
        </w:rPr>
      </w:pPr>
    </w:p>
    <w:p>
      <w:pPr>
        <w:ind w:right="20" w:firstLine="1505"/>
        <w:spacing w:after="0" w:line="261" w:lineRule="auto"/>
        <w:tabs>
          <w:tab w:leader="none" w:pos="18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solely to the extent that the Term Loan Lender is an Affiliate of Lender, Liens securing the Term Loan Obligations, so long as such Liens are subject to the terms of the Intercreditor Agreement;</w:t>
      </w:r>
    </w:p>
    <w:p>
      <w:pPr>
        <w:spacing w:after="0" w:line="170"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by appropriate proceedings diligently conducted and for which Borrower maintains adequate reserves on Borrower’s books in accordance with GAAP, provided that no notice of any such Lien has been filed or recorded under the Internal Revenue Code and the Treasury Regulations adopted thereunder;</w:t>
      </w:r>
    </w:p>
    <w:p>
      <w:pPr>
        <w:spacing w:after="0" w:line="194" w:lineRule="exact"/>
        <w:rPr>
          <w:rFonts w:ascii="Arial" w:cs="Arial" w:eastAsia="Arial" w:hAnsi="Arial"/>
          <w:sz w:val="18"/>
          <w:szCs w:val="18"/>
          <w:color w:val="auto"/>
        </w:rPr>
      </w:pPr>
    </w:p>
    <w:p>
      <w:pPr>
        <w:jc w:val="both"/>
        <w:ind w:firstLine="1505"/>
        <w:spacing w:after="0" w:line="268" w:lineRule="auto"/>
        <w:tabs>
          <w:tab w:leader="none" w:pos="185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clauses (f) of the definition of “Permitted Indebtedness,” provided that, (i) such liens exist prior to the acquisition of, or attach substantially simultaneous with, or within 120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6" w:lineRule="exact"/>
        <w:rPr>
          <w:rFonts w:ascii="Arial" w:cs="Arial" w:eastAsia="Arial" w:hAnsi="Arial"/>
          <w:sz w:val="17"/>
          <w:szCs w:val="17"/>
          <w:color w:val="auto"/>
        </w:rPr>
      </w:pPr>
    </w:p>
    <w:p>
      <w:pPr>
        <w:jc w:val="both"/>
        <w:ind w:firstLine="1505"/>
        <w:spacing w:after="0" w:line="278" w:lineRule="auto"/>
        <w:tabs>
          <w:tab w:leader="none" w:pos="185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Liens of carriers, warehousemen, landlords, suppliers, mechanics or other Persons that are possessory in nature arising in the ordinary course of business,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57" w:lineRule="exact"/>
        <w:rPr>
          <w:rFonts w:ascii="Arial" w:cs="Arial" w:eastAsia="Arial" w:hAnsi="Arial"/>
          <w:sz w:val="17"/>
          <w:szCs w:val="17"/>
          <w:color w:val="auto"/>
        </w:rPr>
      </w:pPr>
    </w:p>
    <w:p>
      <w:pPr>
        <w:jc w:val="both"/>
        <w:ind w:firstLine="1505"/>
        <w:spacing w:after="0" w:line="213" w:lineRule="exact"/>
        <w:tabs>
          <w:tab w:leader="none" w:pos="18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Liens to secure payment of workers’ compensation, employment insurance, old</w:t>
      </w:r>
      <w:r>
        <w:rPr>
          <w:rFonts w:ascii="MS PGothic" w:cs="MS PGothic" w:eastAsia="MS PGothic" w:hAnsi="MS PGothic"/>
          <w:sz w:val="18"/>
          <w:szCs w:val="18"/>
          <w:color w:val="auto"/>
        </w:rPr>
        <w:t>‑</w:t>
      </w:r>
      <w:r>
        <w:rPr>
          <w:rFonts w:ascii="Arial" w:cs="Arial" w:eastAsia="Arial" w:hAnsi="Arial"/>
          <w:sz w:val="18"/>
          <w:szCs w:val="18"/>
          <w:color w:val="auto"/>
        </w:rPr>
        <w:t>age pensions, social security and other like obligations incurred in the ordinary course of business (other than Liens imposed by ERISA) and (ii) deposits in respect of letters of credit, bank guarantees or similar instruments issued for the account of Borrower or any Subsidiary in the ordinary course of business supporting obligations of the type set forth in clause (i) above;</w:t>
      </w:r>
    </w:p>
    <w:p>
      <w:pPr>
        <w:spacing w:after="0" w:line="190" w:lineRule="exact"/>
        <w:rPr>
          <w:rFonts w:ascii="Arial" w:cs="Arial" w:eastAsia="Arial" w:hAnsi="Arial"/>
          <w:sz w:val="18"/>
          <w:szCs w:val="18"/>
          <w:color w:val="auto"/>
        </w:rPr>
      </w:pPr>
    </w:p>
    <w:p>
      <w:pPr>
        <w:ind w:left="1860" w:hanging="355"/>
        <w:spacing w:after="0"/>
        <w:tabs>
          <w:tab w:leader="none" w:pos="1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jc w:val="both"/>
        <w:ind w:firstLine="1505"/>
        <w:spacing w:after="0" w:line="213" w:lineRule="exact"/>
        <w:tabs>
          <w:tab w:leader="none" w:pos="185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or any Subsidiary’s business (or, if referring to another Person, in the ordinary course of such Person’s business), and leases, subleases, non</w:t>
      </w:r>
      <w:r>
        <w:rPr>
          <w:rFonts w:ascii="MS PGothic" w:cs="MS PGothic" w:eastAsia="MS PGothic" w:hAnsi="MS PGothic"/>
          <w:sz w:val="17"/>
          <w:szCs w:val="17"/>
          <w:color w:val="auto"/>
        </w:rPr>
        <w:t>‑</w:t>
      </w:r>
      <w:r>
        <w:rPr>
          <w:rFonts w:ascii="Arial" w:cs="Arial" w:eastAsia="Arial" w:hAnsi="Arial"/>
          <w:sz w:val="17"/>
          <w:szCs w:val="17"/>
          <w:color w:val="auto"/>
        </w:rPr>
        <w:t>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Lender a security interest therein;</w:t>
      </w:r>
    </w:p>
    <w:p>
      <w:pPr>
        <w:spacing w:after="0" w:line="202" w:lineRule="exact"/>
        <w:rPr>
          <w:rFonts w:ascii="Arial" w:cs="Arial" w:eastAsia="Arial" w:hAnsi="Arial"/>
          <w:sz w:val="17"/>
          <w:szCs w:val="17"/>
          <w:color w:val="auto"/>
        </w:rPr>
      </w:pPr>
    </w:p>
    <w:p>
      <w:pPr>
        <w:jc w:val="both"/>
        <w:ind w:firstLine="1505"/>
        <w:spacing w:after="0" w:line="249" w:lineRule="auto"/>
        <w:tabs>
          <w:tab w:leader="none" w:pos="18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(including any restriction on the grant of security interest to any Person or other negative pledge requirements) incurred in the ordinary course of business arising in connection with Borrower’s deposit accounts or securities accounts held at such institutions or cash management services provided by such institutions provided such accounts are maintained in compliance with Section 6.06 hereof;</w:t>
      </w:r>
    </w:p>
    <w:p>
      <w:pPr>
        <w:spacing w:after="0" w:line="180" w:lineRule="exact"/>
        <w:rPr>
          <w:rFonts w:ascii="Arial" w:cs="Arial" w:eastAsia="Arial" w:hAnsi="Arial"/>
          <w:sz w:val="18"/>
          <w:szCs w:val="18"/>
          <w:color w:val="auto"/>
        </w:rPr>
      </w:pPr>
    </w:p>
    <w:p>
      <w:pPr>
        <w:ind w:left="1860" w:hanging="355"/>
        <w:spacing w:after="0"/>
        <w:tabs>
          <w:tab w:leader="none" w:pos="1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8.01;</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5" w:name="page156"/>
    <w:bookmarkEnd w:id="155"/>
    <w:p>
      <w:pPr>
        <w:ind w:left="1860" w:hanging="355"/>
        <w:spacing w:after="0"/>
        <w:tabs>
          <w:tab w:leader="none" w:pos="18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225" w:lineRule="exact"/>
        <w:rPr>
          <w:rFonts w:ascii="Arial" w:cs="Arial" w:eastAsia="Arial" w:hAnsi="Arial"/>
          <w:sz w:val="18"/>
          <w:szCs w:val="18"/>
          <w:color w:val="auto"/>
        </w:rPr>
      </w:pPr>
    </w:p>
    <w:p>
      <w:pPr>
        <w:ind w:left="1860" w:hanging="355"/>
        <w:spacing w:after="0"/>
        <w:tabs>
          <w:tab w:leader="none" w:pos="18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security deposits under real property leases that are made in the ordinary course of business;</w:t>
      </w:r>
    </w:p>
    <w:p>
      <w:pPr>
        <w:spacing w:after="0" w:line="211" w:lineRule="exact"/>
        <w:rPr>
          <w:rFonts w:ascii="Arial" w:cs="Arial" w:eastAsia="Arial" w:hAnsi="Arial"/>
          <w:sz w:val="18"/>
          <w:szCs w:val="18"/>
          <w:color w:val="auto"/>
        </w:rPr>
      </w:pPr>
    </w:p>
    <w:p>
      <w:pPr>
        <w:jc w:val="both"/>
        <w:ind w:firstLine="1505"/>
        <w:spacing w:after="0" w:line="278" w:lineRule="auto"/>
        <w:tabs>
          <w:tab w:leader="none" w:pos="185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encumbrances on real property imposed by law or arising in the ordinary course of business, and other minor title imperfections with respect to real property that do not secure any monetary obligations and do not materially detract from the value of the affected property or interfere with the ordinary conduct of business of Borrower or any Subsidiary;</w:t>
      </w:r>
    </w:p>
    <w:p>
      <w:pPr>
        <w:spacing w:after="0" w:line="157" w:lineRule="exact"/>
        <w:rPr>
          <w:rFonts w:ascii="Arial" w:cs="Arial" w:eastAsia="Arial" w:hAnsi="Arial"/>
          <w:sz w:val="17"/>
          <w:szCs w:val="17"/>
          <w:color w:val="auto"/>
        </w:rPr>
      </w:pPr>
    </w:p>
    <w:p>
      <w:pPr>
        <w:ind w:left="1860" w:hanging="355"/>
        <w:spacing w:after="0"/>
        <w:tabs>
          <w:tab w:leader="none" w:pos="18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Deposits to secure Indebtedness permitted under clauses (m), (n), (o) and (p) of the definition of Permitted Indebtedness;</w:t>
      </w:r>
    </w:p>
    <w:p>
      <w:pPr>
        <w:spacing w:after="0" w:line="223" w:lineRule="exact"/>
        <w:rPr>
          <w:rFonts w:ascii="Arial" w:cs="Arial" w:eastAsia="Arial" w:hAnsi="Arial"/>
          <w:sz w:val="17"/>
          <w:szCs w:val="17"/>
          <w:color w:val="auto"/>
        </w:rPr>
      </w:pPr>
    </w:p>
    <w:p>
      <w:pPr>
        <w:ind w:right="20" w:firstLine="1505"/>
        <w:spacing w:after="0" w:line="277" w:lineRule="auto"/>
        <w:tabs>
          <w:tab w:leader="none" w:pos="18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Liens on proceeds of insurance and unpaid premiums to secure Indebtedness permitted under clause (n) of the defined term “Permitted Indebtedness”;</w:t>
      </w:r>
    </w:p>
    <w:p>
      <w:pPr>
        <w:spacing w:after="0" w:line="156" w:lineRule="exact"/>
        <w:rPr>
          <w:rFonts w:ascii="Arial" w:cs="Arial" w:eastAsia="Arial" w:hAnsi="Arial"/>
          <w:sz w:val="18"/>
          <w:szCs w:val="18"/>
          <w:color w:val="auto"/>
        </w:rPr>
      </w:pPr>
    </w:p>
    <w:p>
      <w:pPr>
        <w:jc w:val="both"/>
        <w:ind w:firstLine="1505"/>
        <w:spacing w:after="0" w:line="249" w:lineRule="auto"/>
        <w:tabs>
          <w:tab w:leader="none" w:pos="18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Liens in the nature of deposits, or liens on deposit accounts, to secure (i) the performance of tenders, bids, trade and commercial contracts, licenses and leases, statutory obligations, surety bonds, performance bonds, bank guaranties and other obligations of a like nature incurred in the ordinary course of business or (ii) indemnification obligations relating to any disposition; provided that such Liens do no secure Indebtedness for borrowed money;</w:t>
      </w:r>
    </w:p>
    <w:p>
      <w:pPr>
        <w:spacing w:after="0" w:line="180" w:lineRule="exact"/>
        <w:rPr>
          <w:rFonts w:ascii="Arial" w:cs="Arial" w:eastAsia="Arial" w:hAnsi="Arial"/>
          <w:sz w:val="18"/>
          <w:szCs w:val="18"/>
          <w:color w:val="auto"/>
        </w:rPr>
      </w:pPr>
    </w:p>
    <w:p>
      <w:pPr>
        <w:ind w:left="1860" w:hanging="355"/>
        <w:spacing w:after="0"/>
        <w:tabs>
          <w:tab w:leader="none" w:pos="18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Liens on cash collateral securing Indebtedness permitted under clause (j) of the definition of Permitted Indebtedness;</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deposits as security for contested taxes or contested import or customs duties in the ordinary course of business;</w:t>
      </w:r>
    </w:p>
    <w:p>
      <w:pPr>
        <w:spacing w:after="0" w:line="225" w:lineRule="exact"/>
        <w:rPr>
          <w:rFonts w:ascii="Arial" w:cs="Arial" w:eastAsia="Arial" w:hAnsi="Arial"/>
          <w:sz w:val="18"/>
          <w:szCs w:val="18"/>
          <w:color w:val="auto"/>
        </w:rPr>
      </w:pPr>
    </w:p>
    <w:p>
      <w:pPr>
        <w:ind w:right="20" w:firstLine="1505"/>
        <w:spacing w:after="0" w:line="261" w:lineRule="auto"/>
        <w:tabs>
          <w:tab w:leader="none" w:pos="18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860" w:hanging="355"/>
        <w:spacing w:after="0"/>
        <w:tabs>
          <w:tab w:leader="none" w:pos="18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Liens on cash collateral and deposits securing Indebtedness permitted under clause (m) of the definition of Permitted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Indebtedness;</w:t>
      </w:r>
    </w:p>
    <w:p>
      <w:pPr>
        <w:spacing w:after="0" w:line="197" w:lineRule="exact"/>
        <w:rPr>
          <w:rFonts w:ascii="Arial" w:cs="Arial" w:eastAsia="Arial" w:hAnsi="Arial"/>
          <w:sz w:val="18"/>
          <w:szCs w:val="18"/>
          <w:color w:val="auto"/>
        </w:rPr>
      </w:pPr>
    </w:p>
    <w:p>
      <w:pPr>
        <w:ind w:right="40" w:firstLine="1505"/>
        <w:spacing w:after="0" w:line="261" w:lineRule="auto"/>
        <w:tabs>
          <w:tab w:leader="none" w:pos="18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Liens consisting of any agreement, grant or option to sell, transfer or dispose of any asset to the extent such sale, transfer or disposition is not prohibited by the Loan Documents;</w:t>
      </w:r>
    </w:p>
    <w:p>
      <w:pPr>
        <w:spacing w:after="0" w:line="184" w:lineRule="exact"/>
        <w:rPr>
          <w:rFonts w:ascii="Arial" w:cs="Arial" w:eastAsia="Arial" w:hAnsi="Arial"/>
          <w:sz w:val="18"/>
          <w:szCs w:val="18"/>
          <w:color w:val="auto"/>
        </w:rPr>
      </w:pPr>
    </w:p>
    <w:p>
      <w:pPr>
        <w:ind w:left="1860" w:hanging="355"/>
        <w:spacing w:after="0"/>
        <w:tabs>
          <w:tab w:leader="none" w:pos="18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other Liens securing obligations not exceeding One Million Dollars ($1,000,000.00) in the aggregate outstanding at any time; and</w:t>
      </w:r>
    </w:p>
    <w:p>
      <w:pPr>
        <w:spacing w:after="0" w:line="23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 xml:space="preserve">Liens incurred in the extension, renewal or refinancing of the indebtedness secured by Liens described in clauses (a), (d), (o), (q) and (t) above,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Negative Pledges</w:t>
      </w:r>
      <w:r>
        <w:rPr>
          <w:rFonts w:ascii="Arial" w:cs="Arial" w:eastAsia="Arial" w:hAnsi="Arial"/>
          <w:sz w:val="18"/>
          <w:szCs w:val="18"/>
          <w:color w:val="auto"/>
        </w:rPr>
        <w:t>” means:</w:t>
      </w:r>
    </w:p>
    <w:p>
      <w:pPr>
        <w:spacing w:after="0" w:line="212" w:lineRule="exact"/>
        <w:rPr>
          <w:sz w:val="20"/>
          <w:szCs w:val="20"/>
          <w:color w:val="auto"/>
        </w:rPr>
      </w:pPr>
    </w:p>
    <w:p>
      <w:pPr>
        <w:ind w:right="20" w:firstLine="1505"/>
        <w:spacing w:after="0" w:line="261" w:lineRule="auto"/>
        <w:tabs>
          <w:tab w:leader="none" w:pos="185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84" w:lineRule="exact"/>
        <w:rPr>
          <w:rFonts w:ascii="Arial" w:cs="Arial" w:eastAsia="Arial" w:hAnsi="Arial"/>
          <w:sz w:val="18"/>
          <w:szCs w:val="18"/>
          <w:color w:val="auto"/>
        </w:rPr>
      </w:pPr>
    </w:p>
    <w:p>
      <w:pPr>
        <w:ind w:left="1860" w:hanging="355"/>
        <w:spacing w:after="0"/>
        <w:tabs>
          <w:tab w:leader="none" w:pos="1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prohibitions or limitations under the Loan Documents and the Term Loan Documents;</w:t>
      </w:r>
    </w:p>
    <w:p>
      <w:pPr>
        <w:spacing w:after="0" w:line="211" w:lineRule="exact"/>
        <w:rPr>
          <w:rFonts w:ascii="Arial" w:cs="Arial" w:eastAsia="Arial" w:hAnsi="Arial"/>
          <w:sz w:val="18"/>
          <w:szCs w:val="18"/>
          <w:color w:val="auto"/>
        </w:rPr>
      </w:pPr>
    </w:p>
    <w:p>
      <w:pPr>
        <w:ind w:left="1860" w:hanging="355"/>
        <w:spacing w:after="0"/>
        <w:tabs>
          <w:tab w:leader="none" w:pos="18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customary non-assignment provisions in any lease, license or other contract with respect to the assignment of such contract;</w:t>
      </w:r>
    </w:p>
    <w:p>
      <w:pPr>
        <w:spacing w:after="0" w:line="223" w:lineRule="exact"/>
        <w:rPr>
          <w:rFonts w:ascii="Arial" w:cs="Arial" w:eastAsia="Arial" w:hAnsi="Arial"/>
          <w:sz w:val="17"/>
          <w:szCs w:val="17"/>
          <w:color w:val="auto"/>
        </w:rPr>
      </w:pPr>
    </w:p>
    <w:p>
      <w:pPr>
        <w:ind w:left="1860" w:hanging="355"/>
        <w:spacing w:after="0"/>
        <w:tabs>
          <w:tab w:leader="none" w:pos="1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prohibitions or limitations imposed by Requirements of Law;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6" w:name="page157"/>
    <w:bookmarkEnd w:id="156"/>
    <w:p>
      <w:pPr>
        <w:jc w:val="both"/>
        <w:ind w:firstLine="1505"/>
        <w:spacing w:after="0" w:line="256" w:lineRule="auto"/>
        <w:tabs>
          <w:tab w:leader="none" w:pos="185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customary prohibitions or limitations contained in any agreement relating to any Transfer permitted under Section 7.01 pending the consummation of such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prohibitions and/or limitations apply only to the property that is the subject of such Transfer and not to the proceeds to be received by Borrower or its Subsidiaries in connection with such Transfer.</w:t>
      </w:r>
    </w:p>
    <w:p>
      <w:pPr>
        <w:spacing w:after="0" w:line="175"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hereof.</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PPP Loan</w:t>
      </w:r>
      <w:r>
        <w:rPr>
          <w:rFonts w:ascii="Arial" w:cs="Arial" w:eastAsia="Arial" w:hAnsi="Arial"/>
          <w:sz w:val="18"/>
          <w:szCs w:val="18"/>
          <w:color w:val="auto"/>
        </w:rPr>
        <w:t>” means any funds obtained by Borrower as loans under the PPP Program.</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PPP Program</w:t>
      </w:r>
      <w:r>
        <w:rPr>
          <w:rFonts w:ascii="Arial" w:cs="Arial" w:eastAsia="Arial" w:hAnsi="Arial"/>
          <w:sz w:val="17"/>
          <w:szCs w:val="17"/>
          <w:color w:val="auto"/>
        </w:rPr>
        <w:t>” means the U.S. Small Business Administration’s Paycheck Protection Program (enacted as part of the CARES Act).</w:t>
      </w:r>
    </w:p>
    <w:p>
      <w:pPr>
        <w:spacing w:after="0" w:line="22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Revenue</w:t>
      </w:r>
      <w:r>
        <w:rPr>
          <w:rFonts w:ascii="Arial" w:cs="Arial" w:eastAsia="Arial" w:hAnsi="Arial"/>
          <w:sz w:val="18"/>
          <w:szCs w:val="18"/>
          <w:color w:val="auto"/>
        </w:rPr>
        <w:t>” means, as of the date of determination, the sum of “product revenue” and “service and other revenue” (each determined under GAAP) of Borrower and its Subsidiaries as such respective line items are reported on (x) for the first three fiscal quarters of any fiscal year, the most recently delivered financial statements (or deemed delivered) pursuant to Section 6.02(a)(ii) and (y) for the last fiscal quarter of any fiscal year, the most recently delivered financial statements (or deemed delivered) pursuant to Section 6.02(a)(iii) (in each case, excluding any one-time royalty payment or upfront fees, collaboration fees and other similar fees).</w:t>
      </w:r>
    </w:p>
    <w:p>
      <w:pPr>
        <w:spacing w:after="0" w:line="18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Revenue Milestone I</w:t>
      </w:r>
      <w:r>
        <w:rPr>
          <w:rFonts w:ascii="Arial" w:cs="Arial" w:eastAsia="Arial" w:hAnsi="Arial"/>
          <w:sz w:val="18"/>
          <w:szCs w:val="18"/>
          <w:color w:val="auto"/>
        </w:rPr>
        <w:t>” is the achievement by Borrower, on or before June 30, 2024, of Product Revenue greater than or equal to [***], calculated on a trailing two-fiscal-quarter basis and based on the Product Revenue reported on the financial statements delivered (or deemed delivered) pursuant to Section 6.02.</w:t>
      </w:r>
    </w:p>
    <w:p>
      <w:pPr>
        <w:spacing w:after="0" w:line="17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Revenue Milestone II</w:t>
      </w:r>
      <w:r>
        <w:rPr>
          <w:rFonts w:ascii="Arial" w:cs="Arial" w:eastAsia="Arial" w:hAnsi="Arial"/>
          <w:sz w:val="18"/>
          <w:szCs w:val="18"/>
          <w:color w:val="auto"/>
        </w:rPr>
        <w:t>” is the achievement by Borrower, on or before June 30, 2025, of Product Revenue greater than or equal to [***], calculated on a trailing two-fiscal-quarter basis and based on the Product Revenue reported on the financial statements delivered (or deemed delivered) pursuant to Section 6.02.</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Cash</w:t>
      </w:r>
      <w:r>
        <w:rPr>
          <w:rFonts w:ascii="Arial" w:cs="Arial" w:eastAsia="Arial" w:hAnsi="Arial"/>
          <w:sz w:val="16"/>
          <w:szCs w:val="16"/>
          <w:color w:val="auto"/>
        </w:rPr>
        <w:t>” means the amount of Borrower’s cash and Cash Equivalents held in accounts subject to a Control Agreement in favor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19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Conditions</w:t>
      </w:r>
      <w:r>
        <w:rPr>
          <w:rFonts w:ascii="Arial" w:cs="Arial" w:eastAsia="Arial" w:hAnsi="Arial"/>
          <w:sz w:val="18"/>
          <w:szCs w:val="18"/>
          <w:color w:val="auto"/>
        </w:rPr>
        <w:t>” means, with respect to any redemption by the Borrower of any Permitted Convertible Debt, satisfaction of each of the following events: (a) no Default or Event of Default shall exist or result therefrom, and (b) both immediately before and after such redemption, Borrower’s Qualified Cash shall be no less than 150% of the outstanding Obligations at the time of such redemption.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Convertible Debt</w:t>
      </w:r>
      <w:r>
        <w:rPr>
          <w:rFonts w:ascii="Arial" w:cs="Arial" w:eastAsia="Arial" w:hAnsi="Arial"/>
          <w:sz w:val="18"/>
          <w:szCs w:val="18"/>
          <w:color w:val="auto"/>
        </w:rPr>
        <w:t>” shall have the meaning set forth in Section 7.07.</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shall have the meaning set forth in Section 9.22 hereof.</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Organization</w:t>
      </w:r>
      <w:r>
        <w:rPr>
          <w:rFonts w:ascii="Arial" w:cs="Arial" w:eastAsia="Arial" w:hAnsi="Arial"/>
          <w:sz w:val="18"/>
          <w:szCs w:val="18"/>
          <w:color w:val="auto"/>
        </w:rPr>
        <w:t>” is any “registered organization” as defined in the UCC with such additions to such term as may hereafter be made under the UCC.</w:t>
      </w:r>
    </w:p>
    <w:p>
      <w:pPr>
        <w:spacing w:after="0" w:line="17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Registrations</w:t>
      </w:r>
      <w:r>
        <w:rPr>
          <w:rFonts w:ascii="Arial" w:cs="Arial" w:eastAsia="Arial" w:hAnsi="Arial"/>
          <w:sz w:val="17"/>
          <w:szCs w:val="17"/>
          <w:color w:val="auto"/>
        </w:rPr>
        <w:t>” means all Permits and exemptions issued or allowed by a Regulatory Authority (including, without limitation medical device pre-market approval applications, medical device pre-market notifications, de novo classification requests, investigational device exemptions registrations and other comparable authorizations, CE Marks, pricing and reimbursement approvals, labeling approvals or their foreign equivalent, and wholesale distributor permits), including all supplements or amendments thereto, held by, or applied by contract to, any Loan Party or 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7" w:name="page158"/>
    <w:bookmarkEnd w:id="157"/>
    <w:p>
      <w:pPr>
        <w:jc w:val="both"/>
        <w:ind w:right="20"/>
        <w:spacing w:after="0" w:line="277" w:lineRule="auto"/>
        <w:rPr>
          <w:sz w:val="20"/>
          <w:szCs w:val="20"/>
          <w:color w:val="auto"/>
        </w:rPr>
      </w:pPr>
      <w:r>
        <w:rPr>
          <w:rFonts w:ascii="Arial" w:cs="Arial" w:eastAsia="Arial" w:hAnsi="Arial"/>
          <w:sz w:val="18"/>
          <w:szCs w:val="18"/>
          <w:color w:val="auto"/>
        </w:rPr>
        <w:t>of its Subsidiaries, that are required for the research, development, manufacture, distribution, marketing, storage, transportation, use and sale of any Property or products of any such Loan Party or any such Subsidiary.</w:t>
      </w:r>
    </w:p>
    <w:p>
      <w:pPr>
        <w:spacing w:after="0" w:line="15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Action</w:t>
      </w:r>
      <w:r>
        <w:rPr>
          <w:rFonts w:ascii="Arial" w:cs="Arial" w:eastAsia="Arial" w:hAnsi="Arial"/>
          <w:sz w:val="17"/>
          <w:szCs w:val="17"/>
          <w:color w:val="auto"/>
        </w:rPr>
        <w:t>” means an administrative, regulatory, or judicial enforcement action, proceeding, investigation or inspection, FDA Form-483 notice of inspectional observation, warning letter, untitled letter, other notice of violation letter, recall, seizure, Section 305 notice or other similar written communication, inspectional finding, injunction or consent decree, issued by the applicable Governmental Authority.</w:t>
      </w:r>
    </w:p>
    <w:p>
      <w:pPr>
        <w:spacing w:after="0" w:line="15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the FDA or any comparable Governmental Authority that is concerned with the safety, efficacy, reliability, manufacture, sale, advertising, promotion, reimbursement, import, export or marketing of medical devices.</w:t>
      </w:r>
    </w:p>
    <w:p>
      <w:pPr>
        <w:spacing w:after="0" w:line="1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is as to any Person, the organizational or governing documents of such Person, and any law (statutory or common), treaty, rule or regulation or final and non-appealable determination of a court or other Governmental Authority, in each case applicable to or binding upon such Person or any of its property or to which such Person or any of its property is subject.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has the meaning set forth in Section 2.01(a) hereof.</w:t>
      </w:r>
    </w:p>
    <w:p>
      <w:pPr>
        <w:spacing w:after="0" w:line="21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 Commitment</w:t>
      </w:r>
      <w:r>
        <w:rPr>
          <w:rFonts w:ascii="Arial" w:cs="Arial" w:eastAsia="Arial" w:hAnsi="Arial"/>
          <w:sz w:val="17"/>
          <w:szCs w:val="17"/>
          <w:color w:val="auto"/>
        </w:rPr>
        <w:t>” means the Initial Loan Commitment plus the Additional Tranche; provided that, as of the date of determination, the aggregate Revolving Loan Commitment on and from the Closing Date and prior to the date the Additional Tranche is activated pursuant to the terms of this Agreement shall be Twenty Five Million and No/100 Dollars ($25,000,000.00), and if the Additional Tranche is activated pursuant to the terms of this Agreement, the Revolving Loan Commitment shall increase to Fifty Million and No/100 Dollars ($50,000,000.00).</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has the meaning set forth in Section 2.01(b) hereof.</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set forth in Section 6.15 hereof.</w:t>
      </w:r>
    </w:p>
    <w:p>
      <w:pPr>
        <w:spacing w:after="0" w:line="21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Upsize Conditions</w:t>
      </w:r>
      <w:r>
        <w:rPr>
          <w:rFonts w:ascii="Arial" w:cs="Arial" w:eastAsia="Arial" w:hAnsi="Arial"/>
          <w:sz w:val="18"/>
          <w:szCs w:val="18"/>
          <w:color w:val="auto"/>
        </w:rPr>
        <w:t>” are satisfaction of each of the following: (a) no Default or Event of Default shall have occurred and is continuing and (b) on or before August 15, 2025, Borrower shall have provided evidence to Lender satisfactory to Lender that Borrower has achieved the Product Revenue Milestone II.</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Account</w:t>
      </w:r>
      <w:r>
        <w:rPr>
          <w:rFonts w:ascii="Arial" w:cs="Arial" w:eastAsia="Arial" w:hAnsi="Arial"/>
          <w:sz w:val="16"/>
          <w:szCs w:val="16"/>
          <w:color w:val="auto"/>
        </w:rPr>
        <w:t>” is any “securities account” as defined in the UCC with such additions to such term as may hereafter be made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UCC.</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has the meaning set forth in Section 2.02(a) hereof.</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23"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any Person, that (a) the fair value of such Person’s consolidated assets (including goodwill) exceeds the fair value of such Person’s liabilities, (b) such Person is not left with unreasonably small capital giving effect to the transactions contemplated by this Agreement and the other Loan Documents, and (c) such Person is able to pay its debts (including trade debts) as they mature in the ordinary course.</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Account</w:t>
      </w:r>
      <w:r>
        <w:rPr>
          <w:rFonts w:ascii="Arial" w:cs="Arial" w:eastAsia="Arial" w:hAnsi="Arial"/>
          <w:sz w:val="18"/>
          <w:szCs w:val="18"/>
          <w:color w:val="auto"/>
        </w:rPr>
        <w:t>” means the Borrower’s Collateral MMA Deposit Account (Account No. *******572) maintained at Silicon Valley Bank.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jc w:val="both"/>
        <w:ind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10" w:lineRule="exact"/>
        <w:rPr>
          <w:sz w:val="20"/>
          <w:szCs w:val="20"/>
          <w:color w:val="auto"/>
        </w:rPr>
      </w:pPr>
    </w:p>
    <w:p>
      <w:pPr>
        <w:jc w:val="both"/>
        <w:ind w:right="20" w:firstLine="74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Agreement</w:t>
      </w:r>
      <w:r>
        <w:rPr>
          <w:rFonts w:ascii="Arial" w:cs="Arial" w:eastAsia="Arial" w:hAnsi="Arial"/>
          <w:sz w:val="18"/>
          <w:szCs w:val="18"/>
          <w:color w:val="auto"/>
        </w:rPr>
        <w:t>” means that certain Loan and Security Agreement, dated as of the Closing Date, among Borrower, Term Loan Lender, and the Term Loan Lender, as amended, restated, amended and restated, supplemented or otherwise modified from time to time in accordance with the terms thereof, to the extent not prohibited by the terms of the Intercreditor Agreement or this Agreement.</w:t>
      </w:r>
    </w:p>
    <w:p>
      <w:pPr>
        <w:spacing w:after="0" w:line="19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Documents</w:t>
      </w:r>
      <w:r>
        <w:rPr>
          <w:rFonts w:ascii="Arial" w:cs="Arial" w:eastAsia="Arial" w:hAnsi="Arial"/>
          <w:sz w:val="18"/>
          <w:szCs w:val="18"/>
          <w:color w:val="auto"/>
        </w:rPr>
        <w:t>” means the “Loan Documents” as defined in the Term Loan Agreement, as they may hereafter be amended, restated, amended and restated, supplemented or otherwise modified from time to time in accordance with the terms thereof, to the extent not prohibited by the terms of the Intercreditor Agreement or this Agreement.</w:t>
      </w:r>
    </w:p>
    <w:p>
      <w:pPr>
        <w:spacing w:after="0" w:line="18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SLR Investment Corp., a Maryland corporation with an office located at 500 Park Avenue, 3rd Floor, New York, NY 10022, as lender under the Term Loan Agreement.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“Term Loans” as defined in the Term Loan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Obligations</w:t>
      </w:r>
      <w:r>
        <w:rPr>
          <w:rFonts w:ascii="Arial" w:cs="Arial" w:eastAsia="Arial" w:hAnsi="Arial"/>
          <w:sz w:val="18"/>
          <w:szCs w:val="18"/>
          <w:color w:val="auto"/>
        </w:rPr>
        <w:t>” means the “Obligations” as defined in the Term Loan Agreement.</w:t>
      </w:r>
    </w:p>
    <w:p>
      <w:pPr>
        <w:spacing w:after="0" w:line="225" w:lineRule="exact"/>
        <w:rPr>
          <w:sz w:val="20"/>
          <w:szCs w:val="20"/>
          <w:color w:val="auto"/>
        </w:rPr>
      </w:pPr>
    </w:p>
    <w:p>
      <w:pPr>
        <w:jc w:val="both"/>
        <w:ind w:firstLine="737"/>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 the greater of (x) the Term SOFR Reference Rate for a one-month tenor on the first day of the applicable interest period (such day, the “</w:t>
      </w:r>
      <w:r>
        <w:rPr>
          <w:rFonts w:ascii="Arial" w:cs="Arial" w:eastAsia="Arial" w:hAnsi="Arial"/>
          <w:sz w:val="17"/>
          <w:szCs w:val="17"/>
          <w:u w:val="single" w:color="auto"/>
          <w:color w:val="auto"/>
        </w:rPr>
        <w:t>Periodic Term SOFR Determination Day</w:t>
      </w:r>
      <w:r>
        <w:rPr>
          <w:rFonts w:ascii="Arial" w:cs="Arial" w:eastAsia="Arial" w:hAnsi="Arial"/>
          <w:sz w:val="17"/>
          <w:szCs w:val="17"/>
          <w:color w:val="auto"/>
        </w:rPr>
        <w:t>”), as such rate is published by the Term SOFR Administrator; provided, however, that if as of 5:00 p.m. (New York City time) on any Periodic Term SOFR Determination Day the Term SOFR Reference Rate for such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(y) 2.75% per annum.</w:t>
      </w:r>
    </w:p>
    <w:p>
      <w:pPr>
        <w:spacing w:after="0" w:line="159" w:lineRule="exact"/>
        <w:rPr>
          <w:sz w:val="20"/>
          <w:szCs w:val="20"/>
          <w:color w:val="auto"/>
        </w:rPr>
      </w:pPr>
    </w:p>
    <w:p>
      <w:pPr>
        <w:jc w:val="both"/>
        <w:ind w:firstLine="73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CME Group Benchmark Administration Limited (CBA) (or a successor administrator of the Term SOFR Reference Rate selected by the Lender in its reasonable discretion).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the forward-looking term rate based on SOFR.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has the meaning set forth in Section 2.03(c) hereof.</w:t>
      </w:r>
    </w:p>
    <w:p>
      <w:pPr>
        <w:spacing w:after="0" w:line="212"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TRICARE</w:t>
      </w:r>
      <w:r>
        <w:rPr>
          <w:rFonts w:ascii="Arial" w:cs="Arial" w:eastAsia="Arial" w:hAnsi="Arial"/>
          <w:sz w:val="16"/>
          <w:szCs w:val="16"/>
          <w:color w:val="auto"/>
        </w:rPr>
        <w:t>” means, collectively, the program of medical benefits covering former and active members of the uniformed services and certain of their dependents, financed and administered by the United States Department of Defense, Health and Human Services and Transportation, and all Requirements of Law pertaining to such program, in each case as the same may be amended, supplemented or otherwise modified from time to time.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shall have the meaning ascribed to such term in Annex II.</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or “</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as the same may, from time to time, be enacted and in effect in the State of New York; provided, that, to the extent that the UCC is used to define any term herein or in any Loan Document and such term is defined differently in different Articles or Divisions of the UCC, the definition of such term contained in Article or Division 9 shall govern; provided further, that in the event that, by reason of mandatory provisions of law, any or all of the attachment, perfection, or priority of, or remedies with respect to, the Lender’s Lien on any Collateral is governed by the Uniform Commercial Code in effect in a jurisdiction other than the State of New York, the term “Uniform Commercial Code” or “UCC”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Unqualified Opinion</w:t>
      </w:r>
      <w:r>
        <w:rPr>
          <w:rFonts w:ascii="Arial" w:cs="Arial" w:eastAsia="Arial" w:hAnsi="Arial"/>
          <w:sz w:val="18"/>
          <w:szCs w:val="18"/>
          <w:color w:val="auto"/>
        </w:rPr>
        <w:t>” means an opinion on financial statements from an independent certified public accounting firm acceptable to the Lender in its reasonable discretion which opinion shall not include any qualifications or any going concern limitations other than customary qualifications related to debt maturities within one year of the applicable maturity date.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has the meaning set forth in the Fee Letter.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Transaction</w:t>
      </w:r>
      <w:r>
        <w:rPr>
          <w:rFonts w:ascii="Arial" w:cs="Arial" w:eastAsia="Arial" w:hAnsi="Arial"/>
          <w:sz w:val="18"/>
          <w:szCs w:val="18"/>
          <w:color w:val="auto"/>
        </w:rPr>
        <w:t>” has the meaning assigned to such term in the definition of “Permitted Call Spread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shall have the meaning ascribed to such term in 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Taxes; 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626745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EXHIBIT 6.02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619125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utset</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edical</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mployee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16"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dopted</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oard</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20"/>
          <w:szCs w:val="20"/>
          <w:b w:val="1"/>
          <w:bCs w:val="1"/>
          <w:color w:val="auto"/>
        </w:rPr>
        <w:t>: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2, 2020</w:t>
      </w:r>
    </w:p>
    <w:p>
      <w:pPr>
        <w:spacing w:after="0" w:line="40"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pproved</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tockholders</w:t>
      </w:r>
      <w:r>
        <w:rPr>
          <w:rFonts w:ascii="Arial" w:cs="Arial" w:eastAsia="Arial" w:hAnsi="Arial"/>
          <w:sz w:val="20"/>
          <w:szCs w:val="20"/>
          <w:b w:val="1"/>
          <w:bCs w:val="1"/>
          <w:color w:val="auto"/>
        </w:rPr>
        <w:t>: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7, 2020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ate</w:t>
      </w:r>
      <w:r>
        <w:rPr>
          <w:rFonts w:ascii="Arial" w:cs="Arial" w:eastAsia="Arial" w:hAnsi="Arial"/>
          <w:sz w:val="20"/>
          <w:szCs w:val="20"/>
          <w:b w:val="1"/>
          <w:bCs w:val="1"/>
          <w:color w:val="auto"/>
        </w:rPr>
        <w:t>: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2, 2030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mended and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20"/>
          <w:szCs w:val="20"/>
          <w:b w:val="1"/>
          <w:bCs w:val="1"/>
          <w:color w:val="auto"/>
        </w:rPr>
        <w:t>, E</w:t>
      </w:r>
      <w:r>
        <w:rPr>
          <w:rFonts w:ascii="Arial" w:cs="Arial" w:eastAsia="Arial" w:hAnsi="Arial"/>
          <w:sz w:val="13"/>
          <w:szCs w:val="13"/>
          <w:b w:val="1"/>
          <w:bCs w:val="1"/>
          <w:color w:val="auto"/>
        </w:rPr>
        <w:t>ffective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1, 2022)</w:t>
      </w:r>
    </w:p>
    <w:p>
      <w:pPr>
        <w:spacing w:after="0" w:line="383" w:lineRule="exact"/>
        <w:rPr>
          <w:sz w:val="20"/>
          <w:szCs w:val="20"/>
          <w:color w:val="auto"/>
        </w:rPr>
      </w:pPr>
    </w:p>
    <w:p>
      <w:pPr>
        <w:jc w:val="both"/>
        <w:ind w:right="120" w:firstLine="8"/>
        <w:spacing w:after="0" w:line="279" w:lineRule="auto"/>
        <w:tabs>
          <w:tab w:leader="none" w:pos="450" w:val="left"/>
        </w:tabs>
        <w:numPr>
          <w:ilvl w:val="0"/>
          <w:numId w:val="145"/>
        </w:numPr>
        <w:rPr>
          <w:rFonts w:ascii="Arial" w:cs="Arial" w:eastAsia="Arial" w:hAnsi="Arial"/>
          <w:sz w:val="19"/>
          <w:szCs w:val="19"/>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Outset Medical, Inc. Employee Stock Purchase Plan (this “Plan”) is to provide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Participating Subsidiaries with a convenient means of acquiring an equity interest in the Company through payroll deductions and other contributions in order to enhance such employees’ sense of participation in the affairs of the Company. This Plan is amended and restated as set forth herein and such amendment and restatement shall apply to Offering Periods beginning on or after March 1, 2022.</w:t>
      </w:r>
    </w:p>
    <w:p>
      <w:pPr>
        <w:spacing w:after="0" w:line="110"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This Plan includes two components: (a) a component intended to qualify as an “employee stock purchase plan” under Section 423 of the Code (the “423 Component”),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“Non-423 Component”),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spacing w:after="0" w:line="124" w:lineRule="exact"/>
        <w:rPr>
          <w:sz w:val="20"/>
          <w:szCs w:val="20"/>
          <w:color w:val="auto"/>
        </w:rPr>
      </w:pPr>
    </w:p>
    <w:p>
      <w:pPr>
        <w:ind w:right="120" w:firstLine="8"/>
        <w:spacing w:after="0" w:line="257" w:lineRule="auto"/>
        <w:tabs>
          <w:tab w:leader="none" w:pos="401" w:val="left"/>
        </w:tabs>
        <w:numPr>
          <w:ilvl w:val="0"/>
          <w:numId w:val="146"/>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As used herein, the terms set forth below have the meanings assigned to them in this Section 2 and shall include the plural</w:t>
      </w:r>
      <w:r>
        <w:rPr>
          <w:rFonts w:ascii="Arial" w:cs="Arial" w:eastAsia="Arial" w:hAnsi="Arial"/>
          <w:sz w:val="20"/>
          <w:szCs w:val="20"/>
          <w:b w:val="1"/>
          <w:bCs w:val="1"/>
          <w:color w:val="auto"/>
        </w:rPr>
        <w:t xml:space="preserve"> </w:t>
      </w:r>
      <w:r>
        <w:rPr>
          <w:rFonts w:ascii="Arial" w:cs="Arial" w:eastAsia="Arial" w:hAnsi="Arial"/>
          <w:sz w:val="20"/>
          <w:szCs w:val="20"/>
          <w:color w:val="auto"/>
        </w:rPr>
        <w:t>as well as the singular.</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“1933 Act” </w:t>
      </w:r>
      <w:r>
        <w:rPr>
          <w:rFonts w:ascii="Arial" w:cs="Arial" w:eastAsia="Arial" w:hAnsi="Arial"/>
          <w:sz w:val="20"/>
          <w:szCs w:val="20"/>
          <w:color w:val="auto"/>
        </w:rPr>
        <w:t>means the Securities Act of 1933, as amended.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“1934 Act” </w:t>
      </w:r>
      <w:r>
        <w:rPr>
          <w:rFonts w:ascii="Arial" w:cs="Arial" w:eastAsia="Arial" w:hAnsi="Arial"/>
          <w:sz w:val="20"/>
          <w:szCs w:val="20"/>
          <w:color w:val="auto"/>
        </w:rPr>
        <w:t>means the Securities Exchange Act of 1934, as amended.</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“Board” </w:t>
      </w:r>
      <w:r>
        <w:rPr>
          <w:rFonts w:ascii="Arial" w:cs="Arial" w:eastAsia="Arial" w:hAnsi="Arial"/>
          <w:sz w:val="20"/>
          <w:szCs w:val="20"/>
          <w:color w:val="auto"/>
        </w:rPr>
        <w:t>means the Board of Directors of Outset Medical, Inc.</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“Business Day” </w:t>
      </w:r>
      <w:r>
        <w:rPr>
          <w:rFonts w:ascii="Arial" w:cs="Arial" w:eastAsia="Arial" w:hAnsi="Arial"/>
          <w:sz w:val="20"/>
          <w:szCs w:val="20"/>
          <w:color w:val="auto"/>
        </w:rPr>
        <w:t>shall mean a day on which NASDAQ is open for trading.</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“Brokerage Account” </w:t>
      </w:r>
      <w:r>
        <w:rPr>
          <w:rFonts w:ascii="Arial" w:cs="Arial" w:eastAsia="Arial" w:hAnsi="Arial"/>
          <w:sz w:val="20"/>
          <w:szCs w:val="20"/>
          <w:color w:val="auto"/>
        </w:rPr>
        <w:t>means the account in which the Purchased Shares are held.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“Code” </w:t>
      </w:r>
      <w:r>
        <w:rPr>
          <w:rFonts w:ascii="Arial" w:cs="Arial" w:eastAsia="Arial" w:hAnsi="Arial"/>
          <w:sz w:val="20"/>
          <w:szCs w:val="20"/>
          <w:color w:val="auto"/>
        </w:rPr>
        <w:t>means the Internal Revenue Code of 1986, as amended.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“Committee” </w:t>
      </w:r>
      <w:r>
        <w:rPr>
          <w:rFonts w:ascii="Arial" w:cs="Arial" w:eastAsia="Arial" w:hAnsi="Arial"/>
          <w:sz w:val="20"/>
          <w:szCs w:val="20"/>
          <w:color w:val="auto"/>
        </w:rPr>
        <w:t>means the Compensation Committee of the Board, or the designee of the Compensation Committee.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“Company” </w:t>
      </w:r>
      <w:r>
        <w:rPr>
          <w:rFonts w:ascii="Arial" w:cs="Arial" w:eastAsia="Arial" w:hAnsi="Arial"/>
          <w:sz w:val="20"/>
          <w:szCs w:val="20"/>
          <w:color w:val="auto"/>
        </w:rPr>
        <w:t>means Outset Medical, Inc., a Delaware corporation.</w:t>
      </w:r>
    </w:p>
    <w:p>
      <w:pPr>
        <w:spacing w:after="0" w:line="148" w:lineRule="exact"/>
        <w:rPr>
          <w:sz w:val="20"/>
          <w:szCs w:val="20"/>
          <w:color w:val="auto"/>
        </w:rPr>
      </w:pPr>
    </w:p>
    <w:p>
      <w:pPr>
        <w:ind w:right="160" w:firstLine="749"/>
        <w:spacing w:after="0" w:line="263" w:lineRule="auto"/>
        <w:rPr>
          <w:sz w:val="20"/>
          <w:szCs w:val="20"/>
          <w:color w:val="auto"/>
        </w:rPr>
      </w:pPr>
      <w:r>
        <w:rPr>
          <w:rFonts w:ascii="Arial" w:cs="Arial" w:eastAsia="Arial" w:hAnsi="Arial"/>
          <w:sz w:val="19"/>
          <w:szCs w:val="19"/>
          <w:b w:val="1"/>
          <w:bCs w:val="1"/>
          <w:i w:val="1"/>
          <w:iCs w:val="1"/>
          <w:color w:val="auto"/>
        </w:rPr>
        <w:t xml:space="preserve">“Compensation” </w:t>
      </w:r>
      <w:r>
        <w:rPr>
          <w:rFonts w:ascii="Arial" w:cs="Arial" w:eastAsia="Arial" w:hAnsi="Arial"/>
          <w:sz w:val="19"/>
          <w:szCs w:val="19"/>
          <w:color w:val="auto"/>
        </w:rPr>
        <w:t>means base pay, commissions, overtime, and vacation, holiday and sick pay. Compensation does not include: (1)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income related to stock option awards, stock grants and 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ind w:right="300"/>
        <w:spacing w:after="0" w:line="246" w:lineRule="auto"/>
        <w:rPr>
          <w:sz w:val="20"/>
          <w:szCs w:val="20"/>
          <w:color w:val="auto"/>
        </w:rPr>
      </w:pPr>
      <w:r>
        <w:rPr>
          <w:rFonts w:ascii="Arial" w:cs="Arial" w:eastAsia="Arial" w:hAnsi="Arial"/>
          <w:sz w:val="20"/>
          <w:szCs w:val="20"/>
          <w:color w:val="auto"/>
        </w:rPr>
        <w:t>Participant, (6) income from non-cash and fringe benefits, (7) severance payments, (8) annual, quarterly, monthly and other cash bonuses, and (9) other forms of compensation not specifically listed herein.</w:t>
      </w:r>
    </w:p>
    <w:p>
      <w:pPr>
        <w:spacing w:after="0" w:line="136"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 any individual who is a common law employee of the Company or any other Participating Subsidiary.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“Enrollment Date” </w:t>
      </w:r>
      <w:r>
        <w:rPr>
          <w:rFonts w:ascii="Arial" w:cs="Arial" w:eastAsia="Arial" w:hAnsi="Arial"/>
          <w:sz w:val="20"/>
          <w:szCs w:val="20"/>
          <w:color w:val="auto"/>
        </w:rPr>
        <w:t>means the first Business Day of each Offering Period.</w:t>
      </w:r>
    </w:p>
    <w:p>
      <w:pPr>
        <w:spacing w:after="0" w:line="162" w:lineRule="exact"/>
        <w:rPr>
          <w:sz w:val="20"/>
          <w:szCs w:val="20"/>
          <w:color w:val="auto"/>
        </w:rPr>
      </w:pPr>
    </w:p>
    <w:p>
      <w:pPr>
        <w:ind w:right="160" w:firstLine="749"/>
        <w:spacing w:after="0" w:line="260" w:lineRule="auto"/>
        <w:rPr>
          <w:sz w:val="20"/>
          <w:szCs w:val="20"/>
          <w:color w:val="auto"/>
        </w:rPr>
      </w:pPr>
      <w:r>
        <w:rPr>
          <w:rFonts w:ascii="Arial" w:cs="Arial" w:eastAsia="Arial" w:hAnsi="Arial"/>
          <w:sz w:val="20"/>
          <w:szCs w:val="20"/>
          <w:b w:val="1"/>
          <w:bCs w:val="1"/>
          <w:i w:val="1"/>
          <w:iCs w:val="1"/>
          <w:color w:val="auto"/>
        </w:rPr>
        <w:t xml:space="preserve">“Exercise Date” </w:t>
      </w:r>
      <w:r>
        <w:rPr>
          <w:rFonts w:ascii="Arial" w:cs="Arial" w:eastAsia="Arial" w:hAnsi="Arial"/>
          <w:sz w:val="20"/>
          <w:szCs w:val="20"/>
          <w:color w:val="auto"/>
        </w:rPr>
        <w:t>means the last Business Day of each Offering Period (or, if determined by the Committee, the Purchase Period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different from the Offering Period).</w:t>
      </w:r>
    </w:p>
    <w:p>
      <w:pPr>
        <w:spacing w:after="0" w:line="123" w:lineRule="exact"/>
        <w:rPr>
          <w:sz w:val="20"/>
          <w:szCs w:val="20"/>
          <w:color w:val="auto"/>
        </w:rPr>
      </w:pPr>
    </w:p>
    <w:p>
      <w:pPr>
        <w:ind w:firstLine="749"/>
        <w:spacing w:after="0" w:line="255" w:lineRule="auto"/>
        <w:rPr>
          <w:sz w:val="20"/>
          <w:szCs w:val="20"/>
          <w:color w:val="auto"/>
        </w:rPr>
      </w:pPr>
      <w:r>
        <w:rPr>
          <w:rFonts w:ascii="Arial" w:cs="Arial" w:eastAsia="Arial" w:hAnsi="Arial"/>
          <w:sz w:val="19"/>
          <w:szCs w:val="19"/>
          <w:b w:val="1"/>
          <w:bCs w:val="1"/>
          <w:i w:val="1"/>
          <w:iCs w:val="1"/>
          <w:color w:val="auto"/>
        </w:rPr>
        <w:t xml:space="preserve">“Fair Market Value” </w:t>
      </w:r>
      <w:r>
        <w:rPr>
          <w:rFonts w:ascii="Arial" w:cs="Arial" w:eastAsia="Arial" w:hAnsi="Arial"/>
          <w:sz w:val="19"/>
          <w:szCs w:val="19"/>
          <w:color w:val="auto"/>
        </w:rPr>
        <w:t>on or as of any date means the official closing price for a Share as reported on NASDAQ on the relevant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valuation date or, if no official closing price is reported on such date, on the preceding day on which an official closing price is reported on NASDAQ was reported; or, if the Shares are no longer listed on NASDAQ, the closing price for Shares as reported on the official website for such other exchange on which the Shares are listed.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w:t>
      </w:r>
    </w:p>
    <w:p>
      <w:pPr>
        <w:spacing w:after="0" w:line="130"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b w:val="1"/>
          <w:bCs w:val="1"/>
          <w:i w:val="1"/>
          <w:iCs w:val="1"/>
          <w:color w:val="auto"/>
        </w:rPr>
        <w:t xml:space="preserve">“Offering Period” </w:t>
      </w:r>
      <w:r>
        <w:rPr>
          <w:rFonts w:ascii="Arial" w:cs="Arial" w:eastAsia="Arial" w:hAnsi="Arial"/>
          <w:sz w:val="18"/>
          <w:szCs w:val="18"/>
          <w:color w:val="auto"/>
        </w:rPr>
        <w:t>means each six-month period or, effective March 1, 2022, each 24-month period, beginning the first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of March and the first Business Day of September or such other period designated by the Committee; provided that in no event shall an Offering Period exceed 27 months, with the commencement of the first Offering Period to be determined by the Committee. Notwithstanding anything herein to the contrary, the Committee may establish an Offering Period with multiple Purchase Periods within such Offering Period.</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“Option” </w:t>
      </w:r>
      <w:r>
        <w:rPr>
          <w:rFonts w:ascii="Arial" w:cs="Arial" w:eastAsia="Arial" w:hAnsi="Arial"/>
          <w:sz w:val="20"/>
          <w:szCs w:val="20"/>
          <w:color w:val="auto"/>
        </w:rPr>
        <w:t>means an option granted under this Plan that entitles a Participant to purchase Shares.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“Participant” </w:t>
      </w:r>
      <w:r>
        <w:rPr>
          <w:rFonts w:ascii="Arial" w:cs="Arial" w:eastAsia="Arial" w:hAnsi="Arial"/>
          <w:sz w:val="20"/>
          <w:szCs w:val="20"/>
          <w:color w:val="auto"/>
        </w:rPr>
        <w:t>means an Employee who satisfies the requirements of Sections 3 and 5 of the Plan.</w:t>
      </w:r>
    </w:p>
    <w:p>
      <w:pPr>
        <w:spacing w:after="0" w:line="162" w:lineRule="exact"/>
        <w:rPr>
          <w:sz w:val="20"/>
          <w:szCs w:val="20"/>
          <w:color w:val="auto"/>
        </w:rPr>
      </w:pPr>
    </w:p>
    <w:p>
      <w:pPr>
        <w:ind w:right="980" w:firstLine="749"/>
        <w:spacing w:after="0" w:line="260" w:lineRule="auto"/>
        <w:rPr>
          <w:sz w:val="20"/>
          <w:szCs w:val="20"/>
          <w:color w:val="auto"/>
        </w:rPr>
      </w:pPr>
      <w:r>
        <w:rPr>
          <w:rFonts w:ascii="Arial" w:cs="Arial" w:eastAsia="Arial" w:hAnsi="Arial"/>
          <w:sz w:val="20"/>
          <w:szCs w:val="20"/>
          <w:b w:val="1"/>
          <w:bCs w:val="1"/>
          <w:i w:val="1"/>
          <w:iCs w:val="1"/>
          <w:color w:val="auto"/>
        </w:rPr>
        <w:t xml:space="preserve">“Participating Subsidiary” </w:t>
      </w:r>
      <w:r>
        <w:rPr>
          <w:rFonts w:ascii="Arial" w:cs="Arial" w:eastAsia="Arial" w:hAnsi="Arial"/>
          <w:sz w:val="20"/>
          <w:szCs w:val="20"/>
          <w:color w:val="auto"/>
        </w:rPr>
        <w:t>means each Subsidiary other than those that the Committee or the Board has excluded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participation in the Plan.</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“Plan” </w:t>
      </w:r>
      <w:r>
        <w:rPr>
          <w:rFonts w:ascii="Arial" w:cs="Arial" w:eastAsia="Arial" w:hAnsi="Arial"/>
          <w:sz w:val="20"/>
          <w:szCs w:val="20"/>
          <w:color w:val="auto"/>
        </w:rPr>
        <w:t>means this Outset Medical, Inc. Employee Stock Purchase Plan, as amended from time to time.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“Purchase Account” </w:t>
      </w:r>
      <w:r>
        <w:rPr>
          <w:rFonts w:ascii="Arial" w:cs="Arial" w:eastAsia="Arial" w:hAnsi="Arial"/>
          <w:sz w:val="20"/>
          <w:szCs w:val="20"/>
          <w:color w:val="auto"/>
        </w:rPr>
        <w:t>means the account used to purchase Shares through the exercise of Options under the Plan.</w:t>
      </w:r>
    </w:p>
    <w:p>
      <w:pPr>
        <w:spacing w:after="0" w:line="162" w:lineRule="exact"/>
        <w:rPr>
          <w:sz w:val="20"/>
          <w:szCs w:val="20"/>
          <w:color w:val="auto"/>
        </w:rPr>
      </w:pPr>
    </w:p>
    <w:p>
      <w:pPr>
        <w:ind w:right="160" w:firstLine="749"/>
        <w:spacing w:after="0" w:line="272" w:lineRule="auto"/>
        <w:rPr>
          <w:sz w:val="20"/>
          <w:szCs w:val="20"/>
          <w:color w:val="auto"/>
        </w:rPr>
      </w:pPr>
      <w:r>
        <w:rPr>
          <w:rFonts w:ascii="Arial" w:cs="Arial" w:eastAsia="Arial" w:hAnsi="Arial"/>
          <w:sz w:val="18"/>
          <w:szCs w:val="18"/>
          <w:b w:val="1"/>
          <w:bCs w:val="1"/>
          <w:i w:val="1"/>
          <w:iCs w:val="1"/>
          <w:color w:val="auto"/>
        </w:rPr>
        <w:t xml:space="preserve">“Purchase Period” </w:t>
      </w:r>
      <w:r>
        <w:rPr>
          <w:rFonts w:ascii="Arial" w:cs="Arial" w:eastAsia="Arial" w:hAnsi="Arial"/>
          <w:sz w:val="18"/>
          <w:szCs w:val="18"/>
          <w:color w:val="auto"/>
        </w:rPr>
        <w:t>means the period designated by Committee during which payroll deductions and other contributions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are accumulated under the Plan. A Purchase Period may coincide with an entire Offering Period or there may be multiple Purchase Periods within an Offering Period, as determined by the Committee prior to the commencement of the applicable Offering Period.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3" w:right="359" w:bottom="1440" w:gutter="0" w:footer="0" w:header="0"/>
        </w:sectPr>
      </w:pPr>
    </w:p>
    <w:bookmarkStart w:id="164" w:name="page165"/>
    <w:bookmarkEnd w:id="164"/>
    <w:p>
      <w:pPr>
        <w:ind w:right="100" w:firstLine="749"/>
        <w:spacing w:after="0"/>
        <w:rPr>
          <w:sz w:val="20"/>
          <w:szCs w:val="20"/>
          <w:color w:val="auto"/>
        </w:rPr>
      </w:pPr>
      <w:r>
        <w:rPr>
          <w:rFonts w:ascii="Arial" w:cs="Arial" w:eastAsia="Arial" w:hAnsi="Arial"/>
          <w:sz w:val="20"/>
          <w:szCs w:val="20"/>
          <w:b w:val="1"/>
          <w:bCs w:val="1"/>
          <w:i w:val="1"/>
          <w:iCs w:val="1"/>
          <w:color w:val="auto"/>
        </w:rPr>
        <w:t xml:space="preserve">“Purchase Price” </w:t>
      </w:r>
      <w:r>
        <w:rPr>
          <w:rFonts w:ascii="Arial" w:cs="Arial" w:eastAsia="Arial" w:hAnsi="Arial"/>
          <w:sz w:val="20"/>
          <w:szCs w:val="20"/>
          <w:color w:val="auto"/>
        </w:rPr>
        <w:t>shall be the lesser of: (i) 85% percent of the Fair Market Value of a Share on the applicable Enrollment Date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Offering Period and (ii) 85% percent of the Fair Market Value of a Share on the applicable Exercise Date;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“Purchased Shares” </w:t>
      </w:r>
      <w:r>
        <w:rPr>
          <w:rFonts w:ascii="Arial" w:cs="Arial" w:eastAsia="Arial" w:hAnsi="Arial"/>
          <w:sz w:val="20"/>
          <w:szCs w:val="20"/>
          <w:color w:val="auto"/>
        </w:rPr>
        <w:t>means the full Shares issued or delivered pursuant to the exercise of Options under the Plan.</w:t>
      </w:r>
    </w:p>
    <w:p>
      <w:pPr>
        <w:spacing w:after="0" w:line="162" w:lineRule="exact"/>
        <w:rPr>
          <w:sz w:val="20"/>
          <w:szCs w:val="20"/>
          <w:color w:val="auto"/>
        </w:rPr>
      </w:pPr>
    </w:p>
    <w:p>
      <w:pPr>
        <w:ind w:firstLine="749"/>
        <w:spacing w:after="0" w:line="246" w:lineRule="auto"/>
        <w:rPr>
          <w:sz w:val="20"/>
          <w:szCs w:val="20"/>
          <w:color w:val="auto"/>
        </w:rPr>
      </w:pPr>
      <w:r>
        <w:rPr>
          <w:rFonts w:ascii="Arial" w:cs="Arial" w:eastAsia="Arial" w:hAnsi="Arial"/>
          <w:sz w:val="20"/>
          <w:szCs w:val="20"/>
          <w:b w:val="1"/>
          <w:bCs w:val="1"/>
          <w:i w:val="1"/>
          <w:iCs w:val="1"/>
          <w:color w:val="auto"/>
        </w:rPr>
        <w:t xml:space="preserve">“Registration Statement” </w:t>
      </w:r>
      <w:r>
        <w:rPr>
          <w:rFonts w:ascii="Arial" w:cs="Arial" w:eastAsia="Arial" w:hAnsi="Arial"/>
          <w:sz w:val="20"/>
          <w:szCs w:val="20"/>
          <w:color w:val="auto"/>
        </w:rPr>
        <w:t>means the registration statement on Form S-1 filed with the Securities and Exchange Commission for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initial public offering of the Common Stock.</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“Shares” </w:t>
      </w:r>
      <w:r>
        <w:rPr>
          <w:rFonts w:ascii="Arial" w:cs="Arial" w:eastAsia="Arial" w:hAnsi="Arial"/>
          <w:sz w:val="20"/>
          <w:szCs w:val="20"/>
          <w:color w:val="auto"/>
        </w:rPr>
        <w:t>means shares of the common stock of the Company.</w:t>
      </w:r>
    </w:p>
    <w:p>
      <w:pPr>
        <w:spacing w:after="0" w:line="162" w:lineRule="exact"/>
        <w:rPr>
          <w:sz w:val="20"/>
          <w:szCs w:val="20"/>
          <w:color w:val="auto"/>
        </w:rPr>
      </w:pPr>
    </w:p>
    <w:p>
      <w:pPr>
        <w:ind w:right="60" w:firstLine="749"/>
        <w:spacing w:after="0" w:line="250" w:lineRule="auto"/>
        <w:rPr>
          <w:sz w:val="20"/>
          <w:szCs w:val="20"/>
          <w:color w:val="auto"/>
        </w:rPr>
      </w:pPr>
      <w:r>
        <w:rPr>
          <w:rFonts w:ascii="Arial" w:cs="Arial" w:eastAsia="Arial" w:hAnsi="Arial"/>
          <w:sz w:val="20"/>
          <w:szCs w:val="20"/>
          <w:b w:val="1"/>
          <w:bCs w:val="1"/>
          <w:i w:val="1"/>
          <w:iCs w:val="1"/>
          <w:color w:val="auto"/>
        </w:rPr>
        <w:t xml:space="preserve">“Subsidiary” </w:t>
      </w:r>
      <w:r>
        <w:rPr>
          <w:rFonts w:ascii="Arial" w:cs="Arial" w:eastAsia="Arial" w:hAnsi="Arial"/>
          <w:sz w:val="20"/>
          <w:szCs w:val="20"/>
          <w:color w:val="auto"/>
        </w:rPr>
        <w:t>means an entity, domestic or foreign, of which not less than 50% of the voting equity is held by the Company or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whether or not such entity now exists or is hereafter organized or acquired by the Company or a Subsidiary; provided such entity is also a “subsidiary” within the meaning of Section 424 of the Code.</w:t>
      </w:r>
    </w:p>
    <w:p>
      <w:pPr>
        <w:spacing w:after="0" w:line="132"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(i) the date on which a Participant terminates employment or on which the Participant ceases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the Company or a Subsidiary as an employee or as otherwise required under Section 423 with respect to the 423 Component or</w:t>
      </w:r>
    </w:p>
    <w:p>
      <w:pPr>
        <w:ind w:right="160" w:firstLine="8"/>
        <w:spacing w:after="0" w:line="241" w:lineRule="auto"/>
        <w:tabs>
          <w:tab w:leader="none" w:pos="291" w:val="left"/>
        </w:tabs>
        <w:numPr>
          <w:ilvl w:val="0"/>
          <w:numId w:val="147"/>
        </w:numPr>
        <w:rPr>
          <w:rFonts w:ascii="Arial" w:cs="Arial" w:eastAsia="Arial" w:hAnsi="Arial"/>
          <w:sz w:val="20"/>
          <w:szCs w:val="20"/>
          <w:color w:val="auto"/>
        </w:rPr>
      </w:pPr>
      <w:r>
        <w:rPr>
          <w:rFonts w:ascii="Arial" w:cs="Arial" w:eastAsia="Arial" w:hAnsi="Arial"/>
          <w:sz w:val="20"/>
          <w:szCs w:val="20"/>
          <w:color w:val="auto"/>
        </w:rPr>
        <w:t>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148" w:lineRule="exact"/>
        <w:rPr>
          <w:sz w:val="20"/>
          <w:szCs w:val="20"/>
          <w:color w:val="auto"/>
        </w:rPr>
      </w:pPr>
    </w:p>
    <w:p>
      <w:pPr>
        <w:ind w:left="400" w:hanging="392"/>
        <w:spacing w:after="0"/>
        <w:tabs>
          <w:tab w:leader="none" w:pos="400" w:val="left"/>
        </w:tabs>
        <w:numPr>
          <w:ilvl w:val="0"/>
          <w:numId w:val="148"/>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ligibility</w:t>
      </w:r>
      <w:r>
        <w:rPr>
          <w:rFonts w:ascii="Arial" w:cs="Arial" w:eastAsia="Arial" w:hAnsi="Arial"/>
          <w:sz w:val="20"/>
          <w:szCs w:val="20"/>
          <w:b w:val="1"/>
          <w:bCs w:val="1"/>
          <w:color w:val="auto"/>
        </w:rPr>
        <w:t>.</w:t>
      </w:r>
    </w:p>
    <w:p>
      <w:pPr>
        <w:spacing w:after="0" w:line="77" w:lineRule="exact"/>
        <w:rPr>
          <w:rFonts w:ascii="Arial" w:cs="Arial" w:eastAsia="Arial" w:hAnsi="Arial"/>
          <w:sz w:val="22"/>
          <w:szCs w:val="22"/>
          <w:b w:val="1"/>
          <w:bCs w:val="1"/>
          <w:color w:val="auto"/>
        </w:rPr>
      </w:pPr>
    </w:p>
    <w:p>
      <w:pPr>
        <w:ind w:right="60" w:firstLine="757"/>
        <w:spacing w:after="0" w:line="283" w:lineRule="auto"/>
        <w:tabs>
          <w:tab w:leader="none" w:pos="1309" w:val="left"/>
        </w:tabs>
        <w:numPr>
          <w:ilvl w:val="1"/>
          <w:numId w:val="148"/>
        </w:numPr>
        <w:rPr>
          <w:rFonts w:ascii="Arial" w:cs="Arial" w:eastAsia="Arial" w:hAnsi="Arial"/>
          <w:sz w:val="19"/>
          <w:szCs w:val="19"/>
          <w:color w:val="auto"/>
        </w:rPr>
      </w:pPr>
      <w:r>
        <w:rPr>
          <w:rFonts w:ascii="Arial" w:cs="Arial" w:eastAsia="Arial" w:hAnsi="Arial"/>
          <w:sz w:val="18"/>
          <w:szCs w:val="18"/>
          <w:color w:val="auto"/>
        </w:rPr>
        <w:t>Only Employees of the Company or a Participating Subsidiary (i) whose customary employment is 20 hours or more per week and (ii) whose customary employment is for five months or more in any calendar year shall be eligible to be granted Options under the Plan and, in no event may a Participant be granted an Option under the Plan following his or her Termination Date.</w:t>
      </w:r>
    </w:p>
    <w:p>
      <w:pPr>
        <w:spacing w:after="0" w:line="37" w:lineRule="exact"/>
        <w:rPr>
          <w:rFonts w:ascii="Arial" w:cs="Arial" w:eastAsia="Arial" w:hAnsi="Arial"/>
          <w:sz w:val="19"/>
          <w:szCs w:val="19"/>
          <w:color w:val="auto"/>
        </w:rPr>
      </w:pPr>
    </w:p>
    <w:p>
      <w:pPr>
        <w:ind w:right="60" w:firstLine="757"/>
        <w:spacing w:after="0" w:line="251" w:lineRule="auto"/>
        <w:tabs>
          <w:tab w:leader="none" w:pos="1309" w:val="left"/>
        </w:tabs>
        <w:numPr>
          <w:ilvl w:val="1"/>
          <w:numId w:val="148"/>
        </w:numPr>
        <w:rPr>
          <w:rFonts w:ascii="Arial" w:cs="Arial" w:eastAsia="Arial" w:hAnsi="Arial"/>
          <w:sz w:val="21"/>
          <w:szCs w:val="21"/>
          <w:color w:val="auto"/>
        </w:rPr>
      </w:pPr>
      <w:r>
        <w:rPr>
          <w:rFonts w:ascii="Arial" w:cs="Arial" w:eastAsia="Arial" w:hAnsi="Arial"/>
          <w:sz w:val="19"/>
          <w:szCs w:val="19"/>
          <w:color w:val="auto"/>
        </w:rPr>
        <w:t>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5,000 Shares during any Offering Period.</w:t>
      </w:r>
    </w:p>
    <w:p>
      <w:pPr>
        <w:spacing w:after="0" w:line="140" w:lineRule="exact"/>
        <w:rPr>
          <w:rFonts w:ascii="Arial" w:cs="Arial" w:eastAsia="Arial" w:hAnsi="Arial"/>
          <w:sz w:val="21"/>
          <w:szCs w:val="21"/>
          <w:color w:val="auto"/>
        </w:rPr>
      </w:pPr>
    </w:p>
    <w:p>
      <w:pPr>
        <w:ind w:left="400" w:hanging="392"/>
        <w:spacing w:after="0"/>
        <w:tabs>
          <w:tab w:leader="none" w:pos="400" w:val="left"/>
        </w:tabs>
        <w:numPr>
          <w:ilvl w:val="0"/>
          <w:numId w:val="148"/>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xercise of an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shall be exercised on behalf of Participants in the Plan every Exercise Date, using (i) payroll</w:t>
      </w:r>
    </w:p>
    <w:p>
      <w:pPr>
        <w:spacing w:after="0" w:line="9" w:lineRule="exact"/>
        <w:rPr>
          <w:sz w:val="20"/>
          <w:szCs w:val="20"/>
          <w:color w:val="auto"/>
        </w:rPr>
      </w:pPr>
    </w:p>
    <w:p>
      <w:pPr>
        <w:ind w:right="240"/>
        <w:spacing w:after="0" w:line="235" w:lineRule="auto"/>
        <w:rPr>
          <w:sz w:val="20"/>
          <w:szCs w:val="20"/>
          <w:color w:val="auto"/>
        </w:rPr>
      </w:pPr>
      <w:r>
        <w:rPr>
          <w:rFonts w:ascii="Arial" w:cs="Arial" w:eastAsia="Arial" w:hAnsi="Arial"/>
          <w:sz w:val="20"/>
          <w:szCs w:val="20"/>
          <w:color w:val="auto"/>
        </w:rPr>
        <w:t>deductions that have accumulated in the Participants’ Purchase Accounts during the immediately preceding Purchase Period or that have been retained from a prior Purchase Period pursuant to Section 8 hereof and (ii) additional contributions to the Company made pursuant to the Cashless Participation Program approved by the Committee.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3" w:right="379" w:bottom="1440" w:gutter="0" w:footer="0" w:header="0"/>
        </w:sectPr>
      </w:pPr>
    </w:p>
    <w:bookmarkStart w:id="165" w:name="page166"/>
    <w:bookmarkEnd w:id="165"/>
    <w:p>
      <w:pPr>
        <w:ind w:left="392" w:hanging="392"/>
        <w:spacing w:after="0"/>
        <w:tabs>
          <w:tab w:leader="none" w:pos="392" w:val="left"/>
        </w:tabs>
        <w:numPr>
          <w:ilvl w:val="0"/>
          <w:numId w:val="149"/>
        </w:numPr>
        <w:rPr>
          <w:rFonts w:ascii="Arial" w:cs="Arial" w:eastAsia="Arial" w:hAnsi="Arial"/>
          <w:sz w:val="22"/>
          <w:szCs w:val="22"/>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articipation</w:t>
      </w:r>
      <w:r>
        <w:rPr>
          <w:rFonts w:ascii="Arial" w:cs="Arial" w:eastAsia="Arial" w:hAnsi="Arial"/>
          <w:sz w:val="20"/>
          <w:szCs w:val="20"/>
          <w:b w:val="1"/>
          <w:bCs w:val="1"/>
          <w:color w:val="auto"/>
        </w:rPr>
        <w:t>.</w:t>
      </w:r>
    </w:p>
    <w:p>
      <w:pPr>
        <w:spacing w:after="0" w:line="77" w:lineRule="exact"/>
        <w:rPr>
          <w:rFonts w:ascii="Arial" w:cs="Arial" w:eastAsia="Arial" w:hAnsi="Arial"/>
          <w:sz w:val="22"/>
          <w:szCs w:val="22"/>
          <w:b w:val="1"/>
          <w:bCs w:val="1"/>
          <w:color w:val="auto"/>
        </w:rPr>
      </w:pPr>
    </w:p>
    <w:p>
      <w:pPr>
        <w:jc w:val="both"/>
        <w:ind w:left="-8" w:right="280" w:firstLine="757"/>
        <w:spacing w:after="0" w:line="254" w:lineRule="auto"/>
        <w:tabs>
          <w:tab w:leader="none" w:pos="1301" w:val="left"/>
        </w:tabs>
        <w:numPr>
          <w:ilvl w:val="1"/>
          <w:numId w:val="149"/>
        </w:numPr>
        <w:rPr>
          <w:rFonts w:ascii="Arial" w:cs="Arial" w:eastAsia="Arial" w:hAnsi="Arial"/>
          <w:sz w:val="21"/>
          <w:szCs w:val="21"/>
          <w:color w:val="auto"/>
        </w:rPr>
      </w:pPr>
      <w:r>
        <w:rPr>
          <w:rFonts w:ascii="Arial" w:cs="Arial" w:eastAsia="Arial" w:hAnsi="Arial"/>
          <w:sz w:val="19"/>
          <w:szCs w:val="19"/>
          <w:color w:val="auto"/>
        </w:rPr>
        <w:t>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w:t>
      </w:r>
    </w:p>
    <w:p>
      <w:pPr>
        <w:spacing w:after="0" w:line="198" w:lineRule="exact"/>
        <w:rPr>
          <w:rFonts w:ascii="Arial" w:cs="Arial" w:eastAsia="Arial" w:hAnsi="Arial"/>
          <w:sz w:val="21"/>
          <w:szCs w:val="21"/>
          <w:color w:val="auto"/>
        </w:rPr>
      </w:pPr>
    </w:p>
    <w:p>
      <w:pPr>
        <w:ind w:left="-8" w:right="60" w:firstLine="757"/>
        <w:spacing w:after="0" w:line="238" w:lineRule="auto"/>
        <w:tabs>
          <w:tab w:leader="none" w:pos="1301" w:val="left"/>
        </w:tabs>
        <w:numPr>
          <w:ilvl w:val="1"/>
          <w:numId w:val="149"/>
        </w:numPr>
        <w:rPr>
          <w:rFonts w:ascii="Arial" w:cs="Arial" w:eastAsia="Arial" w:hAnsi="Arial"/>
          <w:sz w:val="22"/>
          <w:szCs w:val="22"/>
          <w:color w:val="auto"/>
        </w:rPr>
      </w:pPr>
      <w:r>
        <w:rPr>
          <w:rFonts w:ascii="Arial" w:cs="Arial" w:eastAsia="Arial" w:hAnsi="Arial"/>
          <w:sz w:val="20"/>
          <w:szCs w:val="20"/>
          <w:color w:val="auto"/>
        </w:rPr>
        <w:t>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211" w:lineRule="exact"/>
        <w:rPr>
          <w:rFonts w:ascii="Arial" w:cs="Arial" w:eastAsia="Arial" w:hAnsi="Arial"/>
          <w:sz w:val="22"/>
          <w:szCs w:val="22"/>
          <w:color w:val="auto"/>
        </w:rPr>
      </w:pPr>
    </w:p>
    <w:p>
      <w:pPr>
        <w:jc w:val="both"/>
        <w:ind w:left="-8" w:right="60" w:firstLine="757"/>
        <w:spacing w:after="0" w:line="238" w:lineRule="auto"/>
        <w:tabs>
          <w:tab w:leader="none" w:pos="1301" w:val="left"/>
        </w:tabs>
        <w:numPr>
          <w:ilvl w:val="1"/>
          <w:numId w:val="149"/>
        </w:numPr>
        <w:rPr>
          <w:rFonts w:ascii="Arial" w:cs="Arial" w:eastAsia="Arial" w:hAnsi="Arial"/>
          <w:sz w:val="22"/>
          <w:szCs w:val="22"/>
          <w:color w:val="auto"/>
        </w:rPr>
      </w:pPr>
      <w:r>
        <w:rPr>
          <w:rFonts w:ascii="Arial" w:cs="Arial" w:eastAsia="Arial" w:hAnsi="Arial"/>
          <w:sz w:val="20"/>
          <w:szCs w:val="20"/>
          <w:color w:val="auto"/>
        </w:rPr>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spacing w:after="0" w:line="205" w:lineRule="exact"/>
        <w:rPr>
          <w:rFonts w:ascii="Arial" w:cs="Arial" w:eastAsia="Arial" w:hAnsi="Arial"/>
          <w:sz w:val="22"/>
          <w:szCs w:val="22"/>
          <w:color w:val="auto"/>
        </w:rPr>
      </w:pPr>
    </w:p>
    <w:p>
      <w:pPr>
        <w:ind w:left="392" w:hanging="392"/>
        <w:spacing w:after="0"/>
        <w:tabs>
          <w:tab w:leader="none" w:pos="392" w:val="left"/>
        </w:tabs>
        <w:numPr>
          <w:ilvl w:val="0"/>
          <w:numId w:val="149"/>
        </w:numPr>
        <w:rPr>
          <w:rFonts w:ascii="Arial" w:cs="Arial" w:eastAsia="Arial" w:hAnsi="Arial"/>
          <w:sz w:val="22"/>
          <w:szCs w:val="22"/>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ayroll</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eductions and</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ontributions</w:t>
      </w:r>
      <w:r>
        <w:rPr>
          <w:rFonts w:ascii="Arial" w:cs="Arial" w:eastAsia="Arial" w:hAnsi="Arial"/>
          <w:sz w:val="20"/>
          <w:szCs w:val="20"/>
          <w:b w:val="1"/>
          <w:bCs w:val="1"/>
          <w:color w:val="auto"/>
        </w:rPr>
        <w:t>.</w:t>
      </w:r>
    </w:p>
    <w:p>
      <w:pPr>
        <w:spacing w:after="0" w:line="77" w:lineRule="exact"/>
        <w:rPr>
          <w:rFonts w:ascii="Arial" w:cs="Arial" w:eastAsia="Arial" w:hAnsi="Arial"/>
          <w:sz w:val="22"/>
          <w:szCs w:val="22"/>
          <w:b w:val="1"/>
          <w:bCs w:val="1"/>
          <w:color w:val="auto"/>
        </w:rPr>
      </w:pPr>
    </w:p>
    <w:p>
      <w:pPr>
        <w:ind w:left="-8" w:firstLine="757"/>
        <w:spacing w:after="0" w:line="270" w:lineRule="auto"/>
        <w:tabs>
          <w:tab w:leader="none" w:pos="1301" w:val="left"/>
        </w:tabs>
        <w:numPr>
          <w:ilvl w:val="1"/>
          <w:numId w:val="149"/>
        </w:numPr>
        <w:rPr>
          <w:rFonts w:ascii="Arial" w:cs="Arial" w:eastAsia="Arial" w:hAnsi="Arial"/>
          <w:sz w:val="19"/>
          <w:szCs w:val="19"/>
          <w:color w:val="auto"/>
        </w:rPr>
      </w:pPr>
      <w:r>
        <w:rPr>
          <w:rFonts w:ascii="Arial" w:cs="Arial" w:eastAsia="Arial" w:hAnsi="Arial"/>
          <w:sz w:val="18"/>
          <w:szCs w:val="18"/>
          <w:color w:val="auto"/>
        </w:rPr>
        <w:t>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In addition to such payroll deductions credited to a Participant’s Purchase Account during the Purchase Period, Participants other than executive officers of the Company, within the meaning of the 1934 Act, may elect to purchase Shares pursuant to a cashless participation program approved by the Committee (the “Cashless Participation Program”) by designating an additional amount to be contributed to such Participant’s Purchase Account at the end of such Purchase Period. In addition, notwithstanding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the Committee determines that such other contributions are permissible under Section 423 of the Code.</w:t>
      </w:r>
    </w:p>
    <w:p>
      <w:pPr>
        <w:spacing w:after="0" w:line="15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11" w:right="359" w:bottom="1440" w:gutter="0" w:footer="0" w:header="0"/>
        </w:sectPr>
      </w:pPr>
    </w:p>
    <w:bookmarkStart w:id="166" w:name="page167"/>
    <w:bookmarkEnd w:id="166"/>
    <w:p>
      <w:pPr>
        <w:ind w:firstLine="757"/>
        <w:spacing w:after="0" w:line="282" w:lineRule="auto"/>
        <w:tabs>
          <w:tab w:leader="none" w:pos="1309" w:val="left"/>
        </w:tabs>
        <w:numPr>
          <w:ilvl w:val="1"/>
          <w:numId w:val="150"/>
        </w:numPr>
        <w:rPr>
          <w:rFonts w:ascii="Arial" w:cs="Arial" w:eastAsia="Arial" w:hAnsi="Arial"/>
          <w:sz w:val="18"/>
          <w:szCs w:val="18"/>
          <w:color w:val="auto"/>
        </w:rPr>
      </w:pPr>
      <w:r>
        <w:rPr>
          <w:rFonts w:ascii="Arial" w:cs="Arial" w:eastAsia="Arial" w:hAnsi="Arial"/>
          <w:sz w:val="17"/>
          <w:szCs w:val="17"/>
          <w:color w:val="auto"/>
        </w:rPr>
        <w:t>Except as otherwise determined by the Committee prior to the commencement of an Offering Period, a Participant may not increase the rate of payroll deductions or other contributions to be made to the Plan during a Purchase Period. A Participant may decrease the rate of payroll deductions during a Purchase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 Purchase Period, but not more than one (1) change may be made effective during any Purchase Period, except that a Participant may elect at any time during a Purchase Period, regardless of whether the Participant previously decreased his or her payroll deduction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If a Participant reduces his or her payroll deduction percentage to 0%, then any election to purchase Shares pursuant to the Cashless Participation Program shall automatically terminate. A Participant may change his or her payroll deduction percentage or additional contribution amount under subsection (a) above for any subsequent Purchase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and additional contribution election will automatically apply to the next Offering Period, unless otherwise cancelled or changed by the Participant prior to the commencement of such Offering Period.</w:t>
      </w:r>
    </w:p>
    <w:p>
      <w:pPr>
        <w:spacing w:after="0" w:line="185" w:lineRule="exact"/>
        <w:rPr>
          <w:rFonts w:ascii="Arial" w:cs="Arial" w:eastAsia="Arial" w:hAnsi="Arial"/>
          <w:sz w:val="18"/>
          <w:szCs w:val="18"/>
          <w:color w:val="auto"/>
        </w:rPr>
      </w:pPr>
    </w:p>
    <w:p>
      <w:pPr>
        <w:ind w:right="40" w:firstLine="757"/>
        <w:spacing w:after="0" w:line="263" w:lineRule="auto"/>
        <w:tabs>
          <w:tab w:leader="none" w:pos="1309" w:val="left"/>
        </w:tabs>
        <w:numPr>
          <w:ilvl w:val="1"/>
          <w:numId w:val="150"/>
        </w:numPr>
        <w:rPr>
          <w:rFonts w:ascii="Arial" w:cs="Arial" w:eastAsia="Arial" w:hAnsi="Arial"/>
          <w:sz w:val="19"/>
          <w:szCs w:val="19"/>
          <w:color w:val="auto"/>
        </w:rPr>
      </w:pPr>
      <w:r>
        <w:rPr>
          <w:rFonts w:ascii="Arial" w:cs="Arial" w:eastAsia="Arial" w:hAnsi="Arial"/>
          <w:sz w:val="18"/>
          <w:szCs w:val="18"/>
          <w:color w:val="auto"/>
        </w:rPr>
        <w:t>Notwithstanding the foregoing, to the extent necessary to comply with Section 423(b)(8) of the Code and Section 3(b) hereof, a Participant’s payroll deduction and additional contribution elections may be decreased to 0% at any time during an Offering Period. Payroll deductions and additional contributions shall recommence at the rate provided in such Participant’s election form at the beginning of the first Offering Period which is scheduled to end in the following calendar year, unless terminated by the Participant as provided in Section</w:t>
      </w:r>
    </w:p>
    <w:p>
      <w:pPr>
        <w:ind w:left="260" w:hanging="252"/>
        <w:spacing w:after="0"/>
        <w:tabs>
          <w:tab w:leader="none" w:pos="2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hereof.</w:t>
      </w:r>
    </w:p>
    <w:p>
      <w:pPr>
        <w:spacing w:after="0" w:line="207" w:lineRule="exact"/>
        <w:rPr>
          <w:rFonts w:ascii="Arial" w:cs="Arial" w:eastAsia="Arial" w:hAnsi="Arial"/>
          <w:sz w:val="20"/>
          <w:szCs w:val="20"/>
          <w:color w:val="auto"/>
        </w:rPr>
      </w:pPr>
    </w:p>
    <w:p>
      <w:pPr>
        <w:ind w:right="80" w:firstLine="8"/>
        <w:spacing w:after="0"/>
        <w:tabs>
          <w:tab w:leader="none" w:pos="401" w:val="left"/>
        </w:tabs>
        <w:numPr>
          <w:ilvl w:val="0"/>
          <w:numId w:val="152"/>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rant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applicable Enrollment Date, each Participant in an Offering Period shall be granted an Option to purchase on</w:t>
      </w:r>
      <w:r>
        <w:rPr>
          <w:rFonts w:ascii="Arial" w:cs="Arial" w:eastAsia="Arial" w:hAnsi="Arial"/>
          <w:sz w:val="20"/>
          <w:szCs w:val="20"/>
          <w:b w:val="1"/>
          <w:bCs w:val="1"/>
          <w:color w:val="auto"/>
        </w:rPr>
        <w:t xml:space="preserve"> </w:t>
      </w:r>
      <w:r>
        <w:rPr>
          <w:rFonts w:ascii="Arial" w:cs="Arial" w:eastAsia="Arial" w:hAnsi="Arial"/>
          <w:sz w:val="20"/>
          <w:szCs w:val="20"/>
          <w:color w:val="auto"/>
        </w:rPr>
        <w:t>the applicable Exercise Date a number of full Shares determined by dividing such Participant’s payroll deductions and additional contributions accumulated on or before such Exercise Date and retained in the Participant’s Purchase Account as of the applicable Exercise Date by the applicable Purchase Price.</w:t>
      </w:r>
    </w:p>
    <w:p>
      <w:pPr>
        <w:spacing w:after="0" w:line="150" w:lineRule="exact"/>
        <w:rPr>
          <w:rFonts w:ascii="Arial" w:cs="Arial" w:eastAsia="Arial" w:hAnsi="Arial"/>
          <w:sz w:val="22"/>
          <w:szCs w:val="22"/>
          <w:b w:val="1"/>
          <w:bCs w:val="1"/>
          <w:color w:val="auto"/>
        </w:rPr>
      </w:pPr>
    </w:p>
    <w:p>
      <w:pPr>
        <w:ind w:right="40" w:firstLine="8"/>
        <w:spacing w:after="0" w:line="272" w:lineRule="auto"/>
        <w:tabs>
          <w:tab w:leader="none" w:pos="401" w:val="left"/>
        </w:tabs>
        <w:numPr>
          <w:ilvl w:val="0"/>
          <w:numId w:val="152"/>
        </w:numPr>
        <w:rPr>
          <w:rFonts w:ascii="Arial" w:cs="Arial" w:eastAsia="Arial" w:hAnsi="Arial"/>
          <w:sz w:val="19"/>
          <w:szCs w:val="19"/>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Option for the purchase of Shares shall be exercised automatically on the Exercise Date,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subject to the Option shall be purchased for such Participant at the applicable Purchase Price with the accumulated payroll deductions and additional contributions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spacing w:after="0" w:line="114" w:lineRule="exact"/>
        <w:rPr>
          <w:sz w:val="20"/>
          <w:szCs w:val="20"/>
          <w:color w:val="auto"/>
        </w:rPr>
      </w:pPr>
    </w:p>
    <w:p>
      <w:pPr>
        <w:ind w:right="360"/>
        <w:spacing w:after="0"/>
        <w:rPr>
          <w:sz w:val="20"/>
          <w:szCs w:val="20"/>
          <w:color w:val="auto"/>
        </w:rPr>
      </w:pPr>
      <w:r>
        <w:rPr>
          <w:rFonts w:ascii="Arial" w:cs="Arial" w:eastAsia="Arial" w:hAnsi="Arial"/>
          <w:sz w:val="20"/>
          <w:szCs w:val="20"/>
          <w:color w:val="auto"/>
        </w:rPr>
        <w:t>No fractional Shares shall be purchased; any payroll deductions and other contributions accumulated in a Participant’s Purchase Account which are not sufficient to purchase a full Share shall be retained in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6" w:right="379" w:bottom="1440" w:gutter="0" w:footer="0" w:header="0"/>
        </w:sectPr>
      </w:pPr>
    </w:p>
    <w:bookmarkStart w:id="167" w:name="page168"/>
    <w:bookmarkEnd w:id="167"/>
    <w:p>
      <w:pPr>
        <w:ind w:right="80"/>
        <w:spacing w:after="0" w:line="256" w:lineRule="auto"/>
        <w:rPr>
          <w:sz w:val="20"/>
          <w:szCs w:val="20"/>
          <w:color w:val="auto"/>
        </w:rPr>
      </w:pPr>
      <w:r>
        <w:rPr>
          <w:rFonts w:ascii="Arial" w:cs="Arial" w:eastAsia="Arial" w:hAnsi="Arial"/>
          <w:sz w:val="19"/>
          <w:szCs w:val="19"/>
          <w:color w:val="auto"/>
        </w:rPr>
        <w:t>Purchase Account for the next subsequent Purchase Period, subject to earlier withdrawal by the Participant as provided in Section 12 hereof. All other payroll deductions and other contributions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w:t>
      </w:r>
    </w:p>
    <w:p>
      <w:pPr>
        <w:spacing w:after="0" w:line="135" w:lineRule="exact"/>
        <w:rPr>
          <w:sz w:val="20"/>
          <w:szCs w:val="20"/>
          <w:color w:val="auto"/>
        </w:rPr>
      </w:pPr>
    </w:p>
    <w:p>
      <w:pPr>
        <w:ind w:right="140" w:firstLine="8"/>
        <w:spacing w:after="0" w:line="269" w:lineRule="auto"/>
        <w:tabs>
          <w:tab w:leader="none" w:pos="401" w:val="left"/>
        </w:tabs>
        <w:numPr>
          <w:ilvl w:val="0"/>
          <w:numId w:val="153"/>
        </w:numPr>
        <w:rPr>
          <w:rFonts w:ascii="Arial" w:cs="Arial" w:eastAsia="Arial" w:hAnsi="Arial"/>
          <w:sz w:val="19"/>
          <w:szCs w:val="19"/>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ssuance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purchased by each Participant shall be issued in book entry form and shall be considered to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29" w:lineRule="exact"/>
        <w:rPr>
          <w:rFonts w:ascii="Arial" w:cs="Arial" w:eastAsia="Arial" w:hAnsi="Arial"/>
          <w:sz w:val="19"/>
          <w:szCs w:val="19"/>
          <w:b w:val="1"/>
          <w:bCs w:val="1"/>
          <w:color w:val="auto"/>
        </w:rPr>
      </w:pPr>
    </w:p>
    <w:p>
      <w:pPr>
        <w:ind w:right="20" w:firstLine="8"/>
        <w:spacing w:after="0" w:line="261" w:lineRule="auto"/>
        <w:tabs>
          <w:tab w:leader="none" w:pos="401" w:val="left"/>
        </w:tabs>
        <w:numPr>
          <w:ilvl w:val="0"/>
          <w:numId w:val="153"/>
        </w:numPr>
        <w:rPr>
          <w:rFonts w:ascii="Arial" w:cs="Arial" w:eastAsia="Arial" w:hAnsi="Arial"/>
          <w:sz w:val="20"/>
          <w:szCs w:val="20"/>
          <w:b w:val="1"/>
          <w:bCs w:val="1"/>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pproval by</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above, the Plan is expressly made subject to the approval of the stockholders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130" w:lineRule="exact"/>
        <w:rPr>
          <w:rFonts w:ascii="Arial" w:cs="Arial" w:eastAsia="Arial" w:hAnsi="Arial"/>
          <w:sz w:val="20"/>
          <w:szCs w:val="20"/>
          <w:b w:val="1"/>
          <w:bCs w:val="1"/>
          <w:color w:val="auto"/>
        </w:rPr>
      </w:pPr>
    </w:p>
    <w:p>
      <w:pPr>
        <w:ind w:left="400" w:hanging="392"/>
        <w:spacing w:after="0"/>
        <w:tabs>
          <w:tab w:leader="none" w:pos="400" w:val="left"/>
        </w:tabs>
        <w:numPr>
          <w:ilvl w:val="0"/>
          <w:numId w:val="153"/>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dministration</w:t>
      </w:r>
      <w:r>
        <w:rPr>
          <w:rFonts w:ascii="Arial" w:cs="Arial" w:eastAsia="Arial" w:hAnsi="Arial"/>
          <w:sz w:val="20"/>
          <w:szCs w:val="20"/>
          <w:b w:val="1"/>
          <w:bCs w:val="1"/>
          <w:color w:val="auto"/>
        </w:rPr>
        <w:t>.</w:t>
      </w:r>
    </w:p>
    <w:p>
      <w:pPr>
        <w:spacing w:after="0" w:line="77" w:lineRule="exact"/>
        <w:rPr>
          <w:rFonts w:ascii="Arial" w:cs="Arial" w:eastAsia="Arial" w:hAnsi="Arial"/>
          <w:sz w:val="22"/>
          <w:szCs w:val="22"/>
          <w:b w:val="1"/>
          <w:bCs w:val="1"/>
          <w:color w:val="auto"/>
        </w:rPr>
      </w:pPr>
    </w:p>
    <w:p>
      <w:pPr>
        <w:ind w:firstLine="757"/>
        <w:spacing w:after="0" w:line="251" w:lineRule="auto"/>
        <w:tabs>
          <w:tab w:leader="none" w:pos="1309" w:val="left"/>
        </w:tabs>
        <w:numPr>
          <w:ilvl w:val="1"/>
          <w:numId w:val="153"/>
        </w:numPr>
        <w:rPr>
          <w:rFonts w:ascii="Arial" w:cs="Arial" w:eastAsia="Arial" w:hAnsi="Arial"/>
          <w:sz w:val="21"/>
          <w:szCs w:val="21"/>
          <w:color w:val="auto"/>
        </w:rPr>
      </w:pPr>
      <w:r>
        <w:rPr>
          <w:rFonts w:ascii="Arial" w:cs="Arial" w:eastAsia="Arial" w:hAnsi="Arial"/>
          <w:sz w:val="19"/>
          <w:szCs w:val="19"/>
          <w:u w:val="single" w:color="auto"/>
          <w:color w:val="auto"/>
        </w:rPr>
        <w:t>Powers and Duties of the Committee</w:t>
      </w:r>
      <w:r>
        <w:rPr>
          <w:rFonts w:ascii="Arial" w:cs="Arial" w:eastAsia="Arial" w:hAnsi="Arial"/>
          <w:sz w:val="19"/>
          <w:szCs w:val="19"/>
          <w:color w:val="auto"/>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3" w:right="379" w:bottom="1440" w:gutter="0" w:footer="0" w:header="0"/>
        </w:sectPr>
      </w:pPr>
    </w:p>
    <w:bookmarkStart w:id="168" w:name="page169"/>
    <w:bookmarkEnd w:id="168"/>
    <w:p>
      <w:pPr>
        <w:ind w:right="120" w:firstLine="757"/>
        <w:spacing w:after="0" w:line="250" w:lineRule="auto"/>
        <w:tabs>
          <w:tab w:leader="none" w:pos="1309" w:val="left"/>
        </w:tabs>
        <w:numPr>
          <w:ilvl w:val="0"/>
          <w:numId w:val="154"/>
        </w:numPr>
        <w:rPr>
          <w:rFonts w:ascii="Arial" w:cs="Arial" w:eastAsia="Arial" w:hAnsi="Arial"/>
          <w:sz w:val="21"/>
          <w:szCs w:val="21"/>
          <w:color w:val="auto"/>
        </w:rPr>
      </w:pPr>
      <w:r>
        <w:rPr>
          <w:rFonts w:ascii="Arial" w:cs="Arial" w:eastAsia="Arial" w:hAnsi="Arial"/>
          <w:sz w:val="19"/>
          <w:szCs w:val="19"/>
          <w:u w:val="single" w:color="auto"/>
          <w:color w:val="auto"/>
        </w:rPr>
        <w:t>Administrator</w:t>
      </w:r>
      <w:r>
        <w:rPr>
          <w:rFonts w:ascii="Arial" w:cs="Arial" w:eastAsia="Arial" w:hAnsi="Arial"/>
          <w:sz w:val="19"/>
          <w:szCs w:val="19"/>
          <w:color w:val="auto"/>
        </w:rPr>
        <w:t>. The Company, Board or the Committee may engage the services of one or more brokerage firms or other companies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203" w:lineRule="exact"/>
        <w:rPr>
          <w:rFonts w:ascii="Arial" w:cs="Arial" w:eastAsia="Arial" w:hAnsi="Arial"/>
          <w:sz w:val="21"/>
          <w:szCs w:val="21"/>
          <w:color w:val="auto"/>
        </w:rPr>
      </w:pPr>
    </w:p>
    <w:p>
      <w:pPr>
        <w:ind w:firstLine="757"/>
        <w:spacing w:after="0" w:line="253" w:lineRule="auto"/>
        <w:tabs>
          <w:tab w:leader="none" w:pos="1309" w:val="left"/>
        </w:tabs>
        <w:numPr>
          <w:ilvl w:val="0"/>
          <w:numId w:val="154"/>
        </w:numPr>
        <w:rPr>
          <w:rFonts w:ascii="Arial" w:cs="Arial" w:eastAsia="Arial" w:hAnsi="Arial"/>
          <w:sz w:val="21"/>
          <w:szCs w:val="21"/>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7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39" w:lineRule="exact"/>
        <w:rPr>
          <w:sz w:val="20"/>
          <w:szCs w:val="20"/>
          <w:color w:val="auto"/>
        </w:rPr>
      </w:pPr>
    </w:p>
    <w:p>
      <w:pPr>
        <w:ind w:right="140" w:firstLine="8"/>
        <w:spacing w:after="0" w:line="273" w:lineRule="auto"/>
        <w:tabs>
          <w:tab w:leader="none" w:pos="401" w:val="left"/>
        </w:tabs>
        <w:numPr>
          <w:ilvl w:val="0"/>
          <w:numId w:val="155"/>
        </w:numPr>
        <w:rPr>
          <w:rFonts w:ascii="Arial" w:cs="Arial" w:eastAsia="Arial" w:hAnsi="Arial"/>
          <w:sz w:val="19"/>
          <w:szCs w:val="19"/>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ithdrawal</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withdraw from the Plan by properly completing and submitting to the Company a withdrawal form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or additional contributions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spacing w:after="0" w:line="107" w:lineRule="exact"/>
        <w:rPr>
          <w:rFonts w:ascii="Arial" w:cs="Arial" w:eastAsia="Arial" w:hAnsi="Arial"/>
          <w:sz w:val="19"/>
          <w:szCs w:val="19"/>
          <w:b w:val="1"/>
          <w:bCs w:val="1"/>
          <w:color w:val="auto"/>
        </w:rPr>
      </w:pPr>
    </w:p>
    <w:p>
      <w:pPr>
        <w:ind w:right="260" w:firstLine="8"/>
        <w:spacing w:after="0" w:line="259" w:lineRule="auto"/>
        <w:tabs>
          <w:tab w:leader="none" w:pos="401" w:val="left"/>
        </w:tabs>
        <w:numPr>
          <w:ilvl w:val="0"/>
          <w:numId w:val="155"/>
        </w:numPr>
        <w:rPr>
          <w:rFonts w:ascii="Arial" w:cs="Arial" w:eastAsia="Arial" w:hAnsi="Arial"/>
          <w:sz w:val="20"/>
          <w:szCs w:val="20"/>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ermination of</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On the Termination Date of a Participant for any reason prior to the applicable Exercise Date,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31" w:lineRule="exact"/>
        <w:rPr>
          <w:rFonts w:ascii="Arial" w:cs="Arial" w:eastAsia="Arial" w:hAnsi="Arial"/>
          <w:sz w:val="20"/>
          <w:szCs w:val="20"/>
          <w:b w:val="1"/>
          <w:bCs w:val="1"/>
          <w:color w:val="auto"/>
        </w:rPr>
      </w:pPr>
    </w:p>
    <w:p>
      <w:pPr>
        <w:ind w:left="400" w:hanging="392"/>
        <w:spacing w:after="0"/>
        <w:tabs>
          <w:tab w:leader="none" w:pos="400" w:val="left"/>
        </w:tabs>
        <w:numPr>
          <w:ilvl w:val="0"/>
          <w:numId w:val="155"/>
        </w:numPr>
        <w:rPr>
          <w:rFonts w:ascii="Arial" w:cs="Arial" w:eastAsia="Arial" w:hAnsi="Arial"/>
          <w:sz w:val="22"/>
          <w:szCs w:val="22"/>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nterest</w:t>
      </w:r>
      <w:r>
        <w:rPr>
          <w:rFonts w:ascii="Arial" w:cs="Arial" w:eastAsia="Arial" w:hAnsi="Arial"/>
          <w:sz w:val="20"/>
          <w:szCs w:val="20"/>
          <w:b w:val="1"/>
          <w:bCs w:val="1"/>
          <w:color w:val="auto"/>
        </w:rPr>
        <w:t xml:space="preserve">. </w:t>
      </w:r>
      <w:r>
        <w:rPr>
          <w:rFonts w:ascii="Arial" w:cs="Arial" w:eastAsia="Arial" w:hAnsi="Arial"/>
          <w:sz w:val="20"/>
          <w:szCs w:val="20"/>
          <w:color w:val="auto"/>
        </w:rPr>
        <w:t>No interest shall accrue on the payroll deductions or other contributions of a Participant in the Plan.</w:t>
      </w:r>
    </w:p>
    <w:p>
      <w:pPr>
        <w:spacing w:after="0" w:line="165" w:lineRule="exact"/>
        <w:rPr>
          <w:rFonts w:ascii="Arial" w:cs="Arial" w:eastAsia="Arial" w:hAnsi="Arial"/>
          <w:sz w:val="22"/>
          <w:szCs w:val="22"/>
          <w:b w:val="1"/>
          <w:bCs w:val="1"/>
          <w:color w:val="auto"/>
        </w:rPr>
      </w:pPr>
    </w:p>
    <w:p>
      <w:pPr>
        <w:ind w:left="400" w:hanging="392"/>
        <w:spacing w:after="0"/>
        <w:tabs>
          <w:tab w:leader="none" w:pos="400" w:val="left"/>
        </w:tabs>
        <w:numPr>
          <w:ilvl w:val="0"/>
          <w:numId w:val="155"/>
        </w:numPr>
        <w:rPr>
          <w:rFonts w:ascii="Arial" w:cs="Arial" w:eastAsia="Arial" w:hAnsi="Arial"/>
          <w:sz w:val="22"/>
          <w:szCs w:val="22"/>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tock</w:t>
      </w:r>
      <w:r>
        <w:rPr>
          <w:rFonts w:ascii="Arial" w:cs="Arial" w:eastAsia="Arial" w:hAnsi="Arial"/>
          <w:sz w:val="20"/>
          <w:szCs w:val="20"/>
          <w:b w:val="1"/>
          <w:bCs w:val="1"/>
          <w:color w:val="auto"/>
        </w:rPr>
        <w:t>.</w:t>
      </w:r>
    </w:p>
    <w:p>
      <w:pPr>
        <w:spacing w:after="0" w:line="77" w:lineRule="exact"/>
        <w:rPr>
          <w:rFonts w:ascii="Arial" w:cs="Arial" w:eastAsia="Arial" w:hAnsi="Arial"/>
          <w:sz w:val="22"/>
          <w:szCs w:val="22"/>
          <w:b w:val="1"/>
          <w:bCs w:val="1"/>
          <w:color w:val="auto"/>
        </w:rPr>
      </w:pPr>
    </w:p>
    <w:p>
      <w:pPr>
        <w:ind w:right="220" w:firstLine="757"/>
        <w:spacing w:after="0" w:line="238" w:lineRule="auto"/>
        <w:tabs>
          <w:tab w:leader="none" w:pos="1309" w:val="left"/>
        </w:tabs>
        <w:numPr>
          <w:ilvl w:val="1"/>
          <w:numId w:val="155"/>
        </w:numPr>
        <w:rPr>
          <w:rFonts w:ascii="Arial" w:cs="Arial" w:eastAsia="Arial" w:hAnsi="Arial"/>
          <w:sz w:val="22"/>
          <w:szCs w:val="22"/>
          <w:color w:val="auto"/>
        </w:rPr>
      </w:pPr>
      <w:r>
        <w:rPr>
          <w:rFonts w:ascii="Arial" w:cs="Arial" w:eastAsia="Arial" w:hAnsi="Arial"/>
          <w:sz w:val="20"/>
          <w:szCs w:val="20"/>
          <w:color w:val="auto"/>
        </w:rPr>
        <w:t>The stock subject to Options shall be common stock of the Company as traded on NASDAQ or on such other exchange as the Shares may be listed.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bookmarkStart w:id="169" w:name="page170"/>
    <w:bookmarkEnd w:id="169"/>
    <w:p>
      <w:pPr>
        <w:ind w:left="-8" w:right="20" w:firstLine="757"/>
        <w:spacing w:after="0" w:line="268" w:lineRule="auto"/>
        <w:tabs>
          <w:tab w:leader="none" w:pos="1301" w:val="left"/>
        </w:tabs>
        <w:numPr>
          <w:ilvl w:val="1"/>
          <w:numId w:val="156"/>
        </w:numPr>
        <w:rPr>
          <w:rFonts w:ascii="Arial" w:cs="Arial" w:eastAsia="Arial" w:hAnsi="Arial"/>
          <w:sz w:val="19"/>
          <w:szCs w:val="19"/>
          <w:color w:val="auto"/>
        </w:rPr>
      </w:pPr>
      <w:r>
        <w:rPr>
          <w:rFonts w:ascii="Arial" w:cs="Arial" w:eastAsia="Arial" w:hAnsi="Arial"/>
          <w:sz w:val="18"/>
          <w:szCs w:val="18"/>
          <w:color w:val="auto"/>
        </w:rPr>
        <w:t>Subject to adjustment upon changes in capitalization of the Company as provided in Section 18 hereof, the maximum number of Shares which shall be made available for sale under the Plan shall be 687,218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December 31, 2021, and continuing until (and including) the fiscal year ending December 31, 2030, with such annual increase equal to the lesser of (i) 687,218 Shares, (ii) 1% of the number of Shares issued and outstanding on December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188" w:lineRule="exact"/>
        <w:rPr>
          <w:rFonts w:ascii="Arial" w:cs="Arial" w:eastAsia="Arial" w:hAnsi="Arial"/>
          <w:sz w:val="19"/>
          <w:szCs w:val="19"/>
          <w:color w:val="auto"/>
        </w:rPr>
      </w:pPr>
    </w:p>
    <w:p>
      <w:pPr>
        <w:ind w:left="-8" w:right="700" w:firstLine="757"/>
        <w:spacing w:after="0" w:line="261" w:lineRule="auto"/>
        <w:tabs>
          <w:tab w:leader="none" w:pos="1301" w:val="left"/>
        </w:tabs>
        <w:numPr>
          <w:ilvl w:val="1"/>
          <w:numId w:val="156"/>
        </w:numPr>
        <w:rPr>
          <w:rFonts w:ascii="Arial" w:cs="Arial" w:eastAsia="Arial" w:hAnsi="Arial"/>
          <w:sz w:val="21"/>
          <w:szCs w:val="21"/>
          <w:color w:val="auto"/>
        </w:rPr>
      </w:pPr>
      <w:r>
        <w:rPr>
          <w:rFonts w:ascii="Arial" w:cs="Arial" w:eastAsia="Arial" w:hAnsi="Arial"/>
          <w:sz w:val="19"/>
          <w:szCs w:val="19"/>
          <w:color w:val="auto"/>
        </w:rPr>
        <w:t>A Participant shall have no interest or voting right in Shares covered by his or her Option until such Option has been exercised and the Participant has become a holder of record of Shares acquired pursuant to such exercise.</w:t>
      </w:r>
    </w:p>
    <w:p>
      <w:pPr>
        <w:spacing w:after="0" w:line="182" w:lineRule="exact"/>
        <w:rPr>
          <w:rFonts w:ascii="Arial" w:cs="Arial" w:eastAsia="Arial" w:hAnsi="Arial"/>
          <w:sz w:val="21"/>
          <w:szCs w:val="21"/>
          <w:color w:val="auto"/>
        </w:rPr>
      </w:pPr>
    </w:p>
    <w:p>
      <w:pPr>
        <w:ind w:left="-8" w:right="100" w:firstLine="8"/>
        <w:spacing w:after="0"/>
        <w:tabs>
          <w:tab w:leader="none" w:pos="393" w:val="left"/>
        </w:tabs>
        <w:numPr>
          <w:ilvl w:val="0"/>
          <w:numId w:val="157"/>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esignation of</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eneficiary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permit Participants to designate beneficiaries to receive any Purchased Shares or</w:t>
      </w:r>
      <w:r>
        <w:rPr>
          <w:rFonts w:ascii="Arial" w:cs="Arial" w:eastAsia="Arial" w:hAnsi="Arial"/>
          <w:sz w:val="20"/>
          <w:szCs w:val="20"/>
          <w:b w:val="1"/>
          <w:bCs w:val="1"/>
          <w:color w:val="auto"/>
        </w:rPr>
        <w:t xml:space="preserve"> </w:t>
      </w:r>
      <w:r>
        <w:rPr>
          <w:rFonts w:ascii="Arial" w:cs="Arial" w:eastAsia="Arial" w:hAnsi="Arial"/>
          <w:sz w:val="20"/>
          <w:szCs w:val="20"/>
          <w:color w:val="auto"/>
        </w:rPr>
        <w:t>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150" w:lineRule="exact"/>
        <w:rPr>
          <w:rFonts w:ascii="Arial" w:cs="Arial" w:eastAsia="Arial" w:hAnsi="Arial"/>
          <w:sz w:val="22"/>
          <w:szCs w:val="22"/>
          <w:b w:val="1"/>
          <w:bCs w:val="1"/>
          <w:color w:val="auto"/>
        </w:rPr>
      </w:pPr>
    </w:p>
    <w:p>
      <w:pPr>
        <w:ind w:left="-8" w:right="40" w:firstLine="8"/>
        <w:spacing w:after="0" w:line="274" w:lineRule="auto"/>
        <w:tabs>
          <w:tab w:leader="none" w:pos="393" w:val="left"/>
        </w:tabs>
        <w:numPr>
          <w:ilvl w:val="0"/>
          <w:numId w:val="157"/>
        </w:numPr>
        <w:rPr>
          <w:rFonts w:ascii="Arial" w:cs="Arial" w:eastAsia="Arial" w:hAnsi="Arial"/>
          <w:sz w:val="19"/>
          <w:szCs w:val="19"/>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ssignability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payroll deductions or other contributions credited to a Participant’s Purchase Account nor any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exercise of an Option or to receive Shares under the Plan may be assigned, transferred, pledged or otherwise disposed of in any way (other than by will, the laws of descent and distribution or as provided in Section 16 hereof) by the Participant; provided that the Shares acquired pursuant to the terms of the Cashless Participation Program may be pledged and sold pursuant to the terms of the Cashless Participation Program. Any such attempt at assignment, transfer, pledge or other disposition shall be without effect, except that the Company may treat such act as an election to withdraw from an Offering Period in accordance with Section 12 hereof.</w:t>
      </w:r>
    </w:p>
    <w:p>
      <w:pPr>
        <w:spacing w:after="0" w:line="121" w:lineRule="exact"/>
        <w:rPr>
          <w:rFonts w:ascii="Arial" w:cs="Arial" w:eastAsia="Arial" w:hAnsi="Arial"/>
          <w:sz w:val="19"/>
          <w:szCs w:val="19"/>
          <w:b w:val="1"/>
          <w:bCs w:val="1"/>
          <w:color w:val="auto"/>
        </w:rPr>
      </w:pPr>
    </w:p>
    <w:p>
      <w:pPr>
        <w:ind w:left="392" w:hanging="392"/>
        <w:spacing w:after="0"/>
        <w:tabs>
          <w:tab w:leader="none" w:pos="392" w:val="left"/>
        </w:tabs>
        <w:numPr>
          <w:ilvl w:val="0"/>
          <w:numId w:val="157"/>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djustment of</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umber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ptions</w:t>
      </w:r>
      <w:r>
        <w:rPr>
          <w:rFonts w:ascii="Arial" w:cs="Arial" w:eastAsia="Arial" w:hAnsi="Arial"/>
          <w:sz w:val="20"/>
          <w:szCs w:val="20"/>
          <w:b w:val="1"/>
          <w:bCs w:val="1"/>
          <w:color w:val="auto"/>
        </w:rPr>
        <w:t>.</w:t>
      </w:r>
    </w:p>
    <w:p>
      <w:pPr>
        <w:spacing w:after="0" w:line="77" w:lineRule="exact"/>
        <w:rPr>
          <w:rFonts w:ascii="Arial" w:cs="Arial" w:eastAsia="Arial" w:hAnsi="Arial"/>
          <w:sz w:val="22"/>
          <w:szCs w:val="22"/>
          <w:b w:val="1"/>
          <w:bCs w:val="1"/>
          <w:color w:val="auto"/>
        </w:rPr>
      </w:pPr>
    </w:p>
    <w:p>
      <w:pPr>
        <w:ind w:left="-8" w:firstLine="757"/>
        <w:spacing w:after="0" w:line="267" w:lineRule="auto"/>
        <w:tabs>
          <w:tab w:leader="none" w:pos="1301" w:val="left"/>
        </w:tabs>
        <w:numPr>
          <w:ilvl w:val="1"/>
          <w:numId w:val="157"/>
        </w:numPr>
        <w:rPr>
          <w:rFonts w:ascii="Arial" w:cs="Arial" w:eastAsia="Arial" w:hAnsi="Arial"/>
          <w:sz w:val="19"/>
          <w:szCs w:val="19"/>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636" w:right="339" w:bottom="1440" w:gutter="0" w:footer="0" w:header="0"/>
        </w:sectPr>
      </w:pPr>
    </w:p>
    <w:bookmarkStart w:id="170" w:name="page171"/>
    <w:bookmarkEnd w:id="170"/>
    <w:p>
      <w:pPr>
        <w:ind w:right="80" w:firstLine="757"/>
        <w:spacing w:after="0" w:line="238" w:lineRule="auto"/>
        <w:tabs>
          <w:tab w:leader="none" w:pos="1309" w:val="left"/>
        </w:tabs>
        <w:numPr>
          <w:ilvl w:val="1"/>
          <w:numId w:val="158"/>
        </w:numPr>
        <w:rPr>
          <w:rFonts w:ascii="Arial" w:cs="Arial" w:eastAsia="Arial" w:hAnsi="Arial"/>
          <w:sz w:val="22"/>
          <w:szCs w:val="22"/>
          <w:color w:val="auto"/>
        </w:rPr>
      </w:pPr>
      <w:r>
        <w:rPr>
          <w:rFonts w:ascii="Arial" w:cs="Arial" w:eastAsia="Arial" w:hAnsi="Arial"/>
          <w:sz w:val="20"/>
          <w:szCs w:val="20"/>
          <w:u w:val="single" w:color="auto"/>
          <w:color w:val="auto"/>
        </w:rPr>
        <w:t>Dissolution or Liquidation</w:t>
      </w:r>
      <w:r>
        <w:rPr>
          <w:rFonts w:ascii="Arial" w:cs="Arial" w:eastAsia="Arial" w:hAnsi="Arial"/>
          <w:sz w:val="20"/>
          <w:szCs w:val="20"/>
          <w:color w:val="auto"/>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212" w:lineRule="exact"/>
        <w:rPr>
          <w:rFonts w:ascii="Arial" w:cs="Arial" w:eastAsia="Arial" w:hAnsi="Arial"/>
          <w:sz w:val="22"/>
          <w:szCs w:val="22"/>
          <w:color w:val="auto"/>
        </w:rPr>
      </w:pPr>
    </w:p>
    <w:p>
      <w:pPr>
        <w:ind w:right="40" w:firstLine="757"/>
        <w:spacing w:after="0" w:line="236" w:lineRule="auto"/>
        <w:tabs>
          <w:tab w:leader="none" w:pos="1309" w:val="left"/>
        </w:tabs>
        <w:numPr>
          <w:ilvl w:val="1"/>
          <w:numId w:val="158"/>
        </w:numPr>
        <w:rPr>
          <w:rFonts w:ascii="Arial" w:cs="Arial" w:eastAsia="Arial" w:hAnsi="Arial"/>
          <w:sz w:val="22"/>
          <w:szCs w:val="22"/>
          <w:color w:val="auto"/>
        </w:rPr>
      </w:pPr>
      <w:r>
        <w:rPr>
          <w:rFonts w:ascii="Arial" w:cs="Arial" w:eastAsia="Arial" w:hAnsi="Arial"/>
          <w:sz w:val="20"/>
          <w:szCs w:val="20"/>
          <w:u w:val="single" w:color="auto"/>
          <w:color w:val="auto"/>
        </w:rPr>
        <w:t>Merger or Asset Sale</w:t>
      </w:r>
      <w:r>
        <w:rPr>
          <w:rFonts w:ascii="Arial" w:cs="Arial" w:eastAsia="Arial" w:hAnsi="Arial"/>
          <w:sz w:val="20"/>
          <w:szCs w:val="20"/>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207" w:lineRule="exact"/>
        <w:rPr>
          <w:rFonts w:ascii="Arial" w:cs="Arial" w:eastAsia="Arial" w:hAnsi="Arial"/>
          <w:sz w:val="22"/>
          <w:szCs w:val="22"/>
          <w:color w:val="auto"/>
        </w:rPr>
      </w:pPr>
    </w:p>
    <w:p>
      <w:pPr>
        <w:ind w:left="400" w:hanging="392"/>
        <w:spacing w:after="0"/>
        <w:tabs>
          <w:tab w:leader="none" w:pos="400" w:val="left"/>
        </w:tabs>
        <w:numPr>
          <w:ilvl w:val="0"/>
          <w:numId w:val="159"/>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mendments or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w:t>
      </w:r>
    </w:p>
    <w:p>
      <w:pPr>
        <w:spacing w:after="0" w:line="90" w:lineRule="exact"/>
        <w:rPr>
          <w:rFonts w:ascii="Arial" w:cs="Arial" w:eastAsia="Arial" w:hAnsi="Arial"/>
          <w:sz w:val="22"/>
          <w:szCs w:val="22"/>
          <w:b w:val="1"/>
          <w:bCs w:val="1"/>
          <w:color w:val="auto"/>
        </w:rPr>
      </w:pPr>
    </w:p>
    <w:p>
      <w:pPr>
        <w:ind w:right="60" w:firstLine="757"/>
        <w:spacing w:after="0" w:line="238" w:lineRule="auto"/>
        <w:tabs>
          <w:tab w:leader="none" w:pos="1309" w:val="left"/>
        </w:tabs>
        <w:numPr>
          <w:ilvl w:val="1"/>
          <w:numId w:val="159"/>
        </w:numPr>
        <w:rPr>
          <w:rFonts w:ascii="Arial" w:cs="Arial" w:eastAsia="Arial" w:hAnsi="Arial"/>
          <w:sz w:val="22"/>
          <w:szCs w:val="22"/>
          <w:color w:val="auto"/>
        </w:rPr>
      </w:pPr>
      <w:r>
        <w:rPr>
          <w:rFonts w:ascii="Arial" w:cs="Arial" w:eastAsia="Arial" w:hAnsi="Arial"/>
          <w:sz w:val="20"/>
          <w:szCs w:val="20"/>
          <w:color w:val="auto"/>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199" w:lineRule="exact"/>
        <w:rPr>
          <w:sz w:val="20"/>
          <w:szCs w:val="20"/>
          <w:color w:val="auto"/>
        </w:rPr>
      </w:pPr>
    </w:p>
    <w:p>
      <w:pPr>
        <w:ind w:firstLine="757"/>
        <w:spacing w:after="0" w:line="267" w:lineRule="auto"/>
        <w:tabs>
          <w:tab w:leader="none" w:pos="1309" w:val="left"/>
        </w:tabs>
        <w:numPr>
          <w:ilvl w:val="1"/>
          <w:numId w:val="160"/>
        </w:numPr>
        <w:rPr>
          <w:rFonts w:ascii="Arial" w:cs="Arial" w:eastAsia="Arial" w:hAnsi="Arial"/>
          <w:sz w:val="19"/>
          <w:szCs w:val="19"/>
          <w:color w:val="auto"/>
        </w:rPr>
      </w:pPr>
      <w:r>
        <w:rPr>
          <w:rFonts w:ascii="Arial" w:cs="Arial" w:eastAsia="Arial" w:hAnsi="Arial"/>
          <w:sz w:val="18"/>
          <w:szCs w:val="18"/>
          <w:color w:val="auto"/>
        </w:rPr>
        <w:t>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or other contributions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w:t>
      </w:r>
    </w:p>
    <w:p>
      <w:pPr>
        <w:spacing w:after="0" w:line="187" w:lineRule="exact"/>
        <w:rPr>
          <w:rFonts w:ascii="Arial" w:cs="Arial" w:eastAsia="Arial" w:hAnsi="Arial"/>
          <w:sz w:val="19"/>
          <w:szCs w:val="19"/>
          <w:color w:val="auto"/>
        </w:rPr>
      </w:pPr>
    </w:p>
    <w:p>
      <w:pPr>
        <w:ind w:right="20" w:firstLine="8"/>
        <w:spacing w:after="0" w:line="265" w:lineRule="auto"/>
        <w:tabs>
          <w:tab w:leader="none" w:pos="401" w:val="left"/>
        </w:tabs>
        <w:numPr>
          <w:ilvl w:val="0"/>
          <w:numId w:val="161"/>
        </w:numPr>
        <w:rPr>
          <w:rFonts w:ascii="Arial" w:cs="Arial" w:eastAsia="Arial" w:hAnsi="Arial"/>
          <w:sz w:val="20"/>
          <w:szCs w:val="20"/>
          <w:b w:val="1"/>
          <w:bCs w:val="1"/>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o</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of an Option pursuant to the Plan shall impose no obligation upon the Participant to purchase 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covered by such Option. Nor shall the granting of an Option pursuant to the Plan constitute an agreement or an understanding, express or implied, on the part of the Company to employ the Participant for any specified period.</w:t>
      </w:r>
    </w:p>
    <w:p>
      <w:pPr>
        <w:spacing w:after="0" w:line="127" w:lineRule="exact"/>
        <w:rPr>
          <w:rFonts w:ascii="Arial" w:cs="Arial" w:eastAsia="Arial" w:hAnsi="Arial"/>
          <w:sz w:val="20"/>
          <w:szCs w:val="20"/>
          <w:b w:val="1"/>
          <w:bCs w:val="1"/>
          <w:color w:val="auto"/>
        </w:rPr>
      </w:pPr>
    </w:p>
    <w:p>
      <w:pPr>
        <w:ind w:firstLine="8"/>
        <w:spacing w:after="0" w:line="241" w:lineRule="auto"/>
        <w:tabs>
          <w:tab w:leader="none" w:pos="401" w:val="left"/>
        </w:tabs>
        <w:numPr>
          <w:ilvl w:val="0"/>
          <w:numId w:val="161"/>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 and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ommunication</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 or other form of communication which the Company or a Participant may be required or</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to give to the other shall be provided through such means as designated by the Committee, including but not limited to any paper or electronic method.</w:t>
      </w:r>
    </w:p>
    <w:p>
      <w:pPr>
        <w:spacing w:after="0" w:line="148" w:lineRule="exact"/>
        <w:rPr>
          <w:rFonts w:ascii="Arial" w:cs="Arial" w:eastAsia="Arial" w:hAnsi="Arial"/>
          <w:sz w:val="22"/>
          <w:szCs w:val="22"/>
          <w:b w:val="1"/>
          <w:bCs w:val="1"/>
          <w:color w:val="auto"/>
        </w:rPr>
      </w:pPr>
    </w:p>
    <w:p>
      <w:pPr>
        <w:ind w:left="400" w:hanging="392"/>
        <w:spacing w:after="0"/>
        <w:tabs>
          <w:tab w:leader="none" w:pos="400" w:val="left"/>
        </w:tabs>
        <w:numPr>
          <w:ilvl w:val="0"/>
          <w:numId w:val="161"/>
        </w:numPr>
        <w:rPr>
          <w:rFonts w:ascii="Arial" w:cs="Arial" w:eastAsia="Arial" w:hAnsi="Arial"/>
          <w:sz w:val="22"/>
          <w:szCs w:val="22"/>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ondition upon</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171" w:name="page172"/>
    <w:bookmarkEnd w:id="171"/>
    <w:p>
      <w:pPr>
        <w:ind w:left="-8" w:firstLine="757"/>
        <w:spacing w:after="0" w:line="277" w:lineRule="auto"/>
        <w:tabs>
          <w:tab w:leader="none" w:pos="1301" w:val="left"/>
        </w:tabs>
        <w:numPr>
          <w:ilvl w:val="0"/>
          <w:numId w:val="162"/>
        </w:numPr>
        <w:rPr>
          <w:rFonts w:ascii="Arial" w:cs="Arial" w:eastAsia="Arial" w:hAnsi="Arial"/>
          <w:sz w:val="19"/>
          <w:szCs w:val="19"/>
          <w:color w:val="auto"/>
        </w:rPr>
      </w:pPr>
      <w:r>
        <w:rPr>
          <w:rFonts w:ascii="Arial" w:cs="Arial" w:eastAsia="Arial" w:hAnsi="Arial"/>
          <w:sz w:val="18"/>
          <w:szCs w:val="18"/>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179" w:lineRule="exact"/>
        <w:rPr>
          <w:sz w:val="20"/>
          <w:szCs w:val="20"/>
          <w:color w:val="auto"/>
        </w:rPr>
      </w:pPr>
    </w:p>
    <w:p>
      <w:pPr>
        <w:ind w:left="-8" w:right="120" w:firstLine="757"/>
        <w:spacing w:after="0" w:line="238" w:lineRule="auto"/>
        <w:tabs>
          <w:tab w:leader="none" w:pos="1301" w:val="left"/>
        </w:tabs>
        <w:numPr>
          <w:ilvl w:val="1"/>
          <w:numId w:val="163"/>
        </w:numPr>
        <w:rPr>
          <w:rFonts w:ascii="Arial" w:cs="Arial" w:eastAsia="Arial" w:hAnsi="Arial"/>
          <w:sz w:val="22"/>
          <w:szCs w:val="22"/>
          <w:color w:val="auto"/>
        </w:rPr>
      </w:pPr>
      <w:r>
        <w:rPr>
          <w:rFonts w:ascii="Arial" w:cs="Arial" w:eastAsia="Arial" w:hAnsi="Arial"/>
          <w:sz w:val="20"/>
          <w:szCs w:val="20"/>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92" w:lineRule="exact"/>
        <w:rPr>
          <w:rFonts w:ascii="Arial" w:cs="Arial" w:eastAsia="Arial" w:hAnsi="Arial"/>
          <w:sz w:val="22"/>
          <w:szCs w:val="22"/>
          <w:color w:val="auto"/>
        </w:rPr>
      </w:pPr>
    </w:p>
    <w:p>
      <w:pPr>
        <w:ind w:left="-8" w:right="80" w:firstLine="8"/>
        <w:spacing w:after="0" w:line="295" w:lineRule="auto"/>
        <w:tabs>
          <w:tab w:leader="none" w:pos="393" w:val="left"/>
        </w:tabs>
        <w:numPr>
          <w:ilvl w:val="0"/>
          <w:numId w:val="164"/>
        </w:numPr>
        <w:rPr>
          <w:rFonts w:ascii="Arial" w:cs="Arial" w:eastAsia="Arial" w:hAnsi="Arial"/>
          <w:sz w:val="20"/>
          <w:szCs w:val="20"/>
          <w:b w:val="1"/>
          <w:bCs w:val="1"/>
          <w:color w:val="auto"/>
        </w:rPr>
      </w:pPr>
      <w:r>
        <w:rPr>
          <w:rFonts w:ascii="Arial" w:cs="Arial" w:eastAsia="Arial" w:hAnsi="Arial"/>
          <w:sz w:val="19"/>
          <w:szCs w:val="19"/>
          <w:b w:val="1"/>
          <w:bCs w:val="1"/>
          <w:color w:val="auto"/>
        </w:rPr>
        <w:t>G</w:t>
      </w:r>
      <w:r>
        <w:rPr>
          <w:rFonts w:ascii="Arial" w:cs="Arial" w:eastAsia="Arial" w:hAnsi="Arial"/>
          <w:sz w:val="12"/>
          <w:szCs w:val="12"/>
          <w:b w:val="1"/>
          <w:bCs w:val="1"/>
          <w:color w:val="auto"/>
        </w:rPr>
        <w:t>eneral</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will be administered and Options will be exercised in compliance with the 1933 Act, 1934 Act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other applicable securities laws and Company policies, including without limitation, any insider trading policy of the Company.</w:t>
      </w:r>
    </w:p>
    <w:p>
      <w:pPr>
        <w:spacing w:after="0" w:line="96" w:lineRule="exact"/>
        <w:rPr>
          <w:rFonts w:ascii="Arial" w:cs="Arial" w:eastAsia="Arial" w:hAnsi="Arial"/>
          <w:sz w:val="20"/>
          <w:szCs w:val="20"/>
          <w:b w:val="1"/>
          <w:bCs w:val="1"/>
          <w:color w:val="auto"/>
        </w:rPr>
      </w:pPr>
    </w:p>
    <w:p>
      <w:pPr>
        <w:ind w:left="-8" w:right="20" w:firstLine="8"/>
        <w:spacing w:after="0"/>
        <w:tabs>
          <w:tab w:leader="none" w:pos="393" w:val="left"/>
        </w:tabs>
        <w:numPr>
          <w:ilvl w:val="0"/>
          <w:numId w:val="164"/>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become effective upon the earlier to occur of (i) its adoption by the Board and (ii) its approval by the</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w:t>
      </w:r>
    </w:p>
    <w:p>
      <w:pPr>
        <w:spacing w:after="0" w:line="150" w:lineRule="exact"/>
        <w:rPr>
          <w:rFonts w:ascii="Arial" w:cs="Arial" w:eastAsia="Arial" w:hAnsi="Arial"/>
          <w:sz w:val="22"/>
          <w:szCs w:val="22"/>
          <w:b w:val="1"/>
          <w:bCs w:val="1"/>
          <w:color w:val="auto"/>
        </w:rPr>
      </w:pPr>
    </w:p>
    <w:p>
      <w:pPr>
        <w:ind w:left="-8" w:right="300" w:firstLine="8"/>
        <w:spacing w:after="0" w:line="309" w:lineRule="auto"/>
        <w:tabs>
          <w:tab w:leader="none" w:pos="393" w:val="left"/>
        </w:tabs>
        <w:numPr>
          <w:ilvl w:val="0"/>
          <w:numId w:val="164"/>
        </w:numPr>
        <w:rPr>
          <w:rFonts w:ascii="Arial" w:cs="Arial" w:eastAsia="Arial" w:hAnsi="Arial"/>
          <w:sz w:val="19"/>
          <w:szCs w:val="19"/>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Options granted hereunder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without reference to choice of law principles and subject in all cases to the Code and the regulations thereunder.</w:t>
      </w:r>
    </w:p>
    <w:p>
      <w:pPr>
        <w:spacing w:after="0" w:line="86" w:lineRule="exact"/>
        <w:rPr>
          <w:rFonts w:ascii="Arial" w:cs="Arial" w:eastAsia="Arial" w:hAnsi="Arial"/>
          <w:sz w:val="19"/>
          <w:szCs w:val="19"/>
          <w:b w:val="1"/>
          <w:bCs w:val="1"/>
          <w:color w:val="auto"/>
        </w:rPr>
      </w:pPr>
    </w:p>
    <w:p>
      <w:pPr>
        <w:ind w:left="-8" w:right="40" w:firstLine="8"/>
        <w:spacing w:after="0" w:line="251" w:lineRule="auto"/>
        <w:tabs>
          <w:tab w:leader="none" w:pos="393" w:val="left"/>
        </w:tabs>
        <w:numPr>
          <w:ilvl w:val="0"/>
          <w:numId w:val="164"/>
        </w:numPr>
        <w:rPr>
          <w:rFonts w:ascii="Arial" w:cs="Arial" w:eastAsia="Arial" w:hAnsi="Arial"/>
          <w:sz w:val="20"/>
          <w:szCs w:val="20"/>
          <w:b w:val="1"/>
          <w:bCs w:val="1"/>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on</w:t>
      </w:r>
      <w:r>
        <w:rPr>
          <w:rFonts w:ascii="Arial" w:cs="Arial" w:eastAsia="Arial" w:hAnsi="Arial"/>
          <w:sz w:val="19"/>
          <w:szCs w:val="19"/>
          <w:b w:val="1"/>
          <w:bCs w:val="1"/>
          <w:color w:val="auto"/>
        </w:rPr>
        <w:t>-U.S. P</w:t>
      </w:r>
      <w:r>
        <w:rPr>
          <w:rFonts w:ascii="Arial" w:cs="Arial" w:eastAsia="Arial" w:hAnsi="Arial"/>
          <w:sz w:val="12"/>
          <w:szCs w:val="12"/>
          <w:b w:val="1"/>
          <w:bCs w:val="1"/>
          <w:color w:val="auto"/>
        </w:rPr>
        <w:t>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permitted under Section 423 of the Code, without the amendment of the Plan, the Company may</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w:t>
      </w:r>
    </w:p>
    <w:p>
      <w:pPr>
        <w:spacing w:after="0" w:line="5"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636" w:right="419" w:bottom="1440" w:gutter="0" w:footer="0" w:header="0"/>
        </w:sectPr>
      </w:pPr>
    </w:p>
    <w:bookmarkStart w:id="172" w:name="page173"/>
    <w:bookmarkEnd w:id="172"/>
    <w:p>
      <w:pPr>
        <w:ind w:left="-8" w:firstLine="8"/>
        <w:spacing w:after="0" w:line="251" w:lineRule="auto"/>
        <w:tabs>
          <w:tab w:leader="none" w:pos="393" w:val="left"/>
        </w:tabs>
        <w:numPr>
          <w:ilvl w:val="0"/>
          <w:numId w:val="165"/>
        </w:numPr>
        <w:rPr>
          <w:rFonts w:ascii="Arial" w:cs="Arial" w:eastAsia="Arial" w:hAnsi="Arial"/>
          <w:sz w:val="20"/>
          <w:szCs w:val="20"/>
          <w:b w:val="1"/>
          <w:bCs w:val="1"/>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ection</w:t>
      </w:r>
      <w:r>
        <w:rPr>
          <w:rFonts w:ascii="Arial" w:cs="Arial" w:eastAsia="Arial" w:hAnsi="Arial"/>
          <w:sz w:val="19"/>
          <w:szCs w:val="19"/>
          <w:b w:val="1"/>
          <w:bCs w:val="1"/>
          <w:color w:val="auto"/>
        </w:rPr>
        <w:t xml:space="preserve"> 409A. </w:t>
      </w:r>
      <w:r>
        <w:rPr>
          <w:rFonts w:ascii="Arial" w:cs="Arial" w:eastAsia="Arial" w:hAnsi="Arial"/>
          <w:sz w:val="19"/>
          <w:szCs w:val="19"/>
          <w:color w:val="auto"/>
        </w:rPr>
        <w:t>The 423 Component is exempt from the application of Section 409A of the Code, and any ambiguities herein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11" w:right="3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85" w:lineRule="exact"/>
        <w:rPr>
          <w:sz w:val="20"/>
          <w:szCs w:val="20"/>
          <w:color w:val="auto"/>
        </w:rPr>
      </w:pPr>
    </w:p>
    <w:p>
      <w:pPr>
        <w:ind w:left="760" w:hanging="752"/>
        <w:spacing w:after="0"/>
        <w:tabs>
          <w:tab w:leader="none" w:pos="7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71" w:lineRule="exact"/>
        <w:rPr>
          <w:rFonts w:ascii="Arial" w:cs="Arial" w:eastAsia="Arial" w:hAnsi="Arial"/>
          <w:sz w:val="18"/>
          <w:szCs w:val="18"/>
          <w:color w:val="auto"/>
        </w:rPr>
      </w:pPr>
    </w:p>
    <w:p>
      <w:pPr>
        <w:jc w:val="both"/>
        <w:ind w:left="760" w:hanging="752"/>
        <w:spacing w:after="0" w:line="256" w:lineRule="auto"/>
        <w:tabs>
          <w:tab w:leader="none" w:pos="7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760" w:hanging="752"/>
        <w:spacing w:after="0" w:line="256" w:lineRule="auto"/>
        <w:tabs>
          <w:tab w:leader="none" w:pos="7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jc w:val="both"/>
        <w:ind w:left="1500" w:hanging="743"/>
        <w:spacing w:after="0" w:line="256" w:lineRule="auto"/>
        <w:tabs>
          <w:tab w:leader="none" w:pos="15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6780" w:val="left"/>
          <w:tab w:leader="none" w:pos="866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Leslie Trigg</w:t>
      </w:r>
    </w:p>
    <w:p>
      <w:pPr>
        <w:spacing w:after="0" w:line="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85" w:lineRule="exact"/>
        <w:rPr>
          <w:sz w:val="20"/>
          <w:szCs w:val="20"/>
          <w:color w:val="auto"/>
        </w:rPr>
      </w:pPr>
    </w:p>
    <w:p>
      <w:pPr>
        <w:ind w:left="760" w:hanging="752"/>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71" w:lineRule="exact"/>
        <w:rPr>
          <w:rFonts w:ascii="Arial" w:cs="Arial" w:eastAsia="Arial" w:hAnsi="Arial"/>
          <w:sz w:val="18"/>
          <w:szCs w:val="18"/>
          <w:color w:val="auto"/>
        </w:rPr>
      </w:pPr>
    </w:p>
    <w:p>
      <w:pPr>
        <w:jc w:val="both"/>
        <w:ind w:left="760" w:hanging="752"/>
        <w:spacing w:after="0" w:line="256" w:lineRule="auto"/>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760" w:hanging="752"/>
        <w:spacing w:after="0" w:line="256" w:lineRule="auto"/>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jc w:val="both"/>
        <w:ind w:left="1500" w:hanging="743"/>
        <w:spacing w:after="0" w:line="256" w:lineRule="auto"/>
        <w:tabs>
          <w:tab w:leader="none" w:pos="15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6780" w:val="left"/>
          <w:tab w:leader="none" w:pos="856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Nabeel Ahmed</w:t>
      </w:r>
    </w:p>
    <w:p>
      <w:pPr>
        <w:spacing w:after="0" w:line="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Chief Financial Officer</w:t>
      </w: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September 30, 2022, as filed with the Securities and Exchange Commission on the date hereof (the “Report”), each of the undersigned certifies, pursuant to 18 U.S.C. §1350, as adopted pursuant to §906 of the Sarbanes-Oxley Act of 2002, that, to her/his knowledge:</w:t>
      </w:r>
    </w:p>
    <w:p>
      <w:pPr>
        <w:spacing w:after="0" w:line="148" w:lineRule="exact"/>
        <w:rPr>
          <w:sz w:val="20"/>
          <w:szCs w:val="20"/>
          <w:color w:val="auto"/>
        </w:rPr>
      </w:pPr>
    </w:p>
    <w:p>
      <w:pPr>
        <w:ind w:left="760" w:hanging="378"/>
        <w:spacing w:after="0"/>
        <w:tabs>
          <w:tab w:leader="none" w:pos="7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82" w:lineRule="exact"/>
        <w:rPr>
          <w:rFonts w:ascii="Arial" w:cs="Arial" w:eastAsia="Arial" w:hAnsi="Arial"/>
          <w:sz w:val="17"/>
          <w:szCs w:val="17"/>
          <w:color w:val="auto"/>
        </w:rPr>
      </w:pPr>
    </w:p>
    <w:p>
      <w:pPr>
        <w:ind w:left="760" w:hanging="378"/>
        <w:spacing w:after="0"/>
        <w:tabs>
          <w:tab w:leader="none" w:pos="7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35"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14605</wp:posOffset>
            </wp:positionV>
            <wp:extent cx="38315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Leslie Trigg</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97"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14605</wp:posOffset>
            </wp:positionV>
            <wp:extent cx="38315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Nabeel Ahmed</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3"/>
    </w:lvl>
  </w:abstractNum>
  <w:abstractNum w:abstractNumId="3">
    <w:nsid w:val="94211F2"/>
    <w:multiLevelType w:val="hybridMultilevel"/>
    <w:lvl w:ilvl="0">
      <w:lvlJc w:val="left"/>
      <w:lvlText w:val="%1."/>
      <w:numFmt w:val="decimal"/>
      <w:start w:val="6"/>
    </w:lvl>
  </w:abstractNum>
  <w:abstractNum w:abstractNumId="4">
    <w:nsid w:val="885E1B"/>
    <w:multiLevelType w:val="hybridMultilevel"/>
    <w:lvl w:ilvl="0">
      <w:lvlJc w:val="left"/>
      <w:lvlText w:val="%1."/>
      <w:numFmt w:val="decimal"/>
      <w:start w:val="8"/>
    </w:lvl>
  </w:abstractNum>
  <w:abstractNum w:abstractNumId="5">
    <w:nsid w:val="76272110"/>
    <w:multiLevelType w:val="hybridMultilevel"/>
    <w:lvl w:ilvl="0">
      <w:lvlJc w:val="left"/>
      <w:lvlText w:val="(%1)"/>
      <w:numFmt w:val="lowerRoman"/>
      <w:start w:val="1"/>
    </w:lvl>
  </w:abstractNum>
  <w:abstractNum w:abstractNumId="6">
    <w:nsid w:val="4C04A8AF"/>
    <w:multiLevelType w:val="hybridMultilevel"/>
    <w:lvl w:ilvl="0">
      <w:lvlJc w:val="left"/>
      <w:lvlText w:val="(%1)"/>
      <w:numFmt w:val="lowerLetter"/>
      <w:start w:val="1"/>
    </w:lvl>
  </w:abstractNum>
  <w:abstractNum w:abstractNumId="7">
    <w:nsid w:val="1716703B"/>
    <w:multiLevelType w:val="hybridMultilevel"/>
    <w:lvl w:ilvl="0">
      <w:lvlJc w:val="left"/>
      <w:lvlText w:val="(%1)"/>
      <w:numFmt w:val="lowerLetter"/>
      <w:start w:val="3"/>
    </w:lvl>
  </w:abstractNum>
  <w:abstractNum w:abstractNumId="8">
    <w:nsid w:val="14E17E33"/>
    <w:multiLevelType w:val="hybridMultilevel"/>
    <w:lvl w:ilvl="0">
      <w:lvlJc w:val="left"/>
      <w:lvlText w:val="(%1)"/>
      <w:numFmt w:val="lowerLetter"/>
      <w:start w:val="1"/>
    </w:lvl>
  </w:abstractNum>
  <w:abstractNum w:abstractNumId="9">
    <w:nsid w:val="3222E7CD"/>
    <w:multiLevelType w:val="hybridMultilevel"/>
    <w:lvl w:ilvl="0">
      <w:lvlJc w:val="left"/>
      <w:lvlText w:val="(%1)"/>
      <w:numFmt w:val="lowerLetter"/>
      <w:start w:val="3"/>
    </w:lvl>
  </w:abstractNum>
  <w:abstractNum w:abstractNumId="10">
    <w:nsid w:val="74DE0EE3"/>
    <w:multiLevelType w:val="hybridMultilevel"/>
    <w:lvl w:ilvl="0">
      <w:lvlJc w:val="left"/>
      <w:lvlText w:val="*"/>
      <w:numFmt w:val="bullet"/>
      <w:start w:val="1"/>
    </w:lvl>
    <w:lvl w:ilvl="1">
      <w:lvlJc w:val="left"/>
      <w:lvlText w:val="%2"/>
      <w:numFmt w:val="decimal"/>
      <w:start w:val="104"/>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1)"/>
      <w:numFmt w:val="lowerLetter"/>
      <w:start w:val="1"/>
    </w:lvl>
  </w:abstractNum>
  <w:abstractNum w:abstractNumId="14">
    <w:nsid w:val="4A2AC315"/>
    <w:multiLevelType w:val="hybridMultilevel"/>
    <w:lvl w:ilvl="0">
      <w:lvlJc w:val="left"/>
      <w:lvlText w:val="(%1)"/>
      <w:numFmt w:val="lowerLetter"/>
      <w:start w:val="2"/>
    </w:lvl>
  </w:abstractNum>
  <w:abstractNum w:abstractNumId="15">
    <w:nsid w:val="39EE015C"/>
    <w:multiLevelType w:val="hybridMultilevel"/>
    <w:lvl w:ilvl="0">
      <w:lvlJc w:val="left"/>
      <w:lvlText w:val="(%1)"/>
      <w:numFmt w:val="lowerLetter"/>
      <w:start w:val="3"/>
    </w:lvl>
  </w:abstractNum>
  <w:abstractNum w:abstractNumId="16">
    <w:nsid w:val="57FC4FBB"/>
    <w:multiLevelType w:val="hybridMultilevel"/>
    <w:lvl w:ilvl="0">
      <w:lvlJc w:val="left"/>
      <w:lvlText w:val="(%1)"/>
      <w:numFmt w:val="lowerLetter"/>
      <w:start w:val="2"/>
    </w:lvl>
  </w:abstractNum>
  <w:abstractNum w:abstractNumId="17">
    <w:nsid w:val="CC1016F"/>
    <w:multiLevelType w:val="hybridMultilevel"/>
    <w:lvl w:ilvl="0">
      <w:lvlJc w:val="left"/>
      <w:lvlText w:val="(%1)"/>
      <w:numFmt w:val="lowerRoman"/>
      <w:start w:val="2"/>
    </w:lvl>
  </w:abstractNum>
  <w:abstractNum w:abstractNumId="18">
    <w:nsid w:val="43F18422"/>
    <w:multiLevelType w:val="hybridMultilevel"/>
    <w:lvl w:ilvl="0">
      <w:lvlJc w:val="left"/>
      <w:lvlText w:val="(%1)"/>
      <w:numFmt w:val="lowerLetter"/>
      <w:start w:val="7"/>
    </w:lvl>
  </w:abstractNum>
  <w:abstractNum w:abstractNumId="19">
    <w:nsid w:val="60EF0119"/>
    <w:multiLevelType w:val="hybridMultilevel"/>
    <w:lvl w:ilvl="0">
      <w:lvlJc w:val="left"/>
      <w:lvlText w:val="(%1)"/>
      <w:numFmt w:val="lowerLetter"/>
      <w:start w:val="11"/>
    </w:lvl>
  </w:abstractNum>
  <w:abstractNum w:abstractNumId="20">
    <w:nsid w:val="26F324BA"/>
    <w:multiLevelType w:val="hybridMultilevel"/>
    <w:lvl w:ilvl="0">
      <w:lvlJc w:val="left"/>
      <w:lvlText w:val="(%1)"/>
      <w:numFmt w:val="lowerLetter"/>
      <w:start w:val="13"/>
    </w:lvl>
  </w:abstractNum>
  <w:abstractNum w:abstractNumId="21">
    <w:nsid w:val="7F01579B"/>
    <w:multiLevelType w:val="hybridMultilevel"/>
    <w:lvl w:ilvl="0">
      <w:lvlJc w:val="left"/>
      <w:lvlText w:val="(%1)"/>
      <w:numFmt w:val="lowerLetter"/>
      <w:start w:val="1"/>
    </w:lvl>
  </w:abstractNum>
  <w:abstractNum w:abstractNumId="22">
    <w:nsid w:val="49DA307D"/>
    <w:multiLevelType w:val="hybridMultilevel"/>
    <w:lvl w:ilvl="0">
      <w:lvlJc w:val="left"/>
      <w:lvlText w:val="(%1)"/>
      <w:numFmt w:val="lowerLetter"/>
      <w:start w:val="3"/>
    </w:lvl>
  </w:abstractNum>
  <w:abstractNum w:abstractNumId="23">
    <w:nsid w:val="7055A5F5"/>
    <w:multiLevelType w:val="hybridMultilevel"/>
    <w:lvl w:ilvl="0">
      <w:lvlJc w:val="left"/>
      <w:lvlText w:val="(%1)"/>
      <w:numFmt w:val="lowerLetter"/>
      <w:start w:val="7"/>
    </w:lvl>
  </w:abstractNum>
  <w:abstractNum w:abstractNumId="24">
    <w:nsid w:val="5FB8370B"/>
    <w:multiLevelType w:val="hybridMultilevel"/>
    <w:lvl w:ilvl="0">
      <w:lvlJc w:val="left"/>
      <w:lvlText w:val="(%1)"/>
      <w:numFmt w:val="lowerLetter"/>
      <w:start w:val="11"/>
    </w:lvl>
  </w:abstractNum>
  <w:abstractNum w:abstractNumId="25">
    <w:nsid w:val="50801EE1"/>
    <w:multiLevelType w:val="hybridMultilevel"/>
    <w:lvl w:ilvl="0">
      <w:lvlJc w:val="left"/>
      <w:lvlText w:val="(%1)"/>
      <w:numFmt w:val="lowerLetter"/>
      <w:start w:val="1"/>
    </w:lvl>
  </w:abstractNum>
  <w:abstractNum w:abstractNumId="26">
    <w:nsid w:val="488AC1A"/>
    <w:multiLevelType w:val="hybridMultilevel"/>
    <w:lvl w:ilvl="0">
      <w:lvlJc w:val="left"/>
      <w:lvlText w:val="(%1)"/>
      <w:numFmt w:val="lowerLetter"/>
      <w:start w:val="4"/>
    </w:lvl>
  </w:abstractNum>
  <w:abstractNum w:abstractNumId="27">
    <w:nsid w:val="5FB8011C"/>
    <w:multiLevelType w:val="hybridMultilevel"/>
    <w:lvl w:ilvl="0">
      <w:lvlJc w:val="left"/>
      <w:lvlText w:val="(%1)"/>
      <w:numFmt w:val="lowerLetter"/>
      <w:start w:val="7"/>
    </w:lvl>
  </w:abstractNum>
  <w:abstractNum w:abstractNumId="28">
    <w:nsid w:val="6AA78F7F"/>
    <w:multiLevelType w:val="hybridMultilevel"/>
    <w:lvl w:ilvl="0">
      <w:lvlJc w:val="left"/>
      <w:lvlText w:val="(%1)"/>
      <w:numFmt w:val="lowerLetter"/>
      <w:start w:val="11"/>
    </w:lvl>
  </w:abstractNum>
  <w:abstractNum w:abstractNumId="29">
    <w:nsid w:val="7672BD23"/>
    <w:multiLevelType w:val="hybridMultilevel"/>
    <w:lvl w:ilvl="0">
      <w:lvlJc w:val="left"/>
      <w:lvlText w:val="(%1)"/>
      <w:numFmt w:val="lowerLetter"/>
      <w:start w:val="13"/>
    </w:lvl>
  </w:abstractNum>
  <w:abstractNum w:abstractNumId="30">
    <w:nsid w:val="6FC75AF8"/>
    <w:multiLevelType w:val="hybridMultilevel"/>
    <w:lvl w:ilvl="0">
      <w:lvlJc w:val="left"/>
      <w:lvlText w:val="(%1)"/>
      <w:numFmt w:val="lowerLetter"/>
      <w:start w:val="21"/>
    </w:lvl>
  </w:abstractNum>
  <w:abstractNum w:abstractNumId="31">
    <w:nsid w:val="6A5F7029"/>
    <w:multiLevelType w:val="hybridMultilevel"/>
    <w:lvl w:ilvl="0">
      <w:lvlJc w:val="left"/>
      <w:lvlText w:val="(%1)"/>
      <w:numFmt w:val="lowerLetter"/>
      <w:start w:val="1"/>
    </w:lvl>
  </w:abstractNum>
  <w:abstractNum w:abstractNumId="32">
    <w:nsid w:val="7D5E18F8"/>
    <w:multiLevelType w:val="hybridMultilevel"/>
    <w:lvl w:ilvl="0">
      <w:lvlJc w:val="left"/>
      <w:lvlText w:val="(%1)"/>
      <w:numFmt w:val="lowerLetter"/>
      <w:start w:val="1"/>
    </w:lvl>
  </w:abstractNum>
  <w:abstractNum w:abstractNumId="33">
    <w:nsid w:val="5F3534A4"/>
    <w:multiLevelType w:val="hybridMultilevel"/>
    <w:lvl w:ilvl="0">
      <w:lvlJc w:val="left"/>
      <w:lvlText w:val="(%1)"/>
      <w:numFmt w:val="lowerLetter"/>
      <w:start w:val="2"/>
    </w:lvl>
  </w:abstractNum>
  <w:abstractNum w:abstractNumId="34">
    <w:nsid w:val="73A1821B"/>
    <w:multiLevelType w:val="hybridMultilevel"/>
    <w:lvl w:ilvl="0">
      <w:lvlJc w:val="left"/>
      <w:lvlText w:val="(%1)"/>
      <w:numFmt w:val="lowerLetter"/>
      <w:start w:val="1"/>
    </w:lvl>
  </w:abstractNum>
  <w:abstractNum w:abstractNumId="35">
    <w:nsid w:val="7DE67713"/>
    <w:multiLevelType w:val="hybridMultilevel"/>
    <w:lvl w:ilvl="0">
      <w:lvlJc w:val="left"/>
      <w:lvlText w:val="(%1)"/>
      <w:numFmt w:val="lowerLetter"/>
      <w:start w:val="1"/>
    </w:lvl>
  </w:abstractNum>
  <w:abstractNum w:abstractNumId="36">
    <w:nsid w:val="555C55B5"/>
    <w:multiLevelType w:val="hybridMultilevel"/>
    <w:lvl w:ilvl="0">
      <w:lvlJc w:val="left"/>
      <w:lvlText w:val="(%1)"/>
      <w:numFmt w:val="lowerLetter"/>
      <w:start w:val="1"/>
    </w:lvl>
  </w:abstractNum>
  <w:abstractNum w:abstractNumId="37">
    <w:nsid w:val="3FA62ACA"/>
    <w:multiLevelType w:val="hybridMultilevel"/>
    <w:lvl w:ilvl="0">
      <w:lvlJc w:val="left"/>
      <w:lvlText w:val="(%1)"/>
      <w:numFmt w:val="lowerLetter"/>
      <w:start w:val="3"/>
    </w:lvl>
  </w:abstractNum>
  <w:abstractNum w:abstractNumId="38">
    <w:nsid w:val="14FCE74E"/>
    <w:multiLevelType w:val="hybridMultilevel"/>
    <w:lvl w:ilvl="0">
      <w:lvlJc w:val="left"/>
      <w:lvlText w:val="(%1)"/>
      <w:numFmt w:val="lowerLetter"/>
      <w:start w:val="7"/>
    </w:lvl>
  </w:abstractNum>
  <w:abstractNum w:abstractNumId="39">
    <w:nsid w:val="6A3DD3E8"/>
    <w:multiLevelType w:val="hybridMultilevel"/>
    <w:lvl w:ilvl="0">
      <w:lvlJc w:val="left"/>
      <w:lvlText w:val="(%1)"/>
      <w:numFmt w:val="lowerLetter"/>
      <w:start w:val="11"/>
    </w:lvl>
  </w:abstractNum>
  <w:abstractNum w:abstractNumId="40">
    <w:nsid w:val="71C91298"/>
    <w:multiLevelType w:val="hybridMultilevel"/>
    <w:lvl w:ilvl="0">
      <w:lvlJc w:val="left"/>
      <w:lvlText w:val="(%1)"/>
      <w:numFmt w:val="lowerLetter"/>
      <w:start w:val="13"/>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1)"/>
      <w:numFmt w:val="lowerLetter"/>
      <w:start w:val="1"/>
    </w:lvl>
  </w:abstractNum>
  <w:abstractNum w:abstractNumId="43">
    <w:nsid w:val="1FBFE8E0"/>
    <w:multiLevelType w:val="hybridMultilevel"/>
    <w:lvl w:ilvl="0">
      <w:lvlJc w:val="left"/>
      <w:lvlText w:val="(%1)"/>
      <w:numFmt w:val="lowerLetter"/>
      <w:start w:val="1"/>
    </w:lvl>
  </w:abstractNum>
  <w:abstractNum w:abstractNumId="44">
    <w:nsid w:val="5092CA79"/>
    <w:multiLevelType w:val="hybridMultilevel"/>
    <w:lvl w:ilvl="0">
      <w:lvlJc w:val="left"/>
      <w:lvlText w:val="(%1)"/>
      <w:numFmt w:val="lowerLetter"/>
      <w:start w:val="4"/>
    </w:lvl>
  </w:abstractNum>
  <w:abstractNum w:abstractNumId="45">
    <w:nsid w:val="1D545C4D"/>
    <w:multiLevelType w:val="hybridMultilevel"/>
    <w:lvl w:ilvl="0">
      <w:lvlJc w:val="left"/>
      <w:lvlText w:val="(%1)"/>
      <w:numFmt w:val="lowerRoman"/>
      <w:start w:val="1"/>
    </w:lvl>
  </w:abstractNum>
  <w:abstractNum w:abstractNumId="46">
    <w:nsid w:val="59ADEA3D"/>
    <w:multiLevelType w:val="hybridMultilevel"/>
    <w:lvl w:ilvl="0">
      <w:lvlJc w:val="left"/>
      <w:lvlText w:val="(%1)"/>
      <w:numFmt w:val="lowerRoman"/>
      <w:start w:val="3"/>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lowerLetter"/>
      <w:start w:val="3"/>
    </w:lvl>
  </w:abstractNum>
  <w:abstractNum w:abstractNumId="49">
    <w:nsid w:val="1D9F6E5F"/>
    <w:multiLevelType w:val="hybridMultilevel"/>
    <w:lvl w:ilvl="0">
      <w:lvlJc w:val="left"/>
      <w:lvlText w:val="§"/>
      <w:numFmt w:val="bullet"/>
      <w:start w:val="1"/>
    </w:lvl>
    <w:lvl w:ilvl="1">
      <w:lvlJc w:val="left"/>
      <w:lvlText w:val="(%2)"/>
      <w:numFmt w:val="lowerLetter"/>
      <w:start w:val="7"/>
    </w:lvl>
  </w:abstractNum>
  <w:abstractNum w:abstractNumId="50">
    <w:nsid w:val="97E1B4E"/>
    <w:multiLevelType w:val="hybridMultilevel"/>
    <w:lvl w:ilvl="0">
      <w:lvlJc w:val="left"/>
      <w:lvlText w:val="(%1)"/>
      <w:numFmt w:val="lowerLetter"/>
      <w:start w:val="8"/>
    </w:lvl>
  </w:abstractNum>
  <w:abstractNum w:abstractNumId="51">
    <w:nsid w:val="51088277"/>
    <w:multiLevelType w:val="hybridMultilevel"/>
    <w:lvl w:ilvl="0">
      <w:lvlJc w:val="left"/>
      <w:lvlText w:val="(%1)"/>
      <w:numFmt w:val="lowerLetter"/>
      <w:start w:val="1"/>
    </w:lvl>
  </w:abstractNum>
  <w:abstractNum w:abstractNumId="52">
    <w:nsid w:val="1CA0C5FA"/>
    <w:multiLevelType w:val="hybridMultilevel"/>
    <w:lvl w:ilvl="0">
      <w:lvlJc w:val="left"/>
      <w:lvlText w:val="%1"/>
      <w:numFmt w:val="lowerLetter"/>
      <w:start w:val="1"/>
    </w:lvl>
    <w:lvl w:ilvl="1">
      <w:lvlJc w:val="left"/>
      <w:lvlText w:val="(%2)"/>
      <w:numFmt w:val="lowerLetter"/>
      <w:start w:val="1"/>
    </w:lvl>
  </w:abstractNum>
  <w:abstractNum w:abstractNumId="53">
    <w:nsid w:val="53584BCB"/>
    <w:multiLevelType w:val="hybridMultilevel"/>
    <w:lvl w:ilvl="0">
      <w:lvlJc w:val="left"/>
      <w:lvlText w:val="(%1)"/>
      <w:numFmt w:val="lowerLetter"/>
      <w:start w:val="9"/>
    </w:lvl>
    <w:lvl w:ilvl="1">
      <w:lvlJc w:val="left"/>
      <w:lvlText w:val="%2"/>
      <w:numFmt w:val="lowerLetter"/>
      <w:start w:val="1"/>
    </w:lvl>
  </w:abstractNum>
  <w:abstractNum w:abstractNumId="54">
    <w:nsid w:val="415E286C"/>
    <w:multiLevelType w:val="hybridMultilevel"/>
    <w:lvl w:ilvl="0">
      <w:lvlJc w:val="left"/>
      <w:lvlText w:val="(%1)"/>
      <w:numFmt w:val="lowerLetter"/>
      <w:start w:val="3"/>
    </w:lvl>
  </w:abstractNum>
  <w:abstractNum w:abstractNumId="55">
    <w:nsid w:val="7C58FD05"/>
    <w:multiLevelType w:val="hybridMultilevel"/>
    <w:lvl w:ilvl="0">
      <w:lvlJc w:val="left"/>
      <w:lvlText w:val="(%1)"/>
      <w:numFmt w:val="lowerLetter"/>
      <w:start w:val="1"/>
    </w:lvl>
  </w:abstractNum>
  <w:abstractNum w:abstractNumId="56">
    <w:nsid w:val="23D86AAC"/>
    <w:multiLevelType w:val="hybridMultilevel"/>
    <w:lvl w:ilvl="0">
      <w:lvlJc w:val="left"/>
      <w:lvlText w:val="(%1)"/>
      <w:numFmt w:val="lowerLetter"/>
      <w:start w:val="2"/>
    </w:lvl>
  </w:abstractNum>
  <w:abstractNum w:abstractNumId="57">
    <w:nsid w:val="45E6D486"/>
    <w:multiLevelType w:val="hybridMultilevel"/>
    <w:lvl w:ilvl="0">
      <w:lvlJc w:val="left"/>
      <w:lvlText w:val="(%1)"/>
      <w:numFmt w:val="lowerLetter"/>
      <w:start w:val="3"/>
    </w:lvl>
  </w:abstractNum>
  <w:abstractNum w:abstractNumId="58">
    <w:nsid w:val="5C10FE21"/>
    <w:multiLevelType w:val="hybridMultilevel"/>
    <w:lvl w:ilvl="0">
      <w:lvlJc w:val="left"/>
      <w:lvlText w:val="(%1)"/>
      <w:numFmt w:val="decimal"/>
      <w:start w:val="30"/>
    </w:lvl>
  </w:abstractNum>
  <w:abstractNum w:abstractNumId="59">
    <w:nsid w:val="E7FFA2B"/>
    <w:multiLevelType w:val="hybridMultilevel"/>
    <w:lvl w:ilvl="0">
      <w:lvlJc w:val="left"/>
      <w:lvlText w:val="(%1)"/>
      <w:numFmt w:val="lowerLetter"/>
      <w:start w:val="1"/>
    </w:lvl>
  </w:abstractNum>
  <w:abstractNum w:abstractNumId="60">
    <w:nsid w:val="3C5991AA"/>
    <w:multiLevelType w:val="hybridMultilevel"/>
    <w:lvl w:ilvl="0">
      <w:lvlJc w:val="left"/>
      <w:lvlText w:val="(%1)"/>
      <w:numFmt w:val="lowerLetter"/>
      <w:start w:val="1"/>
    </w:lvl>
  </w:abstractNum>
  <w:abstractNum w:abstractNumId="61">
    <w:nsid w:val="4BD8591A"/>
    <w:multiLevelType w:val="hybridMultilevel"/>
    <w:lvl w:ilvl="0">
      <w:lvlJc w:val="left"/>
      <w:lvlText w:val="(%1)"/>
      <w:numFmt w:val="lowerLetter"/>
      <w:start w:val="1"/>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lowerLetter"/>
      <w:start w:val="3"/>
    </w:lvl>
  </w:abstractNum>
  <w:abstractNum w:abstractNumId="64">
    <w:nsid w:val="2B0D8DBE"/>
    <w:multiLevelType w:val="hybridMultilevel"/>
    <w:lvl w:ilvl="0">
      <w:lvlJc w:val="left"/>
      <w:lvlText w:val="(%1)"/>
      <w:numFmt w:val="upperLetter"/>
      <w:start w:val="7"/>
    </w:lvl>
  </w:abstractNum>
  <w:abstractNum w:abstractNumId="65">
    <w:nsid w:val="6C80EC70"/>
    <w:multiLevelType w:val="hybridMultilevel"/>
    <w:lvl w:ilvl="0">
      <w:lvlJc w:val="left"/>
      <w:lvlText w:val="(%1)"/>
      <w:numFmt w:val="lowerLetter"/>
      <w:start w:val="2"/>
    </w:lvl>
  </w:abstractNum>
  <w:abstractNum w:abstractNumId="66">
    <w:nsid w:val="379E21B5"/>
    <w:multiLevelType w:val="hybridMultilevel"/>
    <w:lvl w:ilvl="0">
      <w:lvlJc w:val="left"/>
      <w:lvlText w:val="(%1)"/>
      <w:numFmt w:val="lowerLetter"/>
      <w:start w:val="1"/>
    </w:lvl>
  </w:abstractNum>
  <w:abstractNum w:abstractNumId="67">
    <w:nsid w:val="69E373"/>
    <w:multiLevelType w:val="hybridMultilevel"/>
    <w:lvl w:ilvl="0">
      <w:lvlJc w:val="left"/>
      <w:lvlText w:val="(%1)"/>
      <w:numFmt w:val="lowerLetter"/>
      <w:start w:val="2"/>
    </w:lvl>
  </w:abstractNum>
  <w:abstractNum w:abstractNumId="68">
    <w:nsid w:val="2C27173B"/>
    <w:multiLevelType w:val="hybridMultilevel"/>
    <w:lvl w:ilvl="0">
      <w:lvlJc w:val="left"/>
      <w:lvlText w:val="(%1)"/>
      <w:numFmt w:val="lowerLetter"/>
      <w:start w:val="1"/>
    </w:lvl>
  </w:abstractNum>
  <w:abstractNum w:abstractNumId="69">
    <w:nsid w:val="4C9B0904"/>
    <w:multiLevelType w:val="hybridMultilevel"/>
    <w:lvl w:ilvl="0">
      <w:lvlJc w:val="left"/>
      <w:lvlText w:val="(%1)"/>
      <w:numFmt w:val="lowerLetter"/>
      <w:start w:val="2"/>
    </w:lvl>
    <w:lvl w:ilvl="1">
      <w:lvlJc w:val="left"/>
      <w:lvlText w:val="(%2)"/>
      <w:numFmt w:val="lowerRoman"/>
      <w:start w:val="1"/>
    </w:lvl>
  </w:abstractNum>
  <w:abstractNum w:abstractNumId="70">
    <w:nsid w:val="6AA7B75C"/>
    <w:multiLevelType w:val="hybridMultilevel"/>
    <w:lvl w:ilvl="0">
      <w:lvlJc w:val="left"/>
      <w:lvlText w:val="(%1)"/>
      <w:numFmt w:val="lowerLetter"/>
      <w:start w:val="1"/>
    </w:lvl>
  </w:abstractNum>
  <w:abstractNum w:abstractNumId="71">
    <w:nsid w:val="1DF029D3"/>
    <w:multiLevelType w:val="hybridMultilevel"/>
    <w:lvl w:ilvl="0">
      <w:lvlJc w:val="left"/>
      <w:lvlText w:val="(%1)"/>
      <w:numFmt w:val="lowerLetter"/>
      <w:start w:val="3"/>
    </w:lvl>
  </w:abstractNum>
  <w:abstractNum w:abstractNumId="72">
    <w:nsid w:val="5675FF36"/>
    <w:multiLevelType w:val="hybridMultilevel"/>
    <w:lvl w:ilvl="0">
      <w:lvlJc w:val="left"/>
      <w:lvlText w:val="(%1)"/>
      <w:numFmt w:val="lowerLetter"/>
      <w:start w:val="1"/>
    </w:lvl>
  </w:abstractNum>
  <w:abstractNum w:abstractNumId="73">
    <w:nsid w:val="3DD15094"/>
    <w:multiLevelType w:val="hybridMultilevel"/>
    <w:lvl w:ilvl="0">
      <w:lvlJc w:val="left"/>
      <w:lvlText w:val="(%1)"/>
      <w:numFmt w:val="lowerLetter"/>
      <w:start w:val="1"/>
    </w:lvl>
  </w:abstractNum>
  <w:abstractNum w:abstractNumId="74">
    <w:nsid w:val="3DB012B3"/>
    <w:multiLevelType w:val="hybridMultilevel"/>
    <w:lvl w:ilvl="0">
      <w:lvlJc w:val="left"/>
      <w:lvlText w:val="(%1)"/>
      <w:numFmt w:val="lowerLetter"/>
      <w:start w:val="6"/>
    </w:lvl>
  </w:abstractNum>
  <w:abstractNum w:abstractNumId="75">
    <w:nsid w:val="2708C9AF"/>
    <w:multiLevelType w:val="hybridMultilevel"/>
    <w:lvl w:ilvl="0">
      <w:lvlJc w:val="left"/>
      <w:lvlText w:val="(%1)"/>
      <w:numFmt w:val="lowerLetter"/>
      <w:start w:val="1"/>
    </w:lvl>
  </w:abstractNum>
  <w:abstractNum w:abstractNumId="76">
    <w:nsid w:val="5B25ACE2"/>
    <w:multiLevelType w:val="hybridMultilevel"/>
    <w:lvl w:ilvl="0">
      <w:lvlJc w:val="left"/>
      <w:lvlText w:val="(%1)"/>
      <w:numFmt w:val="lowerLetter"/>
      <w:start w:val="6"/>
    </w:lvl>
    <w:lvl w:ilvl="1">
      <w:lvlJc w:val="left"/>
      <w:lvlText w:val="(%2)"/>
      <w:numFmt w:val="lowerRoman"/>
      <w:start w:val="1"/>
    </w:lvl>
  </w:abstractNum>
  <w:abstractNum w:abstractNumId="77">
    <w:nsid w:val="175DFCF0"/>
    <w:multiLevelType w:val="hybridMultilevel"/>
    <w:lvl w:ilvl="0">
      <w:lvlJc w:val="left"/>
      <w:lvlText w:val="(%1)"/>
      <w:numFmt w:val="lowerLetter"/>
      <w:start w:val="1"/>
    </w:lvl>
  </w:abstractNum>
  <w:abstractNum w:abstractNumId="78">
    <w:nsid w:val="4F97E3E4"/>
    <w:multiLevelType w:val="hybridMultilevel"/>
    <w:lvl w:ilvl="0">
      <w:lvlJc w:val="left"/>
      <w:lvlText w:val="(%1)"/>
      <w:numFmt w:val="lowerLetter"/>
      <w:start w:val="12"/>
    </w:lvl>
  </w:abstractNum>
  <w:abstractNum w:abstractNumId="79">
    <w:nsid w:val="53B0A9E"/>
    <w:multiLevelType w:val="hybridMultilevel"/>
    <w:lvl w:ilvl="0">
      <w:lvlJc w:val="left"/>
      <w:lvlText w:val="(%1)"/>
      <w:numFmt w:val="lowerLetter"/>
      <w:start w:val="1"/>
    </w:lvl>
  </w:abstractNum>
  <w:abstractNum w:abstractNumId="80">
    <w:nsid w:val="34FD6B4F"/>
    <w:multiLevelType w:val="hybridMultilevel"/>
    <w:lvl w:ilvl="0">
      <w:lvlJc w:val="left"/>
      <w:lvlText w:val="(%1)"/>
      <w:numFmt w:val="lowerLetter"/>
      <w:start w:val="1"/>
    </w:lvl>
  </w:abstractNum>
  <w:abstractNum w:abstractNumId="81">
    <w:nsid w:val="5915FF32"/>
    <w:multiLevelType w:val="hybridMultilevel"/>
    <w:lvl w:ilvl="0">
      <w:lvlJc w:val="left"/>
      <w:lvlText w:val="(%1)"/>
      <w:numFmt w:val="lowerLetter"/>
      <w:start w:val="1"/>
    </w:lvl>
  </w:abstractNum>
  <w:abstractNum w:abstractNumId="82">
    <w:nsid w:val="56438D15"/>
    <w:multiLevelType w:val="hybridMultilevel"/>
    <w:lvl w:ilvl="0">
      <w:lvlJc w:val="left"/>
      <w:lvlText w:val="(%1)"/>
      <w:numFmt w:val="lowerLetter"/>
      <w:start w:val="1"/>
    </w:lvl>
  </w:abstractNum>
  <w:abstractNum w:abstractNumId="83">
    <w:nsid w:val="519E3149"/>
    <w:multiLevelType w:val="hybridMultilevel"/>
    <w:lvl w:ilvl="0">
      <w:lvlJc w:val="left"/>
      <w:lvlText w:val="(%1)"/>
      <w:numFmt w:val="lowerLetter"/>
      <w:start w:val="1"/>
    </w:lvl>
  </w:abstractNum>
  <w:abstractNum w:abstractNumId="84">
    <w:nsid w:val="2C6E4AFD"/>
    <w:multiLevelType w:val="hybridMultilevel"/>
    <w:lvl w:ilvl="0">
      <w:lvlJc w:val="left"/>
      <w:lvlText w:val="(%1)"/>
      <w:numFmt w:val="lowerLetter"/>
      <w:start w:val="4"/>
    </w:lvl>
  </w:abstractNum>
  <w:abstractNum w:abstractNumId="85">
    <w:nsid w:val="17A1B582"/>
    <w:multiLevelType w:val="hybridMultilevel"/>
    <w:lvl w:ilvl="0">
      <w:lvlJc w:val="left"/>
      <w:lvlText w:val="(%1)"/>
      <w:numFmt w:val="lowerLetter"/>
      <w:start w:val="1"/>
    </w:lvl>
  </w:abstractNum>
  <w:abstractNum w:abstractNumId="86">
    <w:nsid w:val="4DF72E4E"/>
    <w:multiLevelType w:val="hybridMultilevel"/>
    <w:lvl w:ilvl="0">
      <w:lvlJc w:val="left"/>
      <w:lvlText w:val="(%1)"/>
      <w:numFmt w:val="lowerLetter"/>
      <w:start w:val="2"/>
    </w:lvl>
  </w:abstractNum>
  <w:abstractNum w:abstractNumId="87">
    <w:nsid w:val="5046B5A9"/>
    <w:multiLevelType w:val="hybridMultilevel"/>
    <w:lvl w:ilvl="0">
      <w:lvlJc w:val="left"/>
      <w:lvlText w:val="(%1)"/>
      <w:numFmt w:val="lowerLetter"/>
      <w:start w:val="1"/>
    </w:lvl>
    <w:lvl w:ilvl="1">
      <w:lvlJc w:val="left"/>
      <w:lvlText w:val="(%2)"/>
      <w:numFmt w:val="lowerLetter"/>
      <w:start w:val="9"/>
    </w:lvl>
  </w:abstractNum>
  <w:abstractNum w:abstractNumId="88">
    <w:nsid w:val="5D888A08"/>
    <w:multiLevelType w:val="hybridMultilevel"/>
    <w:lvl w:ilvl="0">
      <w:lvlJc w:val="left"/>
      <w:lvlText w:val="(%1)"/>
      <w:numFmt w:val="lowerLetter"/>
      <w:start w:val="5"/>
    </w:lvl>
    <w:lvl w:ilvl="1">
      <w:lvlJc w:val="left"/>
      <w:lvlText w:val="(%2)"/>
      <w:numFmt w:val="lowerRoman"/>
      <w:start w:val="1"/>
    </w:lvl>
  </w:abstractNum>
  <w:abstractNum w:abstractNumId="89">
    <w:nsid w:val="2A082C70"/>
    <w:multiLevelType w:val="hybridMultilevel"/>
    <w:lvl w:ilvl="0">
      <w:lvlJc w:val="left"/>
      <w:lvlText w:val="(%1)"/>
      <w:numFmt w:val="lowerRoman"/>
      <w:start w:val="3"/>
    </w:lvl>
  </w:abstractNum>
  <w:abstractNum w:abstractNumId="90">
    <w:nsid w:val="5EC6AFD4"/>
    <w:multiLevelType w:val="hybridMultilevel"/>
    <w:lvl w:ilvl="0">
      <w:lvlJc w:val="left"/>
      <w:lvlText w:val="(%1)"/>
      <w:numFmt w:val="lowerLetter"/>
      <w:start w:val="1"/>
    </w:lvl>
  </w:abstractNum>
  <w:abstractNum w:abstractNumId="91">
    <w:nsid w:val="19E21BB2"/>
    <w:multiLevelType w:val="hybridMultilevel"/>
    <w:lvl w:ilvl="0">
      <w:lvlJc w:val="left"/>
      <w:lvlText w:val="(%1)"/>
      <w:numFmt w:val="lowerLetter"/>
      <w:start w:val="2"/>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1"/>
    </w:lvl>
  </w:abstractNum>
  <w:abstractNum w:abstractNumId="94">
    <w:nsid w:val="5399C654"/>
    <w:multiLevelType w:val="hybridMultilevel"/>
    <w:lvl w:ilvl="0">
      <w:lvlJc w:val="left"/>
      <w:lvlText w:val="(%1)"/>
      <w:numFmt w:val="lowerLetter"/>
      <w:start w:val="3"/>
    </w:lvl>
  </w:abstractNum>
  <w:abstractNum w:abstractNumId="95">
    <w:nsid w:val="20EE1348"/>
    <w:multiLevelType w:val="hybridMultilevel"/>
    <w:lvl w:ilvl="0">
      <w:lvlJc w:val="left"/>
      <w:lvlText w:val="(%1)"/>
      <w:numFmt w:val="lowerLetter"/>
      <w:start w:val="18"/>
    </w:lvl>
  </w:abstractNum>
  <w:abstractNum w:abstractNumId="96">
    <w:nsid w:val="4427069A"/>
    <w:multiLevelType w:val="hybridMultilevel"/>
    <w:lvl w:ilvl="0">
      <w:lvlJc w:val="left"/>
      <w:lvlText w:val="%1"/>
      <w:numFmt w:val="lowerLetter"/>
      <w:start w:val="1"/>
    </w:lvl>
    <w:lvl w:ilvl="1">
      <w:lvlJc w:val="left"/>
      <w:lvlText w:val="(%2)"/>
      <w:numFmt w:val="lowerLetter"/>
      <w:start w:val="1"/>
    </w:lvl>
  </w:abstractNum>
  <w:abstractNum w:abstractNumId="97">
    <w:nsid w:val="B37E80A"/>
    <w:multiLevelType w:val="hybridMultilevel"/>
    <w:lvl w:ilvl="0">
      <w:lvlJc w:val="left"/>
      <w:lvlText w:val="(%1)"/>
      <w:numFmt w:val="lowerLetter"/>
      <w:start w:val="9"/>
    </w:lvl>
    <w:lvl w:ilvl="1">
      <w:lvlJc w:val="left"/>
      <w:lvlText w:val="(%2)"/>
      <w:numFmt w:val="lowerLetter"/>
      <w:start w:val="3"/>
    </w:lvl>
  </w:abstractNum>
  <w:abstractNum w:abstractNumId="98">
    <w:nsid w:val="2157F6BC"/>
    <w:multiLevelType w:val="hybridMultilevel"/>
    <w:lvl w:ilvl="0">
      <w:lvlJc w:val="left"/>
      <w:lvlText w:val="(%1)"/>
      <w:numFmt w:val="lowerLetter"/>
      <w:start w:val="1"/>
    </w:lvl>
    <w:lvl w:ilvl="1">
      <w:lvlJc w:val="left"/>
      <w:lvlText w:val="(%2)"/>
      <w:numFmt w:val="lowerRoman"/>
      <w:start w:val="1"/>
    </w:lvl>
  </w:abstractNum>
  <w:abstractNum w:abstractNumId="99">
    <w:nsid w:val="704E1DD5"/>
    <w:multiLevelType w:val="hybridMultilevel"/>
    <w:lvl w:ilvl="0">
      <w:lvlJc w:val="left"/>
      <w:lvlText w:val="(%1)"/>
      <w:numFmt w:val="lowerRoman"/>
      <w:start w:val="10"/>
    </w:lvl>
  </w:abstractNum>
  <w:abstractNum w:abstractNumId="100">
    <w:nsid w:val="57D2F10E"/>
    <w:multiLevelType w:val="hybridMultilevel"/>
    <w:lvl w:ilvl="0">
      <w:lvlJc w:val="left"/>
      <w:lvlText w:val="(%1)"/>
      <w:numFmt w:val="lowerLetter"/>
      <w:start w:val="2"/>
    </w:lvl>
  </w:abstractNum>
  <w:abstractNum w:abstractNumId="101">
    <w:nsid w:val="BFFAE18"/>
    <w:multiLevelType w:val="hybridMultilevel"/>
    <w:lvl w:ilvl="0">
      <w:lvlJc w:val="left"/>
      <w:lvlText w:val="(%1)"/>
      <w:numFmt w:val="lowerRoman"/>
      <w:start w:val="1"/>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Letter"/>
      <w:start w:val="2"/>
    </w:lvl>
  </w:abstractNum>
  <w:abstractNum w:abstractNumId="105">
    <w:nsid w:val="4BEE5A5B"/>
    <w:multiLevelType w:val="hybridMultilevel"/>
    <w:lvl w:ilvl="0">
      <w:lvlJc w:val="left"/>
      <w:lvlText w:val="(%1)"/>
      <w:numFmt w:val="lowerLetter"/>
      <w:start w:val="1"/>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634C574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9">
    <w:nsid w:val="24E99DD7"/>
    <w:multiLevelType w:val="hybridMultilevel"/>
    <w:lvl w:ilvl="0">
      <w:lvlJc w:val="left"/>
      <w:lvlText w:val="(%1)"/>
      <w:numFmt w:val="decimal"/>
      <w:start w:val="45"/>
    </w:lvl>
    <w:lvl w:ilvl="1">
      <w:lvlJc w:val="left"/>
      <w:lvlText w:val="(%2)"/>
      <w:numFmt w:val="lowerLetter"/>
      <w:start w:val="6"/>
    </w:lvl>
    <w:lvl w:ilvl="2">
      <w:lvlJc w:val="left"/>
      <w:lvlText w:val="%3"/>
      <w:numFmt w:val="lowerRoman"/>
      <w:start w:val="1"/>
    </w:lvl>
  </w:abstractNum>
  <w:abstractNum w:abstractNumId="110">
    <w:nsid w:val="2A31B62D"/>
    <w:multiLevelType w:val="hybridMultilevel"/>
    <w:lvl w:ilvl="0">
      <w:lvlJc w:val="left"/>
      <w:lvlText w:val="(%1)"/>
      <w:numFmt w:val="lowerLetter"/>
      <w:start w:val="7"/>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lowerLetter"/>
      <w:start w:val="5"/>
    </w:lvl>
    <w:lvl w:ilvl="1">
      <w:lvlJc w:val="left"/>
      <w:lvlText w:val="(%2)"/>
      <w:numFmt w:val="lowerRoman"/>
      <w:start w:val="1"/>
    </w:lvl>
  </w:abstractNum>
  <w:abstractNum w:abstractNumId="113">
    <w:nsid w:val="754342"/>
    <w:multiLevelType w:val="hybridMultilevel"/>
    <w:lvl w:ilvl="0">
      <w:lvlJc w:val="left"/>
      <w:lvlText w:val="(%1)"/>
      <w:numFmt w:val="lowerLetter"/>
      <w:start w:val="7"/>
    </w:lvl>
  </w:abstractNum>
  <w:abstractNum w:abstractNumId="114">
    <w:nsid w:val="69E7F3E5"/>
    <w:multiLevelType w:val="hybridMultilevel"/>
    <w:lvl w:ilvl="0">
      <w:lvlJc w:val="left"/>
      <w:lvlText w:val="(%1)"/>
      <w:numFmt w:val="lowerLetter"/>
      <w:start w:val="1"/>
    </w:lvl>
  </w:abstractNum>
  <w:abstractNum w:abstractNumId="115">
    <w:nsid w:val="2A6DE806"/>
    <w:multiLevelType w:val="hybridMultilevel"/>
    <w:lvl w:ilvl="0">
      <w:lvlJc w:val="left"/>
      <w:lvlText w:val="%1"/>
      <w:numFmt w:val="lowerLetter"/>
      <w:start w:val="1"/>
    </w:lvl>
    <w:lvl w:ilvl="1">
      <w:lvlJc w:val="left"/>
      <w:lvlText w:val="(%2)"/>
      <w:numFmt w:val="lowerLetter"/>
      <w:start w:val="2"/>
    </w:lvl>
  </w:abstractNum>
  <w:abstractNum w:abstractNumId="116">
    <w:nsid w:val="1816F8C4"/>
    <w:multiLevelType w:val="hybridMultilevel"/>
    <w:lvl w:ilvl="0">
      <w:lvlJc w:val="left"/>
      <w:lvlText w:val="(%1)"/>
      <w:numFmt w:val="lowerLetter"/>
      <w:start w:val="24"/>
    </w:lvl>
    <w:lvl w:ilvl="1">
      <w:lvlJc w:val="left"/>
      <w:lvlText w:val="%2"/>
      <w:numFmt w:val="lowerLetter"/>
      <w:start w:val="1"/>
    </w:lvl>
  </w:abstractNum>
  <w:abstractNum w:abstractNumId="117">
    <w:nsid w:val="37DF2233"/>
    <w:multiLevelType w:val="hybridMultilevel"/>
    <w:lvl w:ilvl="0">
      <w:lvlJc w:val="left"/>
      <w:lvlText w:val="(%1)"/>
      <w:numFmt w:val="lowerLetter"/>
      <w:start w:val="1"/>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Letter"/>
      <w:start w:val="4"/>
    </w:lvl>
  </w:abstractNum>
  <w:abstractNum w:abstractNumId="120">
    <w:nsid w:val="61E74EA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1">
    <w:nsid w:val="597B4D8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17"/>
    </w:lvl>
  </w:abstractNum>
  <w:abstractNum w:abstractNumId="124">
    <w:nsid w:val="312167AD"/>
    <w:multiLevelType w:val="hybridMultilevel"/>
    <w:lvl w:ilvl="0">
      <w:lvlJc w:val="left"/>
      <w:lvlText w:val="(%1)"/>
      <w:numFmt w:val="lowerLetter"/>
      <w:start w:val="1"/>
    </w:lvl>
  </w:abstractNum>
  <w:abstractNum w:abstractNumId="125">
    <w:nsid w:val="631B64D4"/>
    <w:multiLevelType w:val="hybridMultilevel"/>
    <w:lvl w:ilvl="0">
      <w:lvlJc w:val="left"/>
      <w:lvlText w:val="(%1)"/>
      <w:numFmt w:val="lowerLetter"/>
      <w:start w:val="6"/>
    </w:lvl>
  </w:abstractNum>
  <w:abstractNum w:abstractNumId="126">
    <w:nsid w:val="78B5E776"/>
    <w:multiLevelType w:val="hybridMultilevel"/>
    <w:lvl w:ilvl="0">
      <w:lvlJc w:val="left"/>
      <w:lvlText w:val="(%1)"/>
      <w:numFmt w:val="lowerLetter"/>
      <w:start w:val="7"/>
    </w:lvl>
  </w:abstractNum>
  <w:abstractNum w:abstractNumId="127">
    <w:nsid w:val="75486E47"/>
    <w:multiLevelType w:val="hybridMultilevel"/>
    <w:lvl w:ilvl="0">
      <w:lvlJc w:val="left"/>
      <w:lvlText w:val="(%1)"/>
      <w:numFmt w:val="lowerLetter"/>
      <w:start w:val="12"/>
    </w:lvl>
  </w:abstractNum>
  <w:abstractNum w:abstractNumId="128">
    <w:nsid w:val="6E534CDE"/>
    <w:multiLevelType w:val="hybridMultilevel"/>
    <w:lvl w:ilvl="0">
      <w:lvlJc w:val="left"/>
      <w:lvlText w:val="§"/>
      <w:numFmt w:val="bullet"/>
      <w:start w:val="1"/>
    </w:lvl>
  </w:abstractNum>
  <w:abstractNum w:abstractNumId="129">
    <w:nsid w:val="1A0DDE32"/>
    <w:multiLevelType w:val="hybridMultilevel"/>
    <w:lvl w:ilvl="0">
      <w:lvlJc w:val="left"/>
      <w:lvlText w:val="(%1)"/>
      <w:numFmt w:val="lowerLetter"/>
      <w:start w:val="7"/>
    </w:lvl>
  </w:abstractNum>
  <w:abstractNum w:abstractNumId="130">
    <w:nsid w:val="65968C1C"/>
    <w:multiLevelType w:val="hybridMultilevel"/>
    <w:lvl w:ilvl="0">
      <w:lvlJc w:val="left"/>
      <w:lvlText w:val="(%1)"/>
      <w:numFmt w:val="lowerLetter"/>
      <w:start w:val="2"/>
    </w:lvl>
  </w:abstractNum>
  <w:abstractNum w:abstractNumId="131">
    <w:nsid w:val="46263DEC"/>
    <w:multiLevelType w:val="hybridMultilevel"/>
    <w:lvl w:ilvl="0">
      <w:lvlJc w:val="left"/>
      <w:lvlText w:val="(%1)"/>
      <w:numFmt w:val="lowerLetter"/>
      <w:start w:val="1"/>
    </w:lvl>
  </w:abstractNum>
  <w:abstractNum w:abstractNumId="132">
    <w:nsid w:val="260D8C4A"/>
    <w:multiLevelType w:val="hybridMultilevel"/>
    <w:lvl w:ilvl="0">
      <w:lvlJc w:val="left"/>
      <w:lvlText w:val="(%1)"/>
      <w:numFmt w:val="lowerLetter"/>
      <w:start w:val="3"/>
    </w:lvl>
  </w:abstractNum>
  <w:abstractNum w:abstractNumId="133">
    <w:nsid w:val="73D4D3C4"/>
    <w:multiLevelType w:val="hybridMultilevel"/>
    <w:lvl w:ilvl="0">
      <w:lvlJc w:val="left"/>
      <w:lvlText w:val="(%1)"/>
      <w:numFmt w:val="lowerLetter"/>
      <w:start w:val="3"/>
    </w:lvl>
  </w:abstractNum>
  <w:abstractNum w:abstractNumId="134">
    <w:nsid w:val="746F2E30"/>
    <w:multiLevelType w:val="hybridMultilevel"/>
    <w:lvl w:ilvl="0">
      <w:lvlJc w:val="left"/>
      <w:lvlText w:val="(%1)"/>
      <w:numFmt w:val="decimal"/>
      <w:start w:val="20"/>
    </w:lvl>
  </w:abstractNum>
  <w:abstractNum w:abstractNumId="135">
    <w:nsid w:val="6FDE8AF6"/>
    <w:multiLevelType w:val="hybridMultilevel"/>
    <w:lvl w:ilvl="0">
      <w:lvlJc w:val="left"/>
      <w:lvlText w:val="(%1)"/>
      <w:numFmt w:val="lowerLetter"/>
      <w:start w:val="1"/>
    </w:lvl>
  </w:abstractNum>
  <w:abstractNum w:abstractNumId="136">
    <w:nsid w:val="3FC32E20"/>
    <w:multiLevelType w:val="hybridMultilevel"/>
    <w:lvl w:ilvl="0">
      <w:lvlJc w:val="left"/>
      <w:lvlText w:val="(%1)"/>
      <w:numFmt w:val="lowerLetter"/>
      <w:start w:val="4"/>
    </w:lvl>
  </w:abstractNum>
  <w:abstractNum w:abstractNumId="137">
    <w:nsid w:val="49C0E823"/>
    <w:multiLevelType w:val="hybridMultilevel"/>
    <w:lvl w:ilvl="0">
      <w:lvlJc w:val="left"/>
      <w:lvlText w:val="%1"/>
      <w:numFmt w:val="lowerLetter"/>
      <w:start w:val="1"/>
    </w:lvl>
    <w:lvl w:ilvl="1">
      <w:lvlJc w:val="left"/>
      <w:lvlText w:val="(%2)"/>
      <w:numFmt w:val="lowerLetter"/>
      <w:start w:val="18"/>
    </w:lvl>
  </w:abstractNum>
  <w:abstractNum w:abstractNumId="138">
    <w:nsid w:val="14D53685"/>
    <w:multiLevelType w:val="hybridMultilevel"/>
    <w:lvl w:ilvl="0">
      <w:lvlJc w:val="left"/>
      <w:lvlText w:val="(%1)"/>
      <w:numFmt w:val="lowerLetter"/>
      <w:start w:val="2"/>
    </w:lvl>
    <w:lvl w:ilvl="1">
      <w:lvlJc w:val="left"/>
      <w:lvlText w:val="%2"/>
      <w:numFmt w:val="lowerLetter"/>
      <w:start w:val="1"/>
    </w:lvl>
  </w:abstractNum>
  <w:abstractNum w:abstractNumId="139">
    <w:nsid w:val="230F856C"/>
    <w:multiLevelType w:val="hybridMultilevel"/>
    <w:lvl w:ilvl="0">
      <w:lvlJc w:val="left"/>
      <w:lvlText w:val="(%1)"/>
      <w:numFmt w:val="lowerLetter"/>
      <w:start w:val="1"/>
    </w:lvl>
  </w:abstractNum>
  <w:abstractNum w:abstractNumId="140">
    <w:nsid w:val="6EAA85FB"/>
    <w:multiLevelType w:val="hybridMultilevel"/>
    <w:lvl w:ilvl="0">
      <w:lvlJc w:val="left"/>
      <w:lvlText w:val="(%1)"/>
      <w:numFmt w:val="lowerLetter"/>
      <w:start w:val="2"/>
    </w:lvl>
  </w:abstractNum>
  <w:abstractNum w:abstractNumId="141">
    <w:nsid w:val="3F06ECB2"/>
    <w:multiLevelType w:val="hybridMultilevel"/>
    <w:lvl w:ilvl="0">
      <w:lvlJc w:val="left"/>
      <w:lvlText w:val="(%1)"/>
      <w:numFmt w:val="lowerLetter"/>
      <w:start w:val="11"/>
    </w:lvl>
  </w:abstractNum>
  <w:abstractNum w:abstractNumId="142">
    <w:nsid w:val="3B594807"/>
    <w:multiLevelType w:val="hybridMultilevel"/>
    <w:lvl w:ilvl="0">
      <w:lvlJc w:val="left"/>
      <w:lvlText w:val="(%1)"/>
      <w:numFmt w:val="lowerLetter"/>
      <w:start w:val="1"/>
    </w:lvl>
  </w:abstractNum>
  <w:abstractNum w:abstractNumId="143">
    <w:nsid w:val="6CAA2304"/>
    <w:multiLevelType w:val="hybridMultilevel"/>
    <w:lvl w:ilvl="0">
      <w:lvlJc w:val="left"/>
      <w:lvlText w:val="(%1)"/>
      <w:numFmt w:val="lowerLetter"/>
      <w:start w:val="5"/>
    </w:lvl>
  </w:abstractNum>
  <w:abstractNum w:abstractNumId="144">
    <w:nsid w:val="3F7C2FF4"/>
    <w:multiLevelType w:val="hybridMultilevel"/>
    <w:lvl w:ilvl="0">
      <w:lvlJc w:val="left"/>
      <w:lvlText w:val="%1."/>
      <w:numFmt w:val="decimal"/>
      <w:start w:val="1"/>
    </w:lvl>
  </w:abstractNum>
  <w:abstractNum w:abstractNumId="145">
    <w:nsid w:val="25413BEC"/>
    <w:multiLevelType w:val="hybridMultilevel"/>
    <w:lvl w:ilvl="0">
      <w:lvlJc w:val="left"/>
      <w:lvlText w:val="%1."/>
      <w:numFmt w:val="decimal"/>
      <w:start w:val="2"/>
    </w:lvl>
  </w:abstractNum>
  <w:abstractNum w:abstractNumId="146">
    <w:nsid w:val="17180B0B"/>
    <w:multiLevelType w:val="hybridMultilevel"/>
    <w:lvl w:ilvl="0">
      <w:lvlJc w:val="left"/>
      <w:lvlText w:val="(%1)"/>
      <w:numFmt w:val="lowerRoman"/>
      <w:start w:val="2"/>
    </w:lvl>
  </w:abstractNum>
  <w:abstractNum w:abstractNumId="147">
    <w:nsid w:val="579328B9"/>
    <w:multiLevelType w:val="hybridMultilevel"/>
    <w:lvl w:ilvl="0">
      <w:lvlJc w:val="left"/>
      <w:lvlText w:val="%1."/>
      <w:numFmt w:val="decimal"/>
      <w:start w:val="3"/>
    </w:lvl>
    <w:lvl w:ilvl="1">
      <w:lvlJc w:val="left"/>
      <w:lvlText w:val="(%2)"/>
      <w:numFmt w:val="lowerLetter"/>
      <w:start w:val="1"/>
    </w:lvl>
  </w:abstractNum>
  <w:abstractNum w:abstractNumId="148">
    <w:nsid w:val="5D205E20"/>
    <w:multiLevelType w:val="hybridMultilevel"/>
    <w:lvl w:ilvl="0">
      <w:lvlJc w:val="left"/>
      <w:lvlText w:val="%1."/>
      <w:numFmt w:val="decimal"/>
      <w:start w:val="5"/>
    </w:lvl>
    <w:lvl w:ilvl="1">
      <w:lvlJc w:val="left"/>
      <w:lvlText w:val="(%2)"/>
      <w:numFmt w:val="lowerLetter"/>
      <w:start w:val="1"/>
    </w:lvl>
  </w:abstractNum>
  <w:abstractNum w:abstractNumId="149">
    <w:nsid w:val="11CCA8BA"/>
    <w:multiLevelType w:val="hybridMultilevel"/>
    <w:lvl w:ilvl="0">
      <w:lvlJc w:val="left"/>
      <w:lvlText w:val="%1"/>
      <w:numFmt w:val="decimal"/>
      <w:start w:val="1"/>
    </w:lvl>
    <w:lvl w:ilvl="1">
      <w:lvlJc w:val="left"/>
      <w:lvlText w:val="(%2)"/>
      <w:numFmt w:val="lowerLetter"/>
      <w:start w:val="4"/>
    </w:lvl>
  </w:abstractNum>
  <w:abstractNum w:abstractNumId="150">
    <w:nsid w:val="4D32AB86"/>
    <w:multiLevelType w:val="hybridMultilevel"/>
    <w:lvl w:ilvl="0">
      <w:lvlJc w:val="left"/>
      <w:lvlText w:val="%1"/>
      <w:numFmt w:val="decimal"/>
      <w:start w:val="12"/>
    </w:lvl>
    <w:lvl w:ilvl="1">
      <w:lvlJc w:val="left"/>
      <w:lvlText w:val="%2"/>
      <w:numFmt w:val="lowerLetter"/>
      <w:start w:val="1"/>
    </w:lvl>
  </w:abstractNum>
  <w:abstractNum w:abstractNumId="151">
    <w:nsid w:val="3F07ACC3"/>
    <w:multiLevelType w:val="hybridMultilevel"/>
    <w:lvl w:ilvl="0">
      <w:lvlJc w:val="left"/>
      <w:lvlText w:val="%1."/>
      <w:numFmt w:val="decimal"/>
      <w:start w:val="7"/>
    </w:lvl>
    <w:lvl w:ilvl="1">
      <w:lvlJc w:val="left"/>
      <w:lvlText w:val="%2"/>
      <w:numFmt w:val="lowerLetter"/>
      <w:start w:val="1"/>
    </w:lvl>
  </w:abstractNum>
  <w:abstractNum w:abstractNumId="152">
    <w:nsid w:val="6B47F63E"/>
    <w:multiLevelType w:val="hybridMultilevel"/>
    <w:lvl w:ilvl="0">
      <w:lvlJc w:val="left"/>
      <w:lvlText w:val="%1."/>
      <w:numFmt w:val="decimal"/>
      <w:start w:val="9"/>
    </w:lvl>
    <w:lvl w:ilvl="1">
      <w:lvlJc w:val="left"/>
      <w:lvlText w:val="(%2)"/>
      <w:numFmt w:val="lowerLetter"/>
      <w:start w:val="1"/>
    </w:lvl>
  </w:abstractNum>
  <w:abstractNum w:abstractNumId="153">
    <w:nsid w:val="5CB44A05"/>
    <w:multiLevelType w:val="hybridMultilevel"/>
    <w:lvl w:ilvl="0">
      <w:lvlJc w:val="left"/>
      <w:lvlText w:val="(%1)"/>
      <w:numFmt w:val="lowerLetter"/>
      <w:start w:val="6"/>
    </w:lvl>
  </w:abstractNum>
  <w:abstractNum w:abstractNumId="154">
    <w:nsid w:val="16CF80F1"/>
    <w:multiLevelType w:val="hybridMultilevel"/>
    <w:lvl w:ilvl="0">
      <w:lvlJc w:val="left"/>
      <w:lvlText w:val="%1."/>
      <w:numFmt w:val="decimal"/>
      <w:start w:val="12"/>
    </w:lvl>
    <w:lvl w:ilvl="1">
      <w:lvlJc w:val="left"/>
      <w:lvlText w:val="(%2)"/>
      <w:numFmt w:val="lowerLetter"/>
      <w:start w:val="1"/>
    </w:lvl>
  </w:abstractNum>
  <w:abstractNum w:abstractNumId="155">
    <w:nsid w:val="1C695DEC"/>
    <w:multiLevelType w:val="hybridMultilevel"/>
    <w:lvl w:ilvl="0">
      <w:lvlJc w:val="left"/>
      <w:lvlText w:val="%1"/>
      <w:numFmt w:val="decimal"/>
      <w:start w:val="1"/>
    </w:lvl>
    <w:lvl w:ilvl="1">
      <w:lvlJc w:val="left"/>
      <w:lvlText w:val="(%2)"/>
      <w:numFmt w:val="lowerLetter"/>
      <w:start w:val="8"/>
    </w:lvl>
  </w:abstractNum>
  <w:abstractNum w:abstractNumId="156">
    <w:nsid w:val="3FCFAED9"/>
    <w:multiLevelType w:val="hybridMultilevel"/>
    <w:lvl w:ilvl="0">
      <w:lvlJc w:val="left"/>
      <w:lvlText w:val="%1."/>
      <w:numFmt w:val="decimal"/>
      <w:start w:val="16"/>
    </w:lvl>
    <w:lvl w:ilvl="1">
      <w:lvlJc w:val="left"/>
      <w:lvlText w:val="(%2)"/>
      <w:numFmt w:val="lowerLetter"/>
      <w:start w:val="1"/>
    </w:lvl>
  </w:abstractNum>
  <w:abstractNum w:abstractNumId="157">
    <w:nsid w:val="F856867"/>
    <w:multiLevelType w:val="hybridMultilevel"/>
    <w:lvl w:ilvl="0">
      <w:lvlJc w:val="left"/>
      <w:lvlText w:val="%1"/>
      <w:numFmt w:val="decimal"/>
      <w:start w:val="1"/>
    </w:lvl>
    <w:lvl w:ilvl="1">
      <w:lvlJc w:val="left"/>
      <w:lvlText w:val="(%2)"/>
      <w:numFmt w:val="lowerLetter"/>
      <w:start w:val="10"/>
    </w:lvl>
  </w:abstractNum>
  <w:abstractNum w:abstractNumId="158">
    <w:nsid w:val="11B1CC33"/>
    <w:multiLevelType w:val="hybridMultilevel"/>
    <w:lvl w:ilvl="0">
      <w:lvlJc w:val="left"/>
      <w:lvlText w:val="%1."/>
      <w:numFmt w:val="decimal"/>
      <w:start w:val="19"/>
    </w:lvl>
    <w:lvl w:ilvl="1">
      <w:lvlJc w:val="left"/>
      <w:lvlText w:val="(%2)"/>
      <w:numFmt w:val="lowerLetter"/>
      <w:start w:val="1"/>
    </w:lvl>
  </w:abstractNum>
  <w:abstractNum w:abstractNumId="159">
    <w:nsid w:val="2E22FBB7"/>
    <w:multiLevelType w:val="hybridMultilevel"/>
    <w:lvl w:ilvl="0">
      <w:lvlJc w:val="left"/>
      <w:lvlText w:val="%1"/>
      <w:numFmt w:val="decimal"/>
      <w:start w:val="1"/>
    </w:lvl>
    <w:lvl w:ilvl="1">
      <w:lvlJc w:val="left"/>
      <w:lvlText w:val="(%2)"/>
      <w:numFmt w:val="lowerLetter"/>
      <w:start w:val="12"/>
    </w:lvl>
  </w:abstractNum>
  <w:abstractNum w:abstractNumId="160">
    <w:nsid w:val="29934699"/>
    <w:multiLevelType w:val="hybridMultilevel"/>
    <w:lvl w:ilvl="0">
      <w:lvlJc w:val="left"/>
      <w:lvlText w:val="%1."/>
      <w:numFmt w:val="decimal"/>
      <w:start w:val="20"/>
    </w:lvl>
    <w:lvl w:ilvl="1">
      <w:lvlJc w:val="left"/>
      <w:lvlText w:val="%2"/>
      <w:numFmt w:val="lowerLetter"/>
      <w:start w:val="1"/>
    </w:lvl>
  </w:abstractNum>
  <w:abstractNum w:abstractNumId="161">
    <w:nsid w:val="77485850"/>
    <w:multiLevelType w:val="hybridMultilevel"/>
    <w:lvl w:ilvl="0">
      <w:lvlJc w:val="left"/>
      <w:lvlText w:val="(%1)"/>
      <w:numFmt w:val="lowerLetter"/>
      <w:start w:val="1"/>
    </w:lvl>
  </w:abstractNum>
  <w:abstractNum w:abstractNumId="162">
    <w:nsid w:val="744939A3"/>
    <w:multiLevelType w:val="hybridMultilevel"/>
    <w:lvl w:ilvl="0">
      <w:lvlJc w:val="left"/>
      <w:lvlText w:val="%1"/>
      <w:numFmt w:val="decimal"/>
      <w:start w:val="1"/>
    </w:lvl>
    <w:lvl w:ilvl="1">
      <w:lvlJc w:val="left"/>
      <w:lvlText w:val="(%2)"/>
      <w:numFmt w:val="lowerLetter"/>
      <w:start w:val="13"/>
    </w:lvl>
  </w:abstractNum>
  <w:abstractNum w:abstractNumId="163">
    <w:nsid w:val="4FA0D2E3"/>
    <w:multiLevelType w:val="hybridMultilevel"/>
    <w:lvl w:ilvl="0">
      <w:lvlJc w:val="left"/>
      <w:lvlText w:val="%1."/>
      <w:numFmt w:val="decimal"/>
      <w:start w:val="23"/>
    </w:lvl>
    <w:lvl w:ilvl="1">
      <w:lvlJc w:val="left"/>
      <w:lvlText w:val="%2"/>
      <w:numFmt w:val="lowerLetter"/>
      <w:start w:val="1"/>
    </w:lvl>
  </w:abstractNum>
  <w:abstractNum w:abstractNumId="164">
    <w:nsid w:val="6B1D2C14"/>
    <w:multiLevelType w:val="hybridMultilevel"/>
    <w:lvl w:ilvl="0">
      <w:lvlJc w:val="left"/>
      <w:lvlText w:val="%1."/>
      <w:numFmt w:val="decimal"/>
      <w:start w:val="27"/>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lvl w:ilvl="1">
      <w:lvlJc w:val="left"/>
      <w:lvlText w:val="(%2)"/>
      <w:numFmt w:val="lowerLetter"/>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184" Type="http://schemas.openxmlformats.org/officeDocument/2006/relationships/hyperlink" Target="https://www.sec.gov/Archives/edgar/data/1484612/000119312520241516/d941853dex31.htm" TargetMode="External"/><Relationship Id="rId185" Type="http://schemas.openxmlformats.org/officeDocument/2006/relationships/hyperlink" Target="https://www.sec.gov/Archives/edgar/data/1484612/000119312520241516/d941853dex32.htm" TargetMode="External"/><Relationship Id="rId186" Type="http://schemas.openxmlformats.org/officeDocument/2006/relationships/hyperlink" Target="https://www.sec.gov/Archives/edgar/data/1484612/000119312520241516/d941853dex41.htm" TargetMode="External"/><Relationship Id="rId187" Type="http://schemas.openxmlformats.org/officeDocument/2006/relationships/hyperlink" Target="https://www.sec.gov/Archives/edgar/data/1484612/000119312520226746/d941853dex42.htm" TargetMode="External"/><Relationship Id="rId188" Type="http://schemas.openxmlformats.org/officeDocument/2006/relationships/hyperlink" Target="https://www.sec.gov/Archives/edgar/data/1484612/000119312520226746/d941853dex43.htm" TargetMode="External"/><Relationship Id="rId189"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2022-11-09T05:35:29Z</dcterms:created>
  <dcterms:modified xsi:type="dcterms:W3CDTF">2022-11-09T05:35:29Z</dcterms:modified>
</cp:coreProperties>
</file>