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1980" w:hanging="3899"/>
        <w:spacing w:after="0" w:line="313"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41" w:lineRule="exact"/>
        <w:rPr>
          <w:sz w:val="24"/>
          <w:szCs w:val="24"/>
          <w:color w:val="auto"/>
        </w:rPr>
      </w:pP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Outset Medical, Inc.</w:t>
      </w:r>
    </w:p>
    <w:p>
      <w:pPr>
        <w:sectPr>
          <w:pgSz w:w="11900" w:h="16838" w:orient="portrait"/>
          <w:cols w:equalWidth="0" w:num="1">
            <w:col w:w="11240"/>
          </w:cols>
          <w:pgMar w:left="320" w:top="310" w:right="339" w:bottom="1440" w:gutter="0" w:footer="0" w:header="0"/>
        </w:sectPr>
      </w:pP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3052 Orchard Dr.</w:t>
      </w:r>
    </w:p>
    <w:p>
      <w:pPr>
        <w:spacing w:after="0" w:line="27" w:lineRule="exact"/>
        <w:rPr>
          <w:sz w:val="24"/>
          <w:szCs w:val="24"/>
          <w:color w:val="auto"/>
        </w:rPr>
      </w:pPr>
    </w:p>
    <w:p>
      <w:pPr>
        <w:jc w:val="center"/>
        <w:ind w:right="2000"/>
        <w:spacing w:after="0"/>
        <w:rPr>
          <w:sz w:val="20"/>
          <w:szCs w:val="20"/>
          <w:color w:val="auto"/>
        </w:rPr>
      </w:pPr>
      <w:r>
        <w:rPr>
          <w:rFonts w:ascii="Arial" w:cs="Arial" w:eastAsia="Arial" w:hAnsi="Arial"/>
          <w:sz w:val="17"/>
          <w:szCs w:val="17"/>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20-0514392</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95134</w:t>
      </w:r>
    </w:p>
    <w:p>
      <w:pPr>
        <w:spacing w:after="0" w:line="36" w:lineRule="exact"/>
        <w:rPr>
          <w:sz w:val="24"/>
          <w:szCs w:val="24"/>
          <w:color w:val="auto"/>
        </w:rPr>
      </w:pPr>
    </w:p>
    <w:p>
      <w:pPr>
        <w:sectPr>
          <w:pgSz w:w="11900" w:h="16838" w:orient="portrait"/>
          <w:cols w:equalWidth="0" w:num="2">
            <w:col w:w="7640" w:space="300"/>
            <w:col w:w="3300"/>
          </w:cols>
          <w:pgMar w:left="320" w:top="310"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3"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00"/>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00"/>
        </w:trPr>
        <w:tc>
          <w:tcPr>
            <w:tcW w:w="2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50"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8"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220"/>
        <w:spacing w:after="0" w:line="253" w:lineRule="auto"/>
        <w:rPr>
          <w:sz w:val="20"/>
          <w:szCs w:val="20"/>
          <w:color w:val="auto"/>
        </w:rPr>
      </w:pPr>
      <w:r>
        <w:rPr>
          <w:rFonts w:ascii="Arial" w:cs="Arial" w:eastAsia="Arial" w:hAnsi="Arial"/>
          <w:sz w:val="14"/>
          <w:szCs w:val="14"/>
          <w:color w:val="auto"/>
        </w:rPr>
        <w:t>Aggregate market value of registrant's common stock held by non-affiliates of the registrant, based upon the closing price of a share of the registrant's common stock on June 30, 2022 (the last business day of the registrant's most recently completed second quarter) as reported by Nasdaq Global Market on that date was $709 million.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par value $0.001 per share, outstanding as of February 9, 2023 was 48,637,059.</w:t>
      </w:r>
    </w:p>
    <w:p>
      <w:pPr>
        <w:spacing w:after="0" w:line="42"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42" w:lineRule="exact"/>
        <w:rPr>
          <w:sz w:val="24"/>
          <w:szCs w:val="24"/>
          <w:color w:val="auto"/>
        </w:rPr>
      </w:pPr>
    </w:p>
    <w:p>
      <w:pPr>
        <w:ind w:right="260"/>
        <w:spacing w:after="0" w:line="253" w:lineRule="auto"/>
        <w:rPr>
          <w:sz w:val="20"/>
          <w:szCs w:val="20"/>
          <w:color w:val="auto"/>
        </w:rPr>
      </w:pPr>
      <w:r>
        <w:rPr>
          <w:rFonts w:ascii="Arial" w:cs="Arial" w:eastAsia="Arial" w:hAnsi="Arial"/>
          <w:sz w:val="14"/>
          <w:szCs w:val="14"/>
          <w:color w:val="auto"/>
        </w:rPr>
        <w:t>Portions of the registrant’s Proxy Statement for its 2023 Annual Meeting of Stockholders, which is to be filed with the Securities and Exchange Commission within 120 days of the registrant’ fiscal year ended December 31, 2022,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563C1"/>
                <w:w w:val="84"/>
              </w:rPr>
              <w:t>Business</w:t>
            </w:r>
          </w:p>
        </w:tc>
        <w:tc>
          <w:tcPr>
            <w:tcW w:w="8660" w:type="dxa"/>
            <w:vAlign w:val="bottom"/>
            <w:gridSpan w:val="2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1A.</w:t>
            </w:r>
          </w:p>
        </w:tc>
        <w:tc>
          <w:tcPr>
            <w:tcW w:w="9300" w:type="dxa"/>
            <w:vAlign w:val="bottom"/>
            <w:gridSpan w:val="21"/>
          </w:tcPr>
          <w:p>
            <w:pPr>
              <w:spacing w:after="0"/>
              <w:rPr>
                <w:sz w:val="20"/>
                <w:szCs w:val="20"/>
                <w:color w:val="auto"/>
              </w:rPr>
            </w:pPr>
            <w:r>
              <w:rPr>
                <w:rFonts w:ascii="Arial" w:cs="Arial" w:eastAsia="Arial" w:hAnsi="Arial"/>
                <w:sz w:val="18"/>
                <w:szCs w:val="18"/>
                <w:color w:val="0563C1"/>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1B.</w:t>
            </w:r>
          </w:p>
        </w:tc>
        <w:tc>
          <w:tcPr>
            <w:tcW w:w="9300" w:type="dxa"/>
            <w:vAlign w:val="bottom"/>
            <w:gridSpan w:val="21"/>
          </w:tcPr>
          <w:p>
            <w:pPr>
              <w:spacing w:after="0"/>
              <w:rPr>
                <w:sz w:val="20"/>
                <w:szCs w:val="20"/>
                <w:color w:val="auto"/>
              </w:rPr>
            </w:pPr>
            <w:r>
              <w:rPr>
                <w:rFonts w:ascii="Arial" w:cs="Arial" w:eastAsia="Arial" w:hAnsi="Arial"/>
                <w:sz w:val="18"/>
                <w:szCs w:val="18"/>
                <w:color w:val="0563C1"/>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563C1"/>
              </w:rPr>
              <w:t>Properties</w:t>
            </w:r>
          </w:p>
        </w:tc>
        <w:tc>
          <w:tcPr>
            <w:tcW w:w="72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rPr>
                <w:sz w:val="20"/>
                <w:szCs w:val="20"/>
                <w:color w:val="auto"/>
              </w:rPr>
            </w:pPr>
            <w:r>
              <w:rPr>
                <w:rFonts w:ascii="Arial" w:cs="Arial" w:eastAsia="Arial" w:hAnsi="Arial"/>
                <w:sz w:val="18"/>
                <w:szCs w:val="18"/>
                <w:color w:val="0563C1"/>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sz w:val="20"/>
                <w:szCs w:val="20"/>
                <w:color w:val="auto"/>
              </w:rPr>
            </w:pPr>
            <w:r>
              <w:rPr>
                <w:rFonts w:ascii="Arial" w:cs="Arial" w:eastAsia="Arial" w:hAnsi="Arial"/>
                <w:sz w:val="18"/>
                <w:szCs w:val="18"/>
                <w:color w:val="0563C1"/>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0" w:lineRule="exact"/>
              <w:rPr>
                <w:sz w:val="20"/>
                <w:szCs w:val="20"/>
                <w:color w:val="auto"/>
              </w:rPr>
            </w:pPr>
            <w:r>
              <w:rPr>
                <w:rFonts w:ascii="Arial" w:cs="Arial" w:eastAsia="Arial" w:hAnsi="Arial"/>
                <w:sz w:val="18"/>
                <w:szCs w:val="18"/>
                <w:color w:val="0563C1"/>
              </w:rPr>
              <w:t>Market for Registrant’s Common Equity, Related Stockholder Matters and Issuer Purchases of Equity Securities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rPr>
                <w:sz w:val="20"/>
                <w:szCs w:val="20"/>
                <w:color w:val="auto"/>
              </w:rPr>
            </w:pPr>
            <w:r>
              <w:rPr>
                <w:rFonts w:ascii="Arial" w:cs="Arial" w:eastAsia="Arial" w:hAnsi="Arial"/>
                <w:sz w:val="18"/>
                <w:szCs w:val="18"/>
                <w:u w:val="single" w:color="auto"/>
                <w:color w:val="0563C1"/>
              </w:rPr>
              <w:t>[</w:t>
            </w:r>
            <w:r>
              <w:rPr>
                <w:rFonts w:ascii="Arial" w:cs="Arial" w:eastAsia="Arial" w:hAnsi="Arial"/>
                <w:sz w:val="18"/>
                <w:szCs w:val="18"/>
                <w:color w:val="0563C1"/>
              </w:rPr>
              <w:t>Reserved</w:t>
            </w:r>
            <w:r>
              <w:rPr>
                <w:rFonts w:ascii="Arial" w:cs="Arial" w:eastAsia="Arial" w:hAnsi="Arial"/>
                <w:sz w:val="18"/>
                <w:szCs w:val="18"/>
                <w:u w:val="single" w:color="auto"/>
                <w:color w:val="0563C1"/>
              </w:rPr>
              <w:t>]</w:t>
            </w: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563C1"/>
                <w:w w:val="90"/>
              </w:rPr>
              <w:t>Management’s Discussion and Analysis of Financial Condition and Results of Operations</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563C1"/>
                <w:w w:val="92"/>
              </w:rPr>
              <w:t>Quantitative and Qualitative Disclosures About Market Risk</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8.</w:t>
            </w:r>
          </w:p>
        </w:tc>
        <w:tc>
          <w:tcPr>
            <w:tcW w:w="9300" w:type="dxa"/>
            <w:vAlign w:val="bottom"/>
            <w:gridSpan w:val="21"/>
          </w:tcPr>
          <w:p>
            <w:pPr>
              <w:spacing w:after="0"/>
              <w:rPr>
                <w:sz w:val="20"/>
                <w:szCs w:val="20"/>
                <w:color w:val="auto"/>
              </w:rPr>
            </w:pPr>
            <w:r>
              <w:rPr>
                <w:rFonts w:ascii="Arial" w:cs="Arial" w:eastAsia="Arial" w:hAnsi="Arial"/>
                <w:sz w:val="18"/>
                <w:szCs w:val="18"/>
                <w:color w:val="0563C1"/>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563C1"/>
                <w:w w:val="90"/>
              </w:rPr>
              <w:t>Changes in and Disagreements with Accountants on Accounting and Financial Disclosure</w:t>
            </w:r>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9A.</w:t>
            </w:r>
          </w:p>
        </w:tc>
        <w:tc>
          <w:tcPr>
            <w:tcW w:w="9300" w:type="dxa"/>
            <w:vAlign w:val="bottom"/>
            <w:gridSpan w:val="21"/>
          </w:tcPr>
          <w:p>
            <w:pPr>
              <w:spacing w:after="0"/>
              <w:rPr>
                <w:sz w:val="20"/>
                <w:szCs w:val="20"/>
                <w:color w:val="auto"/>
              </w:rPr>
            </w:pPr>
            <w:r>
              <w:rPr>
                <w:rFonts w:ascii="Arial" w:cs="Arial" w:eastAsia="Arial" w:hAnsi="Arial"/>
                <w:sz w:val="18"/>
                <w:szCs w:val="18"/>
                <w:color w:val="0563C1"/>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563C1"/>
              </w:rPr>
              <w:t>Other Information</w:t>
            </w:r>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9C.</w:t>
            </w:r>
          </w:p>
        </w:tc>
        <w:tc>
          <w:tcPr>
            <w:tcW w:w="9300" w:type="dxa"/>
            <w:vAlign w:val="bottom"/>
            <w:gridSpan w:val="21"/>
          </w:tcPr>
          <w:p>
            <w:pPr>
              <w:spacing w:after="0"/>
              <w:rPr>
                <w:sz w:val="20"/>
                <w:szCs w:val="20"/>
                <w:color w:val="auto"/>
              </w:rPr>
            </w:pPr>
            <w:r>
              <w:rPr>
                <w:rFonts w:ascii="Arial" w:cs="Arial" w:eastAsia="Arial" w:hAnsi="Arial"/>
                <w:sz w:val="18"/>
                <w:szCs w:val="18"/>
                <w:color w:val="0563C1"/>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line="190" w:lineRule="exact"/>
              <w:rPr>
                <w:sz w:val="20"/>
                <w:szCs w:val="20"/>
                <w:color w:val="auto"/>
              </w:rPr>
            </w:pPr>
            <w:r>
              <w:rPr>
                <w:rFonts w:ascii="Arial" w:cs="Arial" w:eastAsia="Arial" w:hAnsi="Arial"/>
                <w:sz w:val="18"/>
                <w:szCs w:val="18"/>
                <w:color w:val="0563C1"/>
              </w:rPr>
              <w:t>Directors, Executive Officers and Corporate Governance</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563C1"/>
                <w:w w:val="89"/>
              </w:rPr>
              <w:t>Executive Compensation</w:t>
            </w:r>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12.</w:t>
            </w:r>
          </w:p>
        </w:tc>
        <w:tc>
          <w:tcPr>
            <w:tcW w:w="9300" w:type="dxa"/>
            <w:vAlign w:val="bottom"/>
            <w:gridSpan w:val="21"/>
          </w:tcPr>
          <w:p>
            <w:pPr>
              <w:spacing w:after="0"/>
              <w:rPr>
                <w:sz w:val="20"/>
                <w:szCs w:val="20"/>
                <w:color w:val="auto"/>
              </w:rPr>
            </w:pPr>
            <w:r>
              <w:rPr>
                <w:rFonts w:ascii="Arial" w:cs="Arial" w:eastAsia="Arial" w:hAnsi="Arial"/>
                <w:sz w:val="18"/>
                <w:szCs w:val="18"/>
                <w:color w:val="0563C1"/>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563C1"/>
              </w:rPr>
              <w:t>Certain Relationships and Related Transactions, and Director Independence</w:t>
            </w:r>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563C1"/>
              </w:rPr>
              <w:t>Principal Accounting Fees and Services</w:t>
            </w:r>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sz w:val="20"/>
                <w:szCs w:val="20"/>
                <w:color w:val="auto"/>
              </w:rPr>
            </w:pPr>
            <w:r>
              <w:rPr>
                <w:rFonts w:ascii="Arial" w:cs="Arial" w:eastAsia="Arial" w:hAnsi="Arial"/>
                <w:sz w:val="18"/>
                <w:szCs w:val="18"/>
                <w:color w:val="0563C1"/>
                <w:w w:val="89"/>
              </w:rPr>
              <w:t>Exhibits, Financial Statement Schedules</w:t>
            </w:r>
          </w:p>
        </w:tc>
        <w:tc>
          <w:tcPr>
            <w:tcW w:w="6400" w:type="dxa"/>
            <w:vAlign w:val="bottom"/>
            <w:gridSpan w:val="1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16</w:t>
            </w:r>
          </w:p>
        </w:tc>
        <w:tc>
          <w:tcPr>
            <w:tcW w:w="9300" w:type="dxa"/>
            <w:vAlign w:val="bottom"/>
            <w:gridSpan w:val="21"/>
          </w:tcPr>
          <w:p>
            <w:pPr>
              <w:spacing w:after="0"/>
              <w:rPr>
                <w:sz w:val="20"/>
                <w:szCs w:val="20"/>
                <w:color w:val="auto"/>
              </w:rPr>
            </w:pPr>
            <w:r>
              <w:rPr>
                <w:rFonts w:ascii="Arial" w:cs="Arial" w:eastAsia="Arial" w:hAnsi="Arial"/>
                <w:sz w:val="18"/>
                <w:szCs w:val="18"/>
                <w:color w:val="0563C1"/>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left="7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This Annual Report on Form 10-K (this Annual Report) contains forward-looking statements within the meaning of the federal securities laws. All statements other than statements of historical fact contained in this Annual Report are forward-looking statements. In some cases, you can identify forward-looking statements by terms such as “may,” “should,” “expects,” “plans,” “anticipates,” “could,” “intends,” “target,” “projects,” “contemplates,” “believes,” “estimates,” “predicts,” “potential” or “continue” or the negative of these terms or other similar expressions. These forward-looking statements include, but are not limited to, statements about:</w:t>
      </w:r>
    </w:p>
    <w:p>
      <w:pPr>
        <w:spacing w:after="0" w:line="80" w:lineRule="exact"/>
        <w:rPr>
          <w:sz w:val="20"/>
          <w:szCs w:val="20"/>
          <w:color w:val="auto"/>
        </w:rPr>
      </w:pPr>
    </w:p>
    <w:p>
      <w:pPr>
        <w:ind w:left="1140" w:right="320" w:hanging="383"/>
        <w:spacing w:after="0" w:line="311"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results of operations and financial position, including our expectations and projections regarding our revenues and revenue growth rate, sales into the home market and such sales as a percentage of revenues, cost of revenues, operating expenses (including as a percentage of revenues), gross margin, capital expenditures and our ability to achieve and maintain future profitability;</w:t>
      </w:r>
    </w:p>
    <w:p>
      <w:pPr>
        <w:spacing w:after="0" w:line="40"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plans and objectives of management;</w:t>
      </w:r>
    </w:p>
    <w:p>
      <w:pPr>
        <w:spacing w:after="0" w:line="117" w:lineRule="exact"/>
        <w:rPr>
          <w:rFonts w:ascii="Arial" w:cs="Arial" w:eastAsia="Arial" w:hAnsi="Arial"/>
          <w:sz w:val="18"/>
          <w:szCs w:val="18"/>
          <w:color w:val="auto"/>
        </w:rPr>
      </w:pPr>
    </w:p>
    <w:p>
      <w:pPr>
        <w:ind w:left="1140" w:right="400" w:hanging="383"/>
        <w:spacing w:after="0" w:line="263"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factors we believe affect our performance, including our beliefs about the opportunities presented by these factors, our ability to successfully address each of these factors and the anticipated impacts of these factors on our business, financial condition and result of operations;</w:t>
      </w:r>
    </w:p>
    <w:p>
      <w:pPr>
        <w:spacing w:after="0" w:line="75" w:lineRule="exact"/>
        <w:rPr>
          <w:rFonts w:ascii="Arial" w:cs="Arial" w:eastAsia="Arial" w:hAnsi="Arial"/>
          <w:sz w:val="18"/>
          <w:szCs w:val="18"/>
          <w:color w:val="auto"/>
        </w:rPr>
      </w:pPr>
    </w:p>
    <w:p>
      <w:pPr>
        <w:jc w:val="both"/>
        <w:ind w:left="1140" w:right="140" w:hanging="383"/>
        <w:spacing w:after="0" w:line="263"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market sizes and growth potential for Tablo, including our estimates of annual spending on dialysis and the number of people affected by kidney failure in the United States, and the total addressable market opportunities for Tablo in the acute care and home settings;</w:t>
      </w:r>
    </w:p>
    <w:p>
      <w:pPr>
        <w:spacing w:after="0" w:line="75" w:lineRule="exact"/>
        <w:rPr>
          <w:rFonts w:ascii="Arial" w:cs="Arial" w:eastAsia="Arial" w:hAnsi="Arial"/>
          <w:sz w:val="18"/>
          <w:szCs w:val="18"/>
          <w:color w:val="auto"/>
        </w:rPr>
      </w:pPr>
    </w:p>
    <w:p>
      <w:pPr>
        <w:ind w:left="1140" w:right="24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planned expansion within the home dialysis market and our assumptions about the home market, including expected drivers of home dialysis adoption;</w:t>
      </w:r>
    </w:p>
    <w:p>
      <w:pPr>
        <w:spacing w:after="0" w:line="62"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ongoing impact of the recent COVID-19 pandemic and other macroeconomic factors on our business and results of operations, and on our customers and suppliers;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 to explore opportunities for international expansion;</w:t>
      </w:r>
    </w:p>
    <w:p>
      <w:pPr>
        <w:spacing w:after="0" w:line="117" w:lineRule="exact"/>
        <w:rPr>
          <w:rFonts w:ascii="Arial" w:cs="Arial" w:eastAsia="Arial" w:hAnsi="Arial"/>
          <w:sz w:val="18"/>
          <w:szCs w:val="18"/>
          <w:color w:val="auto"/>
        </w:rPr>
      </w:pPr>
    </w:p>
    <w:p>
      <w:pPr>
        <w:ind w:left="1140" w:hanging="383"/>
        <w:spacing w:after="0" w:line="311"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execution of our initiatives designed to reduce the cost of producing and shipping our products, expand gross margins, further secure supply continuity, improve the flexibility of our operations and otherwise mitigate supply chain challenges, and our ability to achieve projected cost reductions and other anticipated benefits from these initiatives at the levels or within the timeframe we estimate;</w:t>
      </w:r>
    </w:p>
    <w:p>
      <w:pPr>
        <w:spacing w:after="0" w:line="40"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anticipated benefits of the TPNIES approval;</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expand our manufacturing capabilities to support our growth, including by expanding our manufacturing workforce;</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continue to invest in our research and development efforts to enhance existing products and develop new products;</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invest in continued expansion of our sales and marketing infrastructure;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respond to any reports, observations or other actions by the FDA or other regulators in a timely and effective manner; and</w:t>
      </w:r>
    </w:p>
    <w:p>
      <w:pPr>
        <w:spacing w:after="0" w:line="140"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uses and sufficiency of our capital resources.</w:t>
      </w:r>
    </w:p>
    <w:p>
      <w:pPr>
        <w:spacing w:after="0" w:line="117" w:lineRule="exact"/>
        <w:rPr>
          <w:sz w:val="20"/>
          <w:szCs w:val="20"/>
          <w:color w:val="auto"/>
        </w:rPr>
      </w:pPr>
    </w:p>
    <w:p>
      <w:pPr>
        <w:ind w:right="220" w:firstLine="749"/>
        <w:spacing w:after="0" w:line="273" w:lineRule="auto"/>
        <w:rPr>
          <w:sz w:val="20"/>
          <w:szCs w:val="20"/>
          <w:color w:val="auto"/>
        </w:rPr>
      </w:pPr>
      <w:r>
        <w:rPr>
          <w:rFonts w:ascii="Arial" w:cs="Arial" w:eastAsia="Arial" w:hAnsi="Arial"/>
          <w:sz w:val="17"/>
          <w:szCs w:val="17"/>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Annual Report, including in the sections titled “Risk Factors” under Part I, Item 1A below and “Management’s Discussion and Analysis of Financial Condition and Results of Operations” under Part II, Item 7 below.</w:t>
      </w:r>
    </w:p>
    <w:p>
      <w:pPr>
        <w:spacing w:after="0" w:line="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like all statements in this Annual Report, speak only as of their date, and except as required by applicable law, we undertake no obligation to update or revise these statements, whether as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right="140"/>
        <w:spacing w:after="0" w:line="277" w:lineRule="auto"/>
        <w:rPr>
          <w:sz w:val="20"/>
          <w:szCs w:val="20"/>
          <w:color w:val="auto"/>
        </w:rPr>
      </w:pPr>
      <w:r>
        <w:rPr>
          <w:rFonts w:ascii="Arial" w:cs="Arial" w:eastAsia="Arial" w:hAnsi="Arial"/>
          <w:sz w:val="18"/>
          <w:szCs w:val="18"/>
          <w:color w:val="auto"/>
        </w:rPr>
        <w:t>result of any new information, future developments or otherwise. These statements are inherently uncertain and investors are cautioned not to unduly rely upon these statements.</w:t>
      </w:r>
    </w:p>
    <w:p>
      <w:pPr>
        <w:spacing w:after="0" w:line="62"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Unless the context requires otherwise, all references in this Annual Report to “we,” “us,” “our,” “Outset” and “the “Company” refer to Outset Medical, Inc.</w:t>
      </w:r>
    </w:p>
    <w:p>
      <w:pPr>
        <w:spacing w:after="0" w:line="62"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We have proprietary rights to trademarks, trade names and service marks appearing in this Annual Report that are important to our business. Solely for convenience, the trademarks, service marks, logos and trade names referred to in this Annual Report are without the ® and ™ symbols, but such references are not intended to indicate that we will not assert our rights or the rights of the applicable licensors in these trademarks, service marks and trade names. All trademarks, trade names and service marks appearing in this Annual Report are the property of their respective owners.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Outset is a medical technology company pioneering a first-of-its-kind technology to reduce the cost and complexity of dialysis. We believe the Tablo® Hemodialysis System represents a significant technological advancement that transforms the dialysis experience for patients and operationally simplifies it for providers. We designed Tablo from the ground up to be a single enterprise solution that can be utilized across the continuum of care, allowing dialysis to be delivered anytime, anywhere and by virtually anyone. Tablo is currently cleared by the U.S. Food and Drug Administration (FDA) for use in the hospital, clinic or home setting. Our technology is designed to elevate the dialysis experience for patients, and help providers overcome traditional care delivery challenges. Our focus on flexibility, ease of use and user experience translates to meaningfully reduced training times and fixed infrastructure requirements. Requiring only an electrical outlet and tap water to operate,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Tablo leverages cloud technology, making it possible for providers to monitor devices and treatments remotely, perform patient and population analytics and automate clinical recordkeeping. With a simple-to-use touchscreen interface, two-way wireless data transmission and a proprietary data analytics platform, Tablo is a new holistic approach to dialysis care. Unlike traditional hemodialysis machines, which have limited clinical versatility across care settings, Tablo can be used seamlessly across multiple care settings and a wide range of clinical applications.</w:t>
      </w:r>
    </w:p>
    <w:p>
      <w:pPr>
        <w:spacing w:after="0" w:line="78"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We have generated meaningful evidence to demonstrate that providers can realize significant operational efficiencies, including reducing the cost of their dialysis programs by up to 80% in the intensive care unit (ICU).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279"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Kidney failure can be temporary and occur spontaneously due to an underlying medical condition, as is the case in acute kidney injury (AKI), or can worsen gradually over time, as is the case in chronic kidney disease (CKD), which may result in end-stage renal disease (ESRD). Kidney failure is commonly managed with hemodialysis, a procedure by which waste products and excess fluid are directly removed from a patient’s blood using an external dialysis machine. ESRD patients require complex management and the cost burden of administering dialysis is significant. Hemodialysis can be performed in multiple care settings, including the hospital, clinic or the patient’s home. Typically, different types of dialysis machines are used in different care settings and for different clinical needs. Tablo is an enterprise dialysis solution that allows providers to standardize to a single technology platform.</w:t>
      </w:r>
    </w:p>
    <w:p>
      <w:pPr>
        <w:spacing w:after="0" w:line="272"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Driving adoption of Tablo in the acute setting has been our primary focus since Tablo’s clearance by the FDA for use in an acute or chronic care facility in September 2014. We have invested in growing our economic and clinical evidence, built veteran field service, sales and clinical support teams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including our sales, field service and marketing teams, to broaden our installed base in the acute care market, as well as driving utilization and fleet expansion with our existing customers.</w:t>
      </w:r>
    </w:p>
    <w:p>
      <w:pPr>
        <w:spacing w:after="0" w:line="84" w:lineRule="exact"/>
        <w:rPr>
          <w:sz w:val="20"/>
          <w:szCs w:val="20"/>
          <w:color w:val="auto"/>
        </w:rPr>
      </w:pPr>
    </w:p>
    <w:p>
      <w:pPr>
        <w:ind w:right="140" w:firstLine="749"/>
        <w:spacing w:after="0" w:line="291" w:lineRule="auto"/>
        <w:rPr>
          <w:sz w:val="20"/>
          <w:szCs w:val="20"/>
          <w:color w:val="auto"/>
        </w:rPr>
      </w:pPr>
      <w:r>
        <w:rPr>
          <w:rFonts w:ascii="Arial" w:cs="Arial" w:eastAsia="Arial" w:hAnsi="Arial"/>
          <w:sz w:val="16"/>
          <w:szCs w:val="16"/>
          <w:color w:val="auto"/>
        </w:rPr>
        <w:t>Tablo is also utilized for home-based dialysis. In March 2020, Tablo was cleared by the FDA for patient use in the home. We believe our ability to reduce training time, patient dropout, and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make investments in, and focus on refining our home distribution, logistics, service and support systems to help ensure they continue to scale. We are also working with providers, patients and payors to increase awareness and adoption of transitional care units (TCUs) as a bridge to home based therapy. To demonstrate the cost advantages of Tablo in the home setting, we are continuing to collect additional patient clinical experience and outcomes data.</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Tablo Hemodialysis System (Tablo)</w:t>
      </w:r>
    </w:p>
    <w:p>
      <w:pPr>
        <w:spacing w:after="0" w:line="117"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Tablo is an FDA-cleared single enterprise solution for hemodialysis, comprised of a compact console with integrated water purification, on-demand dialysate production and advanced software and connectivity capabilities. We designed Tablo from the ground up to be a single enterprise solution that can be utilized across the continuum of care, allowing dialysis to be delivered anytime, anywhere, and by virtually anyone. Unlike traditional hemodialysis machines, Tablo can be used seamlessly across multiple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color w:val="auto"/>
        </w:rPr>
        <w:t>care settings and a wide range of clinical applications, all with the benefit of remote system management, monitoring and maintenance through two-way wireless data transmission capabilities.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Tablo system is comprised of the following components:</w:t>
      </w:r>
    </w:p>
    <w:p>
      <w:pPr>
        <w:spacing w:after="0" w:line="117" w:lineRule="exact"/>
        <w:rPr>
          <w:sz w:val="20"/>
          <w:szCs w:val="20"/>
          <w:color w:val="auto"/>
        </w:rPr>
      </w:pPr>
    </w:p>
    <w:p>
      <w:pPr>
        <w:ind w:left="1140" w:right="60" w:hanging="383"/>
        <w:spacing w:after="0" w:line="271"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Tablo Console</w:t>
      </w:r>
      <w:r>
        <w:rPr>
          <w:rFonts w:ascii="Arial" w:cs="Arial" w:eastAsia="Arial" w:hAnsi="Arial"/>
          <w:sz w:val="17"/>
          <w:szCs w:val="17"/>
          <w:color w:val="auto"/>
        </w:rPr>
        <w:t>. A proprietary, compact, mobile and versatile machine consisting of an integrated water purification, on-demand dialysate production system and simple-to-use touchscreen interface with 3D animations that guide the user through treatment from start to finish. Using advanced sensors, the console automates much of treatment setup and management and can automatically self-diagnose for potential machine issues. The Tablo console can accommodate a wide range of treatment modalities, durations and flow rates, allowing for broad clinical applications. The Tablo console requires only a standard electrical outlet and tap water to operate. This eliminates the need for industrial water treatment rooms, separate water purification machines and pre-filled bags of dialysate associated with traditional dialysis machines. We recently introduced TabloCart, a non-medical accessory for the Tablo Hemodialysis System that provides added maneuverability and optional prefiltration storage.</w:t>
      </w:r>
    </w:p>
    <w:p>
      <w:pPr>
        <w:spacing w:after="0" w:line="70" w:lineRule="exact"/>
        <w:rPr>
          <w:rFonts w:ascii="Arial" w:cs="Arial" w:eastAsia="Arial" w:hAnsi="Arial"/>
          <w:sz w:val="17"/>
          <w:szCs w:val="17"/>
          <w:color w:val="auto"/>
        </w:rPr>
      </w:pPr>
    </w:p>
    <w:p>
      <w:pPr>
        <w:ind w:left="1140" w:hanging="383"/>
        <w:spacing w:after="0" w:line="289"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Tablo Cartridge</w:t>
      </w:r>
      <w:r>
        <w:rPr>
          <w:rFonts w:ascii="Arial" w:cs="Arial" w:eastAsia="Arial" w:hAnsi="Arial"/>
          <w:sz w:val="16"/>
          <w:szCs w:val="16"/>
          <w:color w:val="auto"/>
        </w:rPr>
        <w:t>. A proprietary, disposable single use pre-strung cartridge that easily clicks into place, minimizing steps, touch points and connections, allowing for set up of treatment supplies in less than 12 minutes. The Tablo cartridge was designed to simplify and streamline treatment setup to minimize the potential for user error. The Tablo cartridge is intended to facilitate extracorporeal blood purification for patients. One cartridge is used per treatment, except in the case of extended therapy, where multiple cartridges can be used if needed. The Tablo cartridge consists of a user-friendly pre-configured blood, saline, and infusion tubing. The Tablo cartridge requires only two connections to operate as compared to other machines that require stringing, hanging, snapping and tapping multiple lines. In our home IDE trial, patients were able to set up the Tablo cartridge and dialysate concentrates in less than 12 minutes, on average. With an average prime period of approximately eight minutes, an uninterrupted patient can initiate therapy in as little as around 20 minutes, representing a significant improvement over traditional machines, which can take approximately 45 minutes to set up.</w:t>
      </w:r>
    </w:p>
    <w:p>
      <w:pPr>
        <w:spacing w:after="0" w:line="58" w:lineRule="exact"/>
        <w:rPr>
          <w:rFonts w:ascii="Arial" w:cs="Arial" w:eastAsia="Arial" w:hAnsi="Arial"/>
          <w:sz w:val="16"/>
          <w:szCs w:val="16"/>
          <w:color w:val="auto"/>
        </w:rPr>
      </w:pPr>
    </w:p>
    <w:p>
      <w:pPr>
        <w:jc w:val="both"/>
        <w:ind w:left="1140" w:right="400" w:hanging="383"/>
        <w:spacing w:after="0" w:line="34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Tablo Data Ecosystem</w:t>
      </w:r>
      <w:r>
        <w:rPr>
          <w:rFonts w:ascii="Arial" w:cs="Arial" w:eastAsia="Arial" w:hAnsi="Arial"/>
          <w:sz w:val="16"/>
          <w:szCs w:val="16"/>
          <w:color w:val="auto"/>
        </w:rPr>
        <w:t>. As further described below in the section entitled “Tablo Data Ecosystem”, with Tablo, we are bringing data to dialysis. Tablo is built to live in a connected setting with cloud-based system monitoring, patient analytics and clinical recordkeeping.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87630</wp:posOffset>
            </wp:positionV>
            <wp:extent cx="4526280" cy="384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26280"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Tablo Data Ecosystem</w:t>
      </w:r>
    </w:p>
    <w:p>
      <w:pPr>
        <w:spacing w:after="0" w:line="117"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Tablo's two-way wireless data transmission and connectedness help reduce maintenance costs and enable ongoing system improvements. This is all made possible by our growing team of experienced software, data science, and machine learning engineers.</w:t>
      </w:r>
    </w:p>
    <w:p>
      <w:pPr>
        <w:spacing w:after="0" w:line="62"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Tablo leverages cloud technology to make it possible for providers to monitor devices and treatments remotely, perform patient and population analytics, and automate clinical recordkeeping. Due to Tablo’s wireless connectivity, we can release new features and enhancements through over-the-air (OTA) updates, without requiring hardware changes or interventions from field service engineers (FSEs). We also release user trainings this way, which means that customers can train and upgrade their device on their own schedule. We have used these OTA updates to add important new features designed to extend Tablo’s clinical applicability in addition to updates designed to enhance device uptime by enabling remote diagnostics and support. We believe these OTA updates help Tablo get smarter over time.</w:t>
      </w:r>
    </w:p>
    <w:p>
      <w:pPr>
        <w:spacing w:after="0" w:line="84" w:lineRule="exact"/>
        <w:rPr>
          <w:sz w:val="20"/>
          <w:szCs w:val="20"/>
          <w:color w:val="auto"/>
        </w:rPr>
      </w:pPr>
    </w:p>
    <w:p>
      <w:pPr>
        <w:jc w:val="both"/>
        <w:ind w:right="260" w:firstLine="749"/>
        <w:spacing w:after="0" w:line="301" w:lineRule="auto"/>
        <w:rPr>
          <w:sz w:val="20"/>
          <w:szCs w:val="20"/>
          <w:color w:val="auto"/>
        </w:rPr>
      </w:pPr>
      <w:r>
        <w:rPr>
          <w:rFonts w:ascii="Arial" w:cs="Arial" w:eastAsia="Arial" w:hAnsi="Arial"/>
          <w:sz w:val="16"/>
          <w:szCs w:val="16"/>
          <w:color w:val="auto"/>
        </w:rPr>
        <w:t>Tablo’s connectedness also allows it to continually stream to the cloud over 500,000 device performance data points after every treatment. We use this data, in conjunction with our diagnostic and predictive algorithms, to determine failure types and, in some instances, predict failures before they occur. Equipped with this information, our FSEs can visit sites knowing they have the correct parts and consumables to address the issues reported, and those that are yet to come. In effect, this contributes to a reduction in service hours and an increase in device uptime.</w:t>
      </w:r>
    </w:p>
    <w:p>
      <w:pPr>
        <w:spacing w:after="0" w:line="49"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above functionality is enabled through the following key platforms: TabloHub®, a customer-facing portal; MyTablo, a patient-facing portal; and TabloDash, an internal data analytics platform.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TabloHub</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TabloHub is designed to be a one-stop shop for providers that allows customers to monitor treatments in real-time across their fleet, visualize historical treatment records and statistics, see system disinfection and service records, search documentation, read news about Tablo, and perform various trainings. It is accessible from virtually anywhere, using a smart phone, tablet, or a web browser.</w:t>
      </w:r>
    </w:p>
    <w:p>
      <w:pPr>
        <w:spacing w:after="0" w:line="76" w:lineRule="exact"/>
        <w:rPr>
          <w:sz w:val="20"/>
          <w:szCs w:val="20"/>
          <w:color w:val="auto"/>
        </w:rPr>
      </w:pPr>
    </w:p>
    <w:p>
      <w:pPr>
        <w:ind w:right="280" w:firstLine="749"/>
        <w:spacing w:after="0" w:line="275" w:lineRule="auto"/>
        <w:rPr>
          <w:sz w:val="20"/>
          <w:szCs w:val="20"/>
          <w:color w:val="auto"/>
        </w:rPr>
      </w:pPr>
      <w:r>
        <w:rPr>
          <w:rFonts w:ascii="Arial" w:cs="Arial" w:eastAsia="Arial" w:hAnsi="Arial"/>
          <w:sz w:val="17"/>
          <w:szCs w:val="17"/>
          <w:color w:val="auto"/>
        </w:rPr>
        <w:t>Through the Tablo application programming interface (API), providers can integrate Tablo with their Electronic Medical Records (EMR) to receive treatment data and flowsheets automatically to reduce manual record keeping, which in turn, helps reduce record-entry errors and auditing risks. Tablo’s two-way wireless transmission delivers data intended to be compliant with the federal Health Insurance Portability and Accountability Act (HIPAA) to the provider without any need for additional equipment. It connects to the cloud using a standard Ethernet or Wi-Fi connection. TabloHub strengthens care, simplifies meeting documentation requirements, and makes system management easy.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MyTablo</w:t>
      </w:r>
    </w:p>
    <w:p>
      <w:pPr>
        <w:spacing w:after="0" w:line="117"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MyTablo is a version of TabloHub designed for patients who are dialyzing at home or performing self-care at a clinic. Through the MyTablo portal, patients have the ability to access training materials and download their own treatment reports.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TabloDash</w:t>
      </w:r>
    </w:p>
    <w:p>
      <w:pPr>
        <w:spacing w:after="0" w:line="117" w:lineRule="exact"/>
        <w:rPr>
          <w:sz w:val="20"/>
          <w:szCs w:val="20"/>
          <w:color w:val="auto"/>
        </w:rPr>
      </w:pPr>
    </w:p>
    <w:p>
      <w:pPr>
        <w:jc w:val="both"/>
        <w:ind w:right="20" w:firstLine="749"/>
        <w:spacing w:after="0" w:line="311" w:lineRule="auto"/>
        <w:rPr>
          <w:sz w:val="20"/>
          <w:szCs w:val="20"/>
          <w:color w:val="auto"/>
        </w:rPr>
      </w:pPr>
      <w:r>
        <w:rPr>
          <w:rFonts w:ascii="Arial" w:cs="Arial" w:eastAsia="Arial" w:hAnsi="Arial"/>
          <w:sz w:val="16"/>
          <w:szCs w:val="16"/>
          <w:color w:val="auto"/>
        </w:rPr>
        <w:t>TabloDash is a powerful data analytics platform used by Outset team members to analyze diagnostic data produced by connected devices across all fleets, data from our customer relationship management system, and various other sources. Tablo captures more than 500,000 machine performance data points during every treatment, which is then used to fuel data analytics and machine learning algorithms that drive our research and development pipeline.</w:t>
      </w:r>
    </w:p>
    <w:p>
      <w:pPr>
        <w:spacing w:after="0" w:line="41"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Through TabloDash, data can be visualized, graphed, aggregated, and queried to answer complex business intelligence questions, and build performance monitoring dashboards. For example, our service team uses TabloDash to analyze field response times, categorize failures by types, diagnose specific device issues, and monitor customer fleet performance.</w:t>
      </w:r>
    </w:p>
    <w:p>
      <w:pPr>
        <w:spacing w:after="0" w:line="76"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The real-time nature of TabloDash allows our FSEs to troubleshoot and adjust a device remotely during a call with a customer and avoid the need to send FSEs to a site unnecessarily. If it is necessary to dispatch an FSE, we can use TabloDash to help ensure they arrive with the correct parts to complete the repair, and are also able to address any preventive maintenance predicted by our algorithms, all during the same visit.</w:t>
      </w:r>
    </w:p>
    <w:p>
      <w:pPr>
        <w:spacing w:after="0" w:line="5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TabloDash is the linchpin that helps us optimize the cost of service while increasing the quality of service by reducing unnecessary visits, time spent on-site, and device downtime.</w:t>
      </w:r>
    </w:p>
    <w:p>
      <w:pPr>
        <w:spacing w:after="0" w:line="278"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With the above features and benefits in mind, we believe the Tablo Hemodialysis System is well-positioned as a differentiated, all-in-one solution enabling transformational dialysis across the continuum of care, from hospital to home, in one of the largest, most expensive, least changed areas of healthcare.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There are a number of dialysis machine manufacturers in the United States, Europe and Asia. Notable competitors in the United States include Fresenius Medical Care AG &amp; Co. KGaA (Fresenius), Baxter International, Inc. (Baxter) and B. Braun. Medical Inc. (B. Braun). In addition, Quanta Dialysis Technologies Ltd’s (Quanta) dialysis system received FDA 510(k) clearance for use in acute and/or chronic settings. Of these competitors, Fresenius is the largest, and is vertically integrated, both manufacturing dialysis products and operating dialysis clinics along with providing inpatient dialysis services to hospitals and health systems. Additionally, companies with dialysis machine development programs include Medtronic plc (Medtronic). With the exception of Quanta,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demonstrate the value of Tablo, maintain and improve product quality and feature functionality, build the infrastructure to support the operating needs of the business and achieve cost reductions.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Care</w:t>
      </w:r>
    </w:p>
    <w:p>
      <w:pPr>
        <w:spacing w:after="0" w:line="117"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While historically customers in this market have focused on machine functionality and price, we believe they are increasingly focused on the total cost of patient care, which favors technology that can provide clinical versatility and improve operational efficiency. In the acute care setting, the dialysis machine manufacturers that we compete with include Fresenius, Baxter and B. Braun. We compete primarily on the basis that Tablo is designed to drive operational efficiency through ease of use and cost reduction by reducing infrastructure and supplies cost.</w:t>
      </w:r>
    </w:p>
    <w:p>
      <w:pPr>
        <w:spacing w:after="0" w:line="63"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Further, hospital customers in this market have generally outsourced their dialysis services to third party providers, for example, Fresenius, rather than offering on-site inpatient dialysis services on their own. We may also compete against these outsourced dialysis providers. In such instances, we believe our ability to compete effectively will depend on our ability to demonstrate Tablo’s economic, clinical, compliance and operational benefits relative to outsourcing dialysis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Care</w:t>
      </w:r>
    </w:p>
    <w:p>
      <w:pPr>
        <w:spacing w:after="0" w:line="117"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We believe competition in the home setting is based on a system’s clinical performance, its cost efficiency, its ease of use and patient preference. In the home hemodialysis setting, competitors include Fresenius (through its acquisition of NxStage). We believe through Tablo’s unique advantages it is easier and faster for patients to learn, and simpler for patients to operate at home, which may position us well against existing competitors. We believe these factors will reduce patient burn-out, thereby extending patient retention, increasing home hemodialysis growth and improving associated margin for providers. We do not consider peritoneal dialysis (PD) to be competitive to our products given the differences in treatment modality, that PD is clinically limited due to patients with certain pre-existing conditions such as congestive heart failure and obesity and that PD is regarded as a “temporary” modality since approximately 80% of patients are on the therapy for less than three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Our success depends in part on our ability to protect our proprietary technology and intellectual property rights. We rely on a combination of federal, state, common law and international rights, as well as contractual restrictions, to protect our intellectual property.</w:t>
      </w:r>
    </w:p>
    <w:p>
      <w:pPr>
        <w:spacing w:after="0" w:line="62"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We seek patent protection for certain of our key innovations, processes and other inventions. We pursue the registration of our trademarks, service marks and domain names in the United States and in certain other locations. We control access to our proprietary technology by entering into confidentiality and invention assignment agreements with our employees and contractors, and confidentiality agreements with third parties. Our intellectual property includes specific algorithms for the Tablo console, including those related to pressure sensors, blood leakage and pump control loops.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As of December 31, 2022, we had 21 issued U.S. patents, as well as 10 pending U.S. patent applications. We had an aggregate of 39 issued patents in Australia, Canada, China, France, Germany, Hong Kong, Japan, Spain, Sweden and the United Kingdom, as well as 19 pending patent applications in Australia, Brazil, Canada, China, the European Patent Office, Hong Kong, Japan, and under the Patent Cooperation Treaty. Some of our patents and other intellectual property cover aspects of Tablo that enable it to be used by anyone, including the patient, through the automation of functions formerly performed by dialysis center technicians using traditional dialysis systems. Our proprietary data ecosystem provides what we believe is a unique way of connecting providers and patients for real-time treatment monitoring, automated treatment documentation, and simplified compliance and record-keeping.</w:t>
      </w:r>
    </w:p>
    <w:p>
      <w:pPr>
        <w:spacing w:after="0" w:line="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Our patents expire between October 2025 and December 2039.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United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right="20"/>
        <w:spacing w:after="0" w:line="279" w:lineRule="auto"/>
        <w:rPr>
          <w:sz w:val="20"/>
          <w:szCs w:val="20"/>
          <w:color w:val="auto"/>
        </w:rPr>
      </w:pPr>
      <w:r>
        <w:rPr>
          <w:rFonts w:ascii="Arial" w:cs="Arial" w:eastAsia="Arial" w:hAnsi="Arial"/>
          <w:sz w:val="17"/>
          <w:szCs w:val="17"/>
          <w:color w:val="auto"/>
        </w:rPr>
        <w:t>States Patent and Trademark Office (USPTO) in examining and granting a patent, or it may be shortened if a patent is terminally disclaimed over a commonly owned patent or a patent naming a common inventor and having an earlier expiration date. We cannot be sure that our pending patent applications or future patent applications will result in issued patents or that any patents that have issued or might issue in the future will protect our current or future products, provide us with any competitive advantage or will not be challenged, invalidated, or circumvented.</w:t>
      </w:r>
    </w:p>
    <w:p>
      <w:pPr>
        <w:spacing w:after="0" w:line="63"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Various aspects of Tablo, including, without limitation, sensor technology, connectivity, automation, analytics and interface are covered by software, algorithms, processes, trade secret or other proprietary rights. We protect our trade secrets through a variety of measures, including confidentiality agreements and proprietary information agreements with suppliers, employees, consultants and others who may have access to our proprietary information. Trade secrets and proprietary information can be difficult to protect, however. While we have confidence in the measures we take to protect and preserve our trade secrets and proprietary information, such measures can be breached, and we may not have adequate remedies for any such breach. In addition, our trade secrets and proprietary information may otherwise become known or be independently discovered by competitors.</w:t>
      </w:r>
    </w:p>
    <w:p>
      <w:pPr>
        <w:spacing w:after="0" w:line="56"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There is no active patent litigation involving any of our patents, and we have not received any notices claiming that our activities infringe a third party’s patent.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Chain and Logistics</w:t>
      </w:r>
    </w:p>
    <w:p>
      <w:pPr>
        <w:spacing w:after="0" w:line="121"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We direct the manufacturing and supporting supply chain, distribution and logistics for the Tablo console, the Tablo cartridge and other consumables (electrolyte concentrates and plastic tubing that transports the concentrates into Tablo to enable on-demand dialysate production). We partner with several different contract manufacturers in the assembly and testing of our products and operate under a Quality Management System that has been certified to ISO 13485 Medical Device Quality Management System standard.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Tablo Console</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We established a manufacturing facility in Tijuana, Mexico, which enabled us to fully insource Tablo console manufacturing during 2021. We are operating in Mexico in collaboration with TACNA Services (TACNA), a well-known outsourced business administration service provider that provides all the back-office and facility infrastructure support, allowing us to focus on our core competencies – design and high-volume manufacturing for reliability and cost reduction. Tablo consoles manufactured in our Mexico facility are tested at the facility using an integrated system testing protocols designed by us, and then direct-shipped to our distribution centers, using a network of short-haul and long-haul freight forwarders optimized for time and cost efficiency.</w:t>
      </w:r>
    </w:p>
    <w:p>
      <w:pPr>
        <w:spacing w:after="0" w:line="53"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Pursuant to the terms of our manufacturing services agreement with TACNA (the TACNA Agreement), TACNA provides support services in connection with our manufacturing activities in Mexico. Under the TACNA Agreement, TACNA hires employees as requested by us and is responsible for human resource functions including maintenance of employee files and reports. TACNA is also responsible for performing internal statutory accounting and payroll services, as well as payables processing. Additional services that TACNA is obligated to provide under the TACNA Agreement include interfacing with both Mexican and U.S. governmental agencies, preparing import-export documentation, coordinating shipment of equipment, raw materials and finished products, and obtaining necessary permits and licenses required in Mexico. Under the TACNA Agreement, TACNA’s services are generally performed under a pass-through cost model under which costs incurred are approved by us. We are also obligated to pay TACNA fees based on the number of employees under the TACNA Agreement. The TACNA Agreement has an initial three-year term and will continue thereafter until terminated by us or TACNA in accordance with the terms of the TACNA Agreement.</w:t>
      </w:r>
    </w:p>
    <w:p>
      <w:pPr>
        <w:spacing w:after="0" w:line="73"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The number of suppliers required for Tablo console production is in excess of 200 worldwide. We consider a discrete number of these suppliers, located in the United States, Mexico, Europe and Asia, as critical providers of components such as pumps, motors, valves and PCBA boards. We are currently undertaking a second source qualification process for the majority of these critical components. Where second sourcing is unavailable or infeasible and likely to remain so, we have sought to mitigate supply interruption risks with increased levels of safety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Tablo Cartridge</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Until recently, the Tablo cartridge was manufactured exclusively by our two contract manufacturing partners. During 2022, we moved production of a majority of Tablo cartridges to a manufacturing site in Tijuana, Mexico in partnership with Providien Medical (Providien), in order to help us achieve cost reductions through lower freight costs and mitigate against global supply chain interruption. Providien, part of Carlisle Companies Incorporated, offers expertise in high volume disposable assembly services. Tablo cartridges produced at this facility undergo sterilization using electronic beam (e-beam) technology, which is an environmentally friendly sterilization method for which we received 510(k) clearance from the FDA in November 2021.</w:t>
      </w:r>
    </w:p>
    <w:p>
      <w:pPr>
        <w:spacing w:after="0" w:line="53"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During 2022, we also continued to produce a portion of Tablo cartridges through Infus Medical Co. Ltd. (Infus), a contract manufacturer with two facilities in Thailand. As part of this arrangement, we direct the oversight of the raw materials sourcing, selection and planning while Infus takes receipt of the Tablo cartridge components, and performs assembly, testing and Ethylene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right="140"/>
        <w:spacing w:after="0" w:line="308" w:lineRule="auto"/>
        <w:rPr>
          <w:sz w:val="20"/>
          <w:szCs w:val="20"/>
          <w:color w:val="auto"/>
        </w:rPr>
      </w:pPr>
      <w:r>
        <w:rPr>
          <w:rFonts w:ascii="Arial" w:cs="Arial" w:eastAsia="Arial" w:hAnsi="Arial"/>
          <w:sz w:val="17"/>
          <w:szCs w:val="17"/>
          <w:color w:val="auto"/>
        </w:rPr>
        <w:t>Oxide sterilization before shipment. Tablo cartridges produced through Infus have shipped primarily via ocean freight, though in times of peak demand or other supply chain constraints, we have shipped by air freight. Our team inspects the product before releasing it for shipment.</w:t>
      </w:r>
    </w:p>
    <w:p>
      <w:pPr>
        <w:spacing w:after="0" w:line="38" w:lineRule="exact"/>
        <w:rPr>
          <w:sz w:val="20"/>
          <w:szCs w:val="20"/>
          <w:color w:val="auto"/>
        </w:rPr>
      </w:pPr>
    </w:p>
    <w:p>
      <w:pPr>
        <w:ind w:right="220" w:firstLine="749"/>
        <w:spacing w:after="0" w:line="275" w:lineRule="auto"/>
        <w:rPr>
          <w:sz w:val="20"/>
          <w:szCs w:val="20"/>
          <w:color w:val="auto"/>
        </w:rPr>
      </w:pPr>
      <w:r>
        <w:rPr>
          <w:rFonts w:ascii="Arial" w:cs="Arial" w:eastAsia="Arial" w:hAnsi="Arial"/>
          <w:sz w:val="17"/>
          <w:szCs w:val="17"/>
          <w:color w:val="auto"/>
        </w:rPr>
        <w:t>More recently, we also initiated production of Tablo cartridges in-house at our manufacturing facility in Tijuana, Mexico that we operate in collaboration with TACNA. We intend to increase the quantity of Tablo cartridges produced at this facility as we ramp our cartridge manufacturing capabilities during the remainder of the year, while continuing to rely on one or more of our contract manufacturers as additional sources for cartridge production. We expect that insourcing Tablo cartridges will ultimately further our long-term gross margin expansion and supply continuity strategies and improve the flexibility of our operations. Tablo cartridges produced at our facility are sterilized using e-beam technology.</w:t>
      </w:r>
    </w:p>
    <w:p>
      <w:pPr>
        <w:spacing w:after="0" w:line="68"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various components for the Tablo cartridge are manufactured by approximately 30 different single-source suppliers located in various countries including the United States, Mexico, Europe and Asia.</w:t>
      </w:r>
    </w:p>
    <w:p>
      <w:pPr>
        <w:spacing w:after="0" w:line="62" w:lineRule="exact"/>
        <w:rPr>
          <w:sz w:val="20"/>
          <w:szCs w:val="20"/>
          <w:color w:val="auto"/>
        </w:rPr>
      </w:pPr>
    </w:p>
    <w:p>
      <w:pPr>
        <w:ind w:right="140" w:firstLine="749"/>
        <w:spacing w:after="0" w:line="308" w:lineRule="auto"/>
        <w:rPr>
          <w:sz w:val="20"/>
          <w:szCs w:val="20"/>
          <w:color w:val="auto"/>
        </w:rPr>
      </w:pPr>
      <w:r>
        <w:rPr>
          <w:rFonts w:ascii="Arial" w:cs="Arial" w:eastAsia="Arial" w:hAnsi="Arial"/>
          <w:sz w:val="17"/>
          <w:szCs w:val="17"/>
          <w:color w:val="auto"/>
        </w:rPr>
        <w:t>In addition to the Tablo cartridge, each treatment requires a concentrated container of bicarbonate and a concentrated container of acid, and two small plastic straws that draw the appropriate amount of the concentrates into the Tablo console in order to produce dialysate on demand.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117"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In the United States, our products are subject to regulation by the FDA as medical devices pursuant to the Federal Food Drug and Cosmetic Act (FDCA).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11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approval of a de novo application, or approval of a premarket approval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73" w:lineRule="exact"/>
        <w:rPr>
          <w:sz w:val="20"/>
          <w:szCs w:val="20"/>
          <w:color w:val="auto"/>
        </w:rPr>
      </w:pPr>
    </w:p>
    <w:p>
      <w:pPr>
        <w:ind w:right="140" w:firstLine="749"/>
        <w:spacing w:after="0" w:line="272" w:lineRule="auto"/>
        <w:rPr>
          <w:sz w:val="20"/>
          <w:szCs w:val="20"/>
          <w:color w:val="auto"/>
        </w:rPr>
      </w:pPr>
      <w:r>
        <w:rPr>
          <w:rFonts w:ascii="Arial" w:cs="Arial" w:eastAsia="Arial" w:hAnsi="Arial"/>
          <w:sz w:val="17"/>
          <w:szCs w:val="17"/>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 Tablo is a Class II device subject to 510(k) clearance.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510(k) Clearance Marketing Pathway</w:t>
      </w:r>
    </w:p>
    <w:p>
      <w:pPr>
        <w:spacing w:after="0" w:line="117" w:lineRule="exact"/>
        <w:rPr>
          <w:sz w:val="20"/>
          <w:szCs w:val="20"/>
          <w:color w:val="auto"/>
        </w:rPr>
      </w:pPr>
    </w:p>
    <w:p>
      <w:pPr>
        <w:ind w:right="140" w:firstLine="749"/>
        <w:spacing w:after="0" w:line="254" w:lineRule="auto"/>
        <w:rPr>
          <w:sz w:val="20"/>
          <w:szCs w:val="20"/>
          <w:color w:val="auto"/>
        </w:rPr>
      </w:pPr>
      <w:r>
        <w:rPr>
          <w:rFonts w:ascii="Arial" w:cs="Arial" w:eastAsia="Arial" w:hAnsi="Arial"/>
          <w:sz w:val="18"/>
          <w:szCs w:val="18"/>
          <w:color w:val="auto"/>
        </w:rPr>
        <w:t>To obtain 510(k) clearance, we must submit to the FDA a premarket notification submission demonstrating that the proposed device is “substantially equivalent” to a predicate device already on the market. A predicate device is a legally marketed device that is not subject to PMA,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87" w:lineRule="exact"/>
        <w:rPr>
          <w:sz w:val="20"/>
          <w:szCs w:val="20"/>
          <w:color w:val="auto"/>
        </w:rPr>
      </w:pPr>
    </w:p>
    <w:p>
      <w:pPr>
        <w:jc w:val="both"/>
        <w:ind w:right="560" w:firstLine="749"/>
        <w:spacing w:after="0" w:line="263"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60"/>
        <w:spacing w:after="0" w:line="301" w:lineRule="auto"/>
        <w:rPr>
          <w:sz w:val="20"/>
          <w:szCs w:val="20"/>
          <w:color w:val="auto"/>
        </w:rPr>
      </w:pPr>
      <w:r>
        <w:rPr>
          <w:rFonts w:ascii="Arial" w:cs="Arial" w:eastAsia="Arial" w:hAnsi="Arial"/>
          <w:sz w:val="16"/>
          <w:szCs w:val="16"/>
          <w:color w:val="auto"/>
        </w:rPr>
        <w:t>requirements, or can request a risk-based classification determination for the device in accordance with the “de novo” process, which is a route to market for novel medical devices that are low to moderate risk and are not substantially equivalent to a predicate device. If a de novo request is granted, the device may be legally marketed and a new classification is established. If the device is classified as Class II, the device may serve as a predicate for future 510(k) submissions. If the device is not approved through de novo review, then it must go through the standard PMA process for Class III devices.</w:t>
      </w:r>
    </w:p>
    <w:p>
      <w:pPr>
        <w:spacing w:after="0" w:line="49"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Also, in these circumstances, the manufacturer may be subject to significant regulatory fines or penalties.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PMA Approval Pathway</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Class III devices require approval of a PMA before they can be marketed, although some pre-amendment Class III devices for which the FDA has not yet required a PMA are cleared through the 510(k) process. 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PMA application must also contain a full description of the device and its components, a full description of the methods, facilities, and controls used for manufacturing, and proposed labeling. Following receipt of a PMA application, the FDA determines whether the application is sufficiently complete to permit a substantive review. If the FDA accepts the application for review, it has 180 days under the FDCA to complete its review of a PMA application,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devices are also subject to the payment of user fees.</w:t>
      </w:r>
    </w:p>
    <w:p>
      <w:pPr>
        <w:spacing w:after="0" w:line="74"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The FDA will approve the new device for commercial distribution if it determines that the data and information in the PMA application constitute valid scientific evidence and that there is reasonable assurance that the device is safe and effective for its intended use(s). A PMA may include post-approval conditions intended to ensure the safety and effectiveness of the device, including, among other things, restrictions on labeling, promotion, sale and distribution, and collection of long-term follow-up data from patients in the clinical study that supported the PMA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5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None of our products are currently marketed pursuant to a PMA.</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 novo Classification</w:t>
      </w:r>
    </w:p>
    <w:p>
      <w:pPr>
        <w:spacing w:after="0" w:line="117"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Medical device types that the FDA has not previously classified as Class I, II or III are automatically classified into Class III regardless of the level of risk they pose. To market low to moderate risk medical devices that are automatically placed into Class III due to the absence of a predicate device, a manufacturer may request a de novo down-classification. This procedure allows a manufacturer whose novel device is automatically classified into Class</w:t>
      </w:r>
    </w:p>
    <w:p>
      <w:pPr>
        <w:spacing w:after="0" w:line="2" w:lineRule="exact"/>
        <w:rPr>
          <w:sz w:val="20"/>
          <w:szCs w:val="20"/>
          <w:color w:val="auto"/>
        </w:rPr>
      </w:pPr>
    </w:p>
    <w:p>
      <w:pPr>
        <w:ind w:right="120" w:firstLine="8"/>
        <w:spacing w:after="0" w:line="302" w:lineRule="auto"/>
        <w:tabs>
          <w:tab w:leader="none" w:pos="225"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request classification of its medical device into Class I or Class II on the basis that the device presents low or moderate risk, rather than requiring the submission and approval of a PMA application. A medical device may be eligible for de novo classification if the manufacturer first submitted a 510(k) premarket notification and received a determination from the FDA that the device was not substantially equivalent or a manufacturer may request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80"/>
        <w:spacing w:after="0" w:line="269" w:lineRule="auto"/>
        <w:rPr>
          <w:sz w:val="20"/>
          <w:szCs w:val="20"/>
          <w:color w:val="auto"/>
        </w:rPr>
      </w:pPr>
      <w:r>
        <w:rPr>
          <w:rFonts w:ascii="Arial" w:cs="Arial" w:eastAsia="Arial" w:hAnsi="Arial"/>
          <w:sz w:val="17"/>
          <w:szCs w:val="17"/>
          <w:color w:val="auto"/>
        </w:rPr>
        <w:t>de novo classification directly without first submitting a 510(k) premarket notification to the FDA and receiving a not substantially equivalent determination. The FDA is required to classify the device within 120 calendar days following receipt of the de novo application, although in practice, the FDA’s review may take significantly longer. During the pendency of the FDA’s review, the FDA may issue an additional information letter, which places the de novo request on hold and stops the review clock pending receipt of the additional information requested. In the event the de novo requestor does not provide the requested information within 180 calendar days, the FDA will consider the de novo request to be withdrawn. If the manufacturer seeks reclassification into Class II, the manufacturer must include a draft proposal for special controls that are necessary to provide a reasonable assurance of the safety and effectiveness of the medical device. In addition, the FDA may reject the de novo request for classification if it identifies a legally marketed predicate device that would be appropriate for a 510(k) or determines that the device is not low to moderate risk or that general controls would be inadequate to control the risks and special controls cannot be developed. In the event the FDA determines the data and information submitted demonstrate that general controls or general and special controls are adequate to provide reasonable assurance of safety and effectiveness, the FDA will grant the de novo request for classification. When the FDA grants a de novo request for classification, the device is granted marketing authorization and further can serve as a predicate for future devices of that type, through a 510(k) premarket notification.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Breakthrough Device Program</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FDA has implemented a Breakthrough Device Program that is intended to help patients receive more timely access to breakthrough medical technologies that have the potential to provide more effective treatment or diagnosis for life-threatening or irreversibly debilitating diseases or conditions. A device also must meet one of the following criteria: (i) it represents breakthrough technology; (ii) there is no approved or cleared alternative; (iii) it offers significant advantages over existing cleared or approved devices; or (iv) availability of the device is in the best interest of patients. Under the program, we are eligible to receive priority review and interactive communications from the FDA regarding device development and clinical trial protocols, all the way through to commercialization decisions.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Clinical trials are almost always required to support a PMA and are sometimes required to support a 510(k) submission.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64"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In addition, the study must be approved by, and conducted under the oversight of, an Institutional Review Board (IRB) for each clinical site. The IRB is responsible for the initial and continuing review of the IDE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77"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8"/>
          <w:szCs w:val="18"/>
          <w:i w:val="1"/>
          <w:iCs w:val="1"/>
          <w:color w:val="auto"/>
        </w:rPr>
        <w:t>Post-market Regulation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After a device is cleared or approved for marketing, numerous and pervasive regulatory requirements continue to apply. These include:</w:t>
      </w:r>
    </w:p>
    <w:p>
      <w:pPr>
        <w:spacing w:after="0" w:line="129" w:lineRule="exact"/>
        <w:rPr>
          <w:sz w:val="20"/>
          <w:szCs w:val="20"/>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17" w:lineRule="exact"/>
        <w:rPr>
          <w:rFonts w:ascii="Arial" w:cs="Arial" w:eastAsia="Arial" w:hAnsi="Arial"/>
          <w:sz w:val="18"/>
          <w:szCs w:val="18"/>
          <w:color w:val="auto"/>
        </w:rPr>
      </w:pPr>
    </w:p>
    <w:p>
      <w:pPr>
        <w:ind w:left="1140" w:right="800" w:hanging="383"/>
        <w:spacing w:after="0" w:line="308"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38" w:lineRule="exact"/>
        <w:rPr>
          <w:rFonts w:ascii="Arial" w:cs="Arial" w:eastAsia="Arial" w:hAnsi="Arial"/>
          <w:sz w:val="17"/>
          <w:szCs w:val="17"/>
          <w:color w:val="auto"/>
        </w:rPr>
      </w:pPr>
    </w:p>
    <w:p>
      <w:pPr>
        <w:ind w:left="1140" w:hanging="383"/>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the promotion of ‘‘off-label’’ uses of cleared or approved products;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117" w:lineRule="exact"/>
        <w:rPr>
          <w:rFonts w:ascii="Arial" w:cs="Arial" w:eastAsia="Arial" w:hAnsi="Arial"/>
          <w:sz w:val="18"/>
          <w:szCs w:val="18"/>
          <w:color w:val="auto"/>
        </w:rPr>
      </w:pPr>
    </w:p>
    <w:p>
      <w:pPr>
        <w:ind w:left="1140" w:right="60" w:hanging="383"/>
        <w:spacing w:after="0" w:line="34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5" w:lineRule="exact"/>
        <w:rPr>
          <w:rFonts w:ascii="Arial" w:cs="Arial" w:eastAsia="Arial" w:hAnsi="Arial"/>
          <w:sz w:val="16"/>
          <w:szCs w:val="16"/>
          <w:color w:val="auto"/>
        </w:rPr>
      </w:pPr>
    </w:p>
    <w:p>
      <w:pPr>
        <w:ind w:left="1140" w:right="200" w:hanging="383"/>
        <w:spacing w:after="0" w:line="263"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5" w:lineRule="exact"/>
        <w:rPr>
          <w:rFonts w:ascii="Arial" w:cs="Arial" w:eastAsia="Arial" w:hAnsi="Arial"/>
          <w:sz w:val="18"/>
          <w:szCs w:val="18"/>
          <w:color w:val="auto"/>
        </w:rPr>
      </w:pPr>
    </w:p>
    <w:p>
      <w:pPr>
        <w:ind w:left="1140" w:right="20" w:hanging="383"/>
        <w:spacing w:after="0" w:line="263"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75" w:lineRule="exact"/>
        <w:rPr>
          <w:rFonts w:ascii="Arial" w:cs="Arial" w:eastAsia="Arial" w:hAnsi="Arial"/>
          <w:sz w:val="18"/>
          <w:szCs w:val="18"/>
          <w:color w:val="auto"/>
        </w:rPr>
      </w:pPr>
    </w:p>
    <w:p>
      <w:pPr>
        <w:ind w:left="1140" w:right="320" w:hanging="383"/>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62" w:lineRule="exact"/>
        <w:rPr>
          <w:rFonts w:ascii="Arial" w:cs="Arial" w:eastAsia="Arial" w:hAnsi="Arial"/>
          <w:sz w:val="18"/>
          <w:szCs w:val="18"/>
          <w:color w:val="auto"/>
        </w:rPr>
      </w:pPr>
    </w:p>
    <w:p>
      <w:pPr>
        <w:ind w:left="1140" w:right="80" w:hanging="383"/>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Quality Systems Regulation Requirements</w:t>
      </w:r>
    </w:p>
    <w:p>
      <w:pPr>
        <w:spacing w:after="0" w:line="117"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The QSR also requires, among other things, maintenance of records and certain documentation, a device master file, device history file, and complaint files. QSR compliance is necessary to receive and maintain FDA clearance or approval to market new and existing products. As a manufacturer, we are subject to periodic scheduled or unscheduled audits or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71" w:lineRule="exact"/>
        <w:rPr>
          <w:sz w:val="20"/>
          <w:szCs w:val="20"/>
          <w:color w:val="auto"/>
        </w:rPr>
      </w:pPr>
    </w:p>
    <w:p>
      <w:pPr>
        <w:ind w:right="140" w:firstLine="749"/>
        <w:spacing w:after="0" w:line="308" w:lineRule="auto"/>
        <w:rPr>
          <w:sz w:val="20"/>
          <w:szCs w:val="20"/>
          <w:color w:val="auto"/>
        </w:rPr>
      </w:pPr>
      <w:r>
        <w:rPr>
          <w:rFonts w:ascii="Arial" w:cs="Arial" w:eastAsia="Arial" w:hAnsi="Arial"/>
          <w:sz w:val="17"/>
          <w:szCs w:val="17"/>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38" w:lineRule="exact"/>
        <w:rPr>
          <w:sz w:val="20"/>
          <w:szCs w:val="20"/>
          <w:color w:val="auto"/>
        </w:rPr>
      </w:pPr>
    </w:p>
    <w:p>
      <w:pPr>
        <w:ind w:left="1140" w:right="60" w:hanging="383"/>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untitled letters, FDA Form 483s, FDA warning letters, it has come to our attention letters, fines, injunctions, consent decrees and civil penalties;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recall, detention or seizure of our products;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refusing or delaying our requests for regulatory approvals or clearances of new products or modified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withdrawing of 510(k) clearances or PMA approvals that have already been granted;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ind w:right="100" w:firstLine="749"/>
        <w:spacing w:after="0" w:line="286" w:lineRule="auto"/>
        <w:rPr>
          <w:sz w:val="20"/>
          <w:szCs w:val="20"/>
          <w:color w:val="auto"/>
        </w:rPr>
      </w:pPr>
      <w:r>
        <w:rPr>
          <w:rFonts w:ascii="Arial" w:cs="Arial" w:eastAsia="Arial" w:hAnsi="Arial"/>
          <w:sz w:val="17"/>
          <w:szCs w:val="17"/>
          <w:color w:val="auto"/>
        </w:rPr>
        <w:t>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FDA Regulatory Status</w:t>
      </w:r>
    </w:p>
    <w:p>
      <w:pPr>
        <w:spacing w:after="0" w:line="117"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We currently have regulatory clearances required to market the Tablo Hemodialysis System in the U.S. for use in patients with acute and/or chronic renal failure, with or without ultrafiltration, in an acute or chronic care facility. The Tablo Hemodialysis System is also indicated for use in the home and observed by a trained individual. The Tablo Hemodialysis System is not cleared by the FDA for Continuous Renal Replacement Therapy (CRRT), a subtype of hemodialysis intended to be performed without interruption at lower flow and ultrafiltration rates for hemodynamically unstable patients who may not tolerate higher flow or ultrafiltration rates typically associated with conventional dialysis. Treatments must be administered under a physician’s prescription and observed by a trained individual who is considered competent in the use of the device. The FDA’s authorizations for the Tablo System and Tablo Cartridge have thus far been granted as 510(k) clearances.</w:t>
      </w:r>
    </w:p>
    <w:p>
      <w:pPr>
        <w:spacing w:after="0" w:line="6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Since Tablo’s original clearance by the FDA for home use in March 2020, we have made certain changes to the device over time and, where appropriate, have submitted 510(k) applications for certain modifications to the Tablo. In May 2021, we submitted a 510(k) application to the FDA covering the design changes for patient use in the home. In May 2022, after further discussions with the FDA and receiving indications that the clearance of this 510(k) application would be delayed beyond our original expectations, we implemented a shipment hold on the distribution and marketing of Tablo for use in the home environment pending the FDA’s review and clearance of this 510(k) application. In late July 2022, the FDA cleared this 510(k) application of Tablo for patient use in the home and we resumed marketing and shipping Tablo for home use.</w:t>
      </w:r>
    </w:p>
    <w:p>
      <w:pPr>
        <w:spacing w:after="0" w:line="70" w:lineRule="exact"/>
        <w:rPr>
          <w:sz w:val="20"/>
          <w:szCs w:val="20"/>
          <w:color w:val="auto"/>
        </w:rPr>
      </w:pPr>
    </w:p>
    <w:p>
      <w:pPr>
        <w:ind w:right="100" w:firstLine="749"/>
        <w:spacing w:after="0" w:line="269" w:lineRule="auto"/>
        <w:rPr>
          <w:sz w:val="20"/>
          <w:szCs w:val="20"/>
          <w:color w:val="auto"/>
        </w:rPr>
      </w:pPr>
      <w:r>
        <w:rPr>
          <w:rFonts w:ascii="Arial" w:cs="Arial" w:eastAsia="Arial" w:hAnsi="Arial"/>
          <w:sz w:val="17"/>
          <w:szCs w:val="17"/>
          <w:color w:val="auto"/>
        </w:rPr>
        <w:t>The FDA previously issued to us a post-market surveillance order under Section 522 of the FDCA which required that we conduct a human factors study, as well as conduct a detailed analysis of adverse events and complaints from home users. While the FDA recently placed this 522 study requirement on hold because the original order specifically pertained to a prior version of Tablo, the FDA may decide to issue a new 522 order applicable to the current version of Tablo or extend the requirements of the prior 522 study order to apply to the version of Tablo that is the subject of the recently cleared 510(k) application. If the FDA does require us to run a 522 study with the version of Tablo that is the subject of the July 2022 clearance, we would need to submit and obtain the FDA’s approval of an updated 522 study protocol for the current version of Tablo before we could commence, conduct and complete the study. Should the FDA decide that the use of the Tablo System in the home environment identifies new concerns related to the safety and effectiveness of the product, or if the FDA determines that the requirements of the 522 order are otherwise unmet, we may be required to make changes to our Tablo System or its labeling for which we may need to submit new marketing authorization applications and obtain clearance, we may need to temporarily suspend shipment of Tablo, withdraw or recall the Tablo System from the market, and we may be subject to other enforcement actions, any of which could materially and adversely harm our business.</w:t>
      </w:r>
    </w:p>
    <w:p>
      <w:pPr>
        <w:spacing w:after="0" w:line="29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In October 2022,we submitted a 510(k) notification to the FDA seeking clearance of a new software version intended to offer new commercial features and enhancements designed to improve the reliability and serviceability of Tablo, as well as other previously implemented modifications. We have received, and are in the process of responding to, a request for additional information regarding some of the modifications included in the 510(k). At this time, this 510(k) application is pending at the FDA. Based on the results of the FDA’s review, we may be required to take additional actions, which may include reverting Tablo back to its prior, un-modified configuration.</w:t>
      </w:r>
    </w:p>
    <w:p>
      <w:pPr>
        <w:spacing w:after="0" w:line="80"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In May 2022, the FDA published a Letter to Healthcare Providers entitled "Potential Risk of Exposure to Toxic Compounds When Using Certain Hemodialysis Machines Manufactured by Fresenius Medical Care – Letter to Health Care Providers." In that communication, the agency stated that it is evaluating the potential risk of exposure to non-dioxin-like (NDL) polychlorinated biphenyl acids (PCBAs) and NDL polychlorinated biphenyls (PCBs) with certain hemodialysis machines marketed in the United States. The FDA stated that the source of the NDL PCBAs and NDL PCBs is from the silicone tubing used as a part of the hydraulics in those machines and the dialysate lines. Although the Tablo Hemodialysis System was not the subject of the FDA’s Letter to Healthcare Providers, the FDA reached out to Outset regarding the tubing used in the Tablo. In a series of discussions with the FDA, the agency requested that we conduct a targeted analysis and a screening analysis on the tubing used in the Tablo Hemodialysis System. The FDA is requesting data on three specific compounds of PCB / PCBA as well as screening for other toxins and PCB/PCBAs. We are cooperating fully with the agency and are in the process of finalizing testing and screening protocols for submission to the FDA, and plan to perform the analysis in the first half of 2023. Based on the results of this testing, Outset may be required to take additional actions including submission of a 510(k) application for modified silicone tubing, if necessary.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40" w:firstLine="749"/>
        <w:spacing w:after="0" w:line="277" w:lineRule="auto"/>
        <w:rPr>
          <w:sz w:val="20"/>
          <w:szCs w:val="20"/>
          <w:color w:val="auto"/>
        </w:rPr>
      </w:pPr>
      <w:r>
        <w:rPr>
          <w:rFonts w:ascii="Arial" w:cs="Arial" w:eastAsia="Arial" w:hAnsi="Arial"/>
          <w:sz w:val="18"/>
          <w:szCs w:val="18"/>
          <w:color w:val="auto"/>
        </w:rPr>
        <w:t>We continue to seek opportunities for product improvements and feature enhancements, which will, from time to time, require FDA clearance or approval before commercial launch.</w:t>
      </w:r>
    </w:p>
    <w:p>
      <w:pPr>
        <w:spacing w:after="0" w:line="62"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In the first quarter of 2023, the FDA conducted their first quality system inspection of our San Jose, California facility. At completion, the FDA issued a Form FDA-483 identifying four inspectional observations, relating to: (i) a single medical device report (MDR) that was not submitted within the required time period, (ii) completeness of software validation documentation, (iii) procedures defining escalation of nonconforming product to Corrective and Preventive Action (CAPA), and (iv) procedures connecting actions in customer complaints and the CAPA system. We intend to provide a complete response to the FDA and to implement a corrective action plan to address these observations within the requisite timeframe. Although we believe we are in material compliance with the QSR and will be able to address the observations identified in the Form-483 in a timely manner, there is no guarantee that subsequent inspections of our facility by the FDA or other regulatory authorities will not result in similar observations with respect to our quality system, which could adversely affect our business. The observations do not affect our ability to serve patients in both the home and acute end markets, and we intend to expeditiously and effectively address them in a way that strengthens our quality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Certain U.S. federal healthcare fraud and abuse laws apply by virtue of the fact that our customers will submit claims for our products and services that are reimbursed, in whole or in part, by Medicare, Medicaid, or other federal healthcare programs (as that term is defined at 42 U.S.C. § 1320a-7b(f)). The principal federal fraud and abuse laws that apply in these circumstances are discussed below.</w:t>
      </w:r>
    </w:p>
    <w:p>
      <w:pPr>
        <w:spacing w:after="0" w:line="76"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U.S. federal Anti-Kickback Statute is a broad criminal statute that prohibits, among other things, the knowing and willful offer, solicitation, receipt, or payment of any remuneration, directly or indirectly, overtly or covertly, in cash or in kind, for the purpose of inducing or rewarding the order, purchase, use or recommendation of items or services that may be paid for, or reimbursed by, in whole or in part, a federal healthcare program, such as Medicare or Medicaid. This includes products, like Tablo, that are not directly reimbursed but are purchased and used in a service paid for by such programs. A person or entity does not need to have actual knowledge of the statute or specific intent to violate it in order to have committed a violation. Further, the term “remuneration” has been broadly interpreted to include anything of value. The Affordable Care Act (ACA) healthcare reform legislation specified that any claims submitted as a result of a violation of the federal Anti-Kickback Statute constitute false claims and are subject to enforcement under the federal False Claims Act, which is discussed in more detail below. Government officials continue to focus their enforcement efforts on the federal Anti-Kickback Statute and the sales and marketing activities of medical device manufacturers and other healthcare companies, and routinely bring cases against individuals or entities who allegedly offer unlawful inducements to potential or existing customers in an attempt to procure their business. Judgments and settlements of these cases by healthcare companies have involved significant fines and, in some instances, criminal pleas and convictions. Conviction under the federal Anti-Kickback Statue results in mandatory exclusion from participation in the federal healthcare programs, meaning that federal healthcare programs will not reimburse (directly or indirectly) for products or services furnished by the excluded entity or individuals. Violators are subject to, among other things, imprisonment and significant criminal fines for each violation under the Anti-Kickback Statute, plus up to three times the remuneration involved and other civil penalties under the False Claims Act, as discussed in more detail below.</w:t>
      </w:r>
    </w:p>
    <w:p>
      <w:pPr>
        <w:spacing w:after="0" w:line="59"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Given the breadth of the federal Anti-Kickback Statute, and to allow innocuous or beneficial arrangements that may otherwise implicate the law, there are statutory exceptions and regulatory safe harbors that protect certain arrangements from liability under the law when all elements of an applicable exception or safe harbor are met. However, these exceptions and safe harbors are narrowly drawn, and there is no exception or safe harbor for many common business activities like educational grants or reimbursement support programs. Given that the Anti-Kickback Statute is an intent-based law, the failure of a transaction or arrangement to fit precisely within an exception or safe harbor does not necessarily mean that it is illegal or that prosecution will be pursued.</w:t>
      </w:r>
    </w:p>
    <w:p>
      <w:pPr>
        <w:spacing w:after="0" w:line="84"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 federal civil False Claims Act (FCA) imposes civil penalties against individuals or entities for, among other things, knowingly presenting, or causing to be presented, claims for payment of government funds that are false or fraudulent,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for each false claim submitted or statement made. Government enforcement agencies and private whistleblowers have investigated medical device manufacturers for, or asserted liability under, the FCA for a variety of alleged inappropriate promotional and marketing activities, including those involving the provision of free product or other items of value to customers, certain financial arrangements with healthcare providers, the provision of billing, coding, and reimbursement advice, and purported “off-label” promotion of products, among other things.</w:t>
      </w:r>
    </w:p>
    <w:p>
      <w:pPr>
        <w:spacing w:after="0" w:line="7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Another key federal healthcare law is the federal healthcare fraud statute, which was added by HIPAA. The federal healthcare fraud statute imposes liability for, among other things, knowingly and willfully executing, or attempting to execute,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ind w:right="140"/>
        <w:spacing w:after="0" w:line="279" w:lineRule="auto"/>
        <w:rPr>
          <w:sz w:val="20"/>
          <w:szCs w:val="20"/>
          <w:color w:val="auto"/>
        </w:rPr>
      </w:pPr>
      <w:r>
        <w:rPr>
          <w:rFonts w:ascii="Arial" w:cs="Arial" w:eastAsia="Arial" w:hAnsi="Arial"/>
          <w:sz w:val="17"/>
          <w:szCs w:val="17"/>
          <w:color w:val="auto"/>
        </w:rPr>
        <w:t>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63"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Physician Payments Sunshine Act (Sunshine Act) requires us to track and report annually certain data on payments and other transfers of value we make to teaching hospitals and U.S.-licensed physicians, physician assistants, nurse practitioners, clinical nurse specialists, certified nurse anesthetists, anesthesiology assistants, and certified nurse-midwives. Manufacturers are also required to report ownership and investment interests held by the physicians described above and their immediate family members. The data are sent to the Center for Medicare and Medicaid Services (CMS) for public disclosure on the Open Payments website. Failure to timely report information in accordance with the Sunshine Act may result in significant financial penalties.</w:t>
      </w:r>
    </w:p>
    <w:p>
      <w:pPr>
        <w:spacing w:after="0" w:line="84"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In addition to these federal laws, there are often state laws and regulations, including state anti-kickback and false claims laws, that may apply to our business practices, including but not limited to: research, sales and marketing arrangements; claims involving healthcare items or services reimbursed by any third- party payor, including private insurers; state laws that require medical device companies to comply with the medical device industry’s voluntary compliance guidelines and the relevant compliance guidance promulgated by the U.S. federal government, or otherwise restrict payments that may be made to healthcare providers and other potential referral sources; and state laws and regulations that require drug and device manufacturers to file reports relating to pricing and marketing information, which requires tracking gifts and other remuneration and items of value provided to healthcare professionals and entities. In some states, applicable state anti-kickback laws apply with respect to all payors, including commercial health insurance companies.</w:t>
      </w:r>
    </w:p>
    <w:p>
      <w:pPr>
        <w:spacing w:after="0" w:line="84"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Through our compliance efforts, we strive to design our business operations and relationships with our customers to comply with all applicable law. However, many of the laws and regulations applicable to us are broad in scope and may be interpreted or applied by prosecutorial, regulatory or judicial authorities or whistleblowers in ways that we cannot predict. Thus, it is possible that governmental entities or other parties could interpret these laws differently or assert non-compliance with respect to one or more of our business operations and relationships. If our operations are found to be in violation of any of these laws or any other governmental regulations that may apply to us, we may be subject to significant civil, criminal and administrative penalties, damages, fines, imprisonment, and/or exclusion from government funded healthcare programs, such as Medicare and Medicaid. In addition, we may become subject to additional oversight and reporting requirements under a corporate integrity agreement as part of a settlement to resolve allegations of non-compliance with these laws (even if we do not admit violations). We may also need to curtail or restructure our operations as a result of being found to violate these laws, having such violations asserted against us, or based on enforcement actions instituted with respect to comparable practices by others. Any of these outcomes could have an adverse effect on our financial condition and ability to conduct our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7"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In the course of performing our business we obtain personally identifiable information (PII), including health-related information. Numerous federal and state laws and regulations, including HIPAA, govern the collection, dissemination, security, use and confidentiality of patient-identifiable health information or personal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a set of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which are persons or entities that perform a function or provide certain services for, or on behalf of, a covered entity that involve creating, receiving, maintaining or transmitting PHI. HIPAA also imposes breach reporting obligations on such covered entities and their respective business associates. Penalties for failure to comply with a requirement of HIPAA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 Finally, on December 10, 2020, OCR issued proposed revisions to the Privacy Rule aimed at reducing regulatory burdens that may exist in discouraging coordination of care, including creating an exception to the minimum necessary standard for healthcare coordination, and other proposals to increase patient access to their health information, among other changes. While a final rule has not yet been issued,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if adopted, these proposed changes may require us to update our HIPAA policies and procedures to comply with the new requirements.</w:t>
      </w:r>
    </w:p>
    <w:p>
      <w:pPr>
        <w:spacing w:after="0" w:line="117" w:lineRule="exact"/>
        <w:rPr>
          <w:sz w:val="20"/>
          <w:szCs w:val="20"/>
          <w:color w:val="auto"/>
        </w:rPr>
      </w:pPr>
    </w:p>
    <w:p>
      <w:pPr>
        <w:ind w:right="40" w:firstLine="749"/>
        <w:spacing w:after="0" w:line="285" w:lineRule="auto"/>
        <w:rPr>
          <w:sz w:val="20"/>
          <w:szCs w:val="20"/>
          <w:color w:val="auto"/>
        </w:rPr>
      </w:pPr>
      <w:r>
        <w:rPr>
          <w:rFonts w:ascii="Arial" w:cs="Arial" w:eastAsia="Arial" w:hAnsi="Arial"/>
          <w:sz w:val="16"/>
          <w:szCs w:val="16"/>
          <w:color w:val="auto"/>
        </w:rPr>
        <w:t>In addition, various federal and state legislative and regulatory bodies, or self-regulatory organizations, may expand current laws or regulations, enact new laws or regulations or issue revised rules or guidance regarding privacy, data protection and consumer protection. For instance, the California Consumer Privacy Act (CCPA) became effective on January 1, 2020. The CCPA gives California residents new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PHI and the CCPA’s implementation standards and enforcement practices are likely to remain uncertain for the foreseeable future, the CCPA may increase our compliance costs and potential liability. Additionally, a California ballot initiative, the California Privacy Rights Act (CPRA), passed in November 2020, and the majority of the provisions took effect on January 1, 2023. The CPRA amendments to the CCPA impose additional data protection obligations on companies doing business in California, including additional consumer rights processes, limitations on data uses, new audit requirements for higher risk data, and opt outs for certain uses of sensitive data. The amendments also created a new California data protection agency authorized to issue substantive regulations and could result in increased privacy and information security enforcement. Additional compliance investment and potential business process changes may be required. Laws similar to the California laws have passed in Virginia, Colorado, Connecticut, and Utah and have been proposed in other states and at the federal level. To the extent these laws apply to our operations, they may ultimately have conflicting requirements that would further complicate compliance. Further, new health information standards, whether implemented pursuant to HIPAA, congressional action or otherwise, could have a significant effect on the manner in which we handle health-related information, and the cost of complying with these standards could be significant. If we do not comply with existing or new laws and regulations related to patient health information, we could be subject to criminal or civil sanctions.</w:t>
      </w:r>
    </w:p>
    <w:p>
      <w:pPr>
        <w:spacing w:after="0" w:line="63"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Additionally, the Federal Trade Commission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spacing w:after="0" w:line="71"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We may also be subject to laws and regulations in foreign countries covering data privacy and other protection of health and employee information that may be more onerous than corresponding U.S. laws. These regulations may require that we obtain individual consent before we collect or process personal data, restrict our use or transfer of personal data, impose technical and organizational measures to ensure the security of personal data, add obligations to our data analytics services, and require that we notify regulatory agencies, individuals or the public about any data security breaches. As we expand our international operations, we may be required to expend significant time and resources to put in place additional mechanisms to ensure compliance with multiple robust and evolving data privacy laws as they become applicable to our business.</w:t>
      </w:r>
    </w:p>
    <w:p>
      <w:pPr>
        <w:spacing w:after="0" w:line="70"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We may face increased cybersecurity risks due to our reliance on internet technology and the increased frequency of employees working remotely, which may create additional opportunities for cybercriminals to exploit vulnerabilities. OCR, in partnership with the Healthcare and Public Health Sector Coordinating Council, issued cybersecurity guidelines for healthcare organizations that reflect consensus-based, voluntary practices to cost-effectively reduce cybersecurity risks for organizations of varying sizes. Although these Department of Health and Human Services (HHS)-backed guidelines, entitled “Health Industry Cybersecurity Practices: Managing Threats and Protecting Patients,” are voluntary, they are likely to serve as an important reference point for the healthcare industry, and may cause us to invest additional resources in technology, personnel and programmatic cybersecurity controls as the cybersecurity risks we face continue to evolve.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7" w:name="page18"/>
    <w:bookmarkEnd w:id="17"/>
    <w:p>
      <w:pPr>
        <w:ind w:right="20" w:firstLine="749"/>
        <w:spacing w:after="0" w:line="269" w:lineRule="auto"/>
        <w:rPr>
          <w:sz w:val="20"/>
          <w:szCs w:val="20"/>
          <w:color w:val="auto"/>
        </w:rPr>
      </w:pPr>
      <w:r>
        <w:rPr>
          <w:rFonts w:ascii="Arial" w:cs="Arial" w:eastAsia="Arial" w:hAnsi="Arial"/>
          <w:sz w:val="17"/>
          <w:szCs w:val="17"/>
          <w:color w:val="auto"/>
        </w:rPr>
        <w:t>We regularly monitor, defend against and respond to cyber and other security threats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exploitation of known or unknown vulnerabilities,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or if our incident response, containment or mitigation measures are inadequate in the face of a particular data security incident, we may face significant business interruptions, incur reputational damage, and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7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Failure to comply with applicable data protection laws and regulations could result in government enforcement actions (which could include civil and/or criminal penalties), private litigation and/or adverse publicity and could negatively affect our operating results and business. Compliance with these laws is difficult, constantly evolving, time consuming, and requires a flexible privacy framework and substantial resources. Compliance efforts will likely be an increasing and substantial cost in the future.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in the Clinic and Home Settings</w:t>
      </w:r>
    </w:p>
    <w:p>
      <w:pPr>
        <w:spacing w:after="0" w:line="117"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We sell our Tablo to dialysis clinics. These clinics, in turn, provide equipment and services to the patient and are reimbursed by Medicare, Medicaid, and other third-party payors, such as private insurance.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Medicare</w:t>
      </w:r>
    </w:p>
    <w:p>
      <w:pPr>
        <w:spacing w:after="0" w:line="117"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In the clinic and home setting, the largest payor of dialysis services is Medicare, and Medicare requires all dialysis patients to be under the care of a dialysis clinic provider, whether they are in the clinic or in the home.</w:t>
      </w:r>
    </w:p>
    <w:p>
      <w:pPr>
        <w:spacing w:after="0" w:line="62"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Most patients who require regular dialysis, that is, those with ESRD, have coverage through Medicare Part B, which, effective January 1, 2011, pays dialysis clinics through a prospective, bundled payment system. Reimbursement is generally provided on a per treatment basis, and it is the same whether the patient is treated in the clinic or in the home setting. We believe that the current per treatment reimbursement amount received by our customers under Medicare Part B adequately covers the amortization of the cost of capital equipment, and specifically our Tablo console, as well as the per treatment supplies and disposables cost for Tablo, whether it is in the home or the in-clinic setting. Dialysis clinics’ continuing use of Tablo, however, will depend on whether the cost of treatments involving Tablo (including the amortized cost of the Tablo console and other capital equipment) will continue to be adequately covered by the reimbursement that the dialysis clinics receive from Medicare and any other third-party payors.</w:t>
      </w:r>
    </w:p>
    <w:p>
      <w:pPr>
        <w:spacing w:after="0" w:line="58"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Under the ESRD Prospective Payment System (PPS), CMS generally makes a single bundled payment to the dialysis facility for each dialysis treatment that covers all renal dialysis services, which is broadly defined and includes home dialysis and most related drugs. On October 31, 2022, CMS published the final rule for Calendar Year (CY) 2023, which increased the base reimbursement rate per dialysis treatment to $265.57, an increase of $7.67 over the CY 2022 base rate of $257.90. CMS may adjust the base rate to account for factors that increase the cost of providing dialysis to a certain patient, for example, based on patient factors such as age, body surface area, low body mass index, and certain comorbidities, and based on facility factors like volume and geographic location. With a vast majority of U.S. ESRD patients covered by Medicare, the Medicare reimbursement rate is an important factor in a healthcare provider’s decision to use Tablo and limits the fees for which we can sell or rent Tablo.</w:t>
      </w:r>
    </w:p>
    <w:p>
      <w:pPr>
        <w:spacing w:after="0" w:line="69"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Additionally, current CMS rules limit the number of hemodialysis treatments paid for by Medicare Part B to three times a week, unless there is medical justification provided by the dialysis facility based on information from the patient’s physician for additional treatments. Using currently available technology, most patients who receive home dialysis have been prescribed to receive more than three treatments per week. The Tablo system can allow providers to prescribe as few as three home dialysis treatments per week. However, to the extent that providers continue to prescribe more than three home dialysis treatments per week and Medicare contractors determine they will not pay for such additional treatments, use of the Tablo system could be adversely impacted.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with the Tablo system and, if greater than three, the level of confidence the center has in the predictability of receiving reimbursement from Medicare for additional treatments per week based on submitted claims for medical justification.</w:t>
      </w:r>
    </w:p>
    <w:p>
      <w:pPr>
        <w:spacing w:after="0" w:line="78"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Beginning January 1, 2021, more dialysis patients enrolled in coverage under a Medicare Advantage plan when changes from the 21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Century Cures Act went into effect. While Medicare Advantage plans must provide at least the same level of coverage for Medicare beneficiaries as traditional Medicare, reimbursement to dialysis facilities is most often higher than traditional Medicare with a wide range of variability in payment rates to providers. Reimbursement rates depend on each Medicare Advantage plan’s contracts and network agreements with each dialysis facility The CY 2021 Medicare ESRD PPS final rule, among other things, encouraged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100"/>
        <w:spacing w:after="0" w:line="255" w:lineRule="auto"/>
        <w:rPr>
          <w:sz w:val="20"/>
          <w:szCs w:val="20"/>
          <w:color w:val="auto"/>
        </w:rPr>
      </w:pPr>
      <w:r>
        <w:rPr>
          <w:rFonts w:ascii="Arial" w:cs="Arial" w:eastAsia="Arial" w:hAnsi="Arial"/>
          <w:sz w:val="18"/>
          <w:szCs w:val="18"/>
          <w:color w:val="auto"/>
        </w:rPr>
        <w:t>development of new and innovative home dialysis machines to give Medicare beneficiaries more dialysis treatment options in the home and improve their quality of life. Specifically, the CY 2021 final rule included capital equipment in transitional add-on payment adjustments for new and innovative equipment and supplies (TPNIES). For home dialysis equipment CMS provided a pathway for capital related assets (CRA) to secure TPNIES. We applied for and received CRA TPNIES in connection with the Tablo Hemodialysis System use by one patient per one machine in the home, pursuant to which Medicare will pay 65% of the Medicare Administrative Contractor-determined pre-adjusted per treatment amount for two calendar years beginning in CY 2022.</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Medicaid</w:t>
      </w:r>
    </w:p>
    <w:p>
      <w:pPr>
        <w:spacing w:after="0" w:line="11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Many ESRD patients also have Medicaid coverage that is supplemental to Medicare coverage, as it helps cover Medicare Part B coinsurance and items and services not covered by Medicare Part B. Some ESRD patients, however, may have Medicaid as their primary coverage. Because Medicaid is a state-administered program, Medicaid reimbursement for dialysis services varies by state.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Private Insurance</w:t>
      </w:r>
    </w:p>
    <w:p>
      <w:pPr>
        <w:spacing w:after="0" w:line="117"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Finally, some patients may have coverage through private insurance, for example through a marketplace plan set up under the Affordable Care Act or through an employer or union group health plan. Private insurance reimbursement is generally higher than government reimbursement, but private insurance coverage and reimbursement vary by sponsor and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in the Critical Care Setting</w:t>
      </w:r>
    </w:p>
    <w:p>
      <w:pPr>
        <w:spacing w:after="0" w:line="11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For Medicare patients, both acute kidney failure and fluid overload therapies provided in an in-patient hospital setting are reimbursed under Medicare Part A through the Hospital Inpatient Prospective Payment System using the Medicare Severity Diagnosis Related Group System (MS-DRG). Under this system, reimbursement is determined based on a patient’s diagnoses, demographics, and procedures furnished during the stay, and is intended to cover all of the hospital’s costs of treating the patient. Longer hospitalization stays and higher labor needs, which are typical for patients with acute kidney failure and fluid overload, must be managed in order for care of these patients to be cost-effective. Similar to dialysis clinics that are reimbursed by Medicare Part B under the ESRD bundled payment methodology, we believe that there is a significant incentive for hospitals to find the most cost-efficient way to treat these patients in order to improve hospital economics for these therapies.</w:t>
      </w:r>
    </w:p>
    <w:p>
      <w:pPr>
        <w:spacing w:after="0" w:line="69"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In the in-patient setting under Medicare, dialysis and ultrafiltration (UF) are not directly reimbursed, but rather are paid for out of the amount paid to inpatient hospitals in connection with the patient's application MS-DRG for his/her admission. In most cases, AKI or fluid overload requiring dialysis or ultrafiltration will increase the severity of the underlying diagnosis, and therefore could result in higher reimbursement than those cases without dialysis. Given that dialysis is a “fixed cost” for providers within the MS-DRG, we believe that there is significant motivation for providers to attempt to reduce costs associated with dialysis in order to improve overall service line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Health Reform</w:t>
      </w:r>
    </w:p>
    <w:p>
      <w:pPr>
        <w:spacing w:after="0" w:line="117"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Changes in healthcare policy could increase our costs and subject us to additional legislative and regulatory requirements that may interrupt commercialization of our current and future products, decrease our revenue and adversely impact sales of, and pricing of and reimbursement for, our current and future products. The United States and some foreign jurisdictions are considering or have enacted a number of other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57" w:lineRule="exact"/>
        <w:rPr>
          <w:sz w:val="20"/>
          <w:szCs w:val="20"/>
          <w:color w:val="auto"/>
        </w:rPr>
      </w:pPr>
    </w:p>
    <w:p>
      <w:pPr>
        <w:ind w:right="240" w:firstLine="749"/>
        <w:spacing w:after="0" w:line="273" w:lineRule="auto"/>
        <w:rPr>
          <w:sz w:val="20"/>
          <w:szCs w:val="20"/>
          <w:color w:val="auto"/>
        </w:rPr>
      </w:pPr>
      <w:r>
        <w:rPr>
          <w:rFonts w:ascii="Arial" w:cs="Arial" w:eastAsia="Arial" w:hAnsi="Arial"/>
          <w:sz w:val="17"/>
          <w:szCs w:val="17"/>
          <w:color w:val="auto"/>
        </w:rPr>
        <w:t>The implementation of the Affordable Care Act in the United States, for example, has changed healthcare financing and delivery by both governmental and private insurers substantially, and affected medical device manufacturers significantly. The Affordable Care Act, among other things,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encouraged expanded eligibility criteria for Medicaid programs and created a new Patient-Centered Outcomes Research Institute to oversee, identify priorities in, and conduct comparative clinical effectiveness research, along with funding for such research.</w:t>
      </w:r>
    </w:p>
    <w:p>
      <w:pPr>
        <w:spacing w:after="0" w:line="70"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There have been judicial and Congressional challenges to various elements of the Affordable Care Act, as well as efforts to modify certain aspects of the Affordable Care Act. For example, Congress eliminated, starting January 1, 2019, the tax penalty for not complying with the Affordable Care Act’s individual mandate to carry health insurance. The Further Consolidated Appropriations Act of 2020, Pub. L. No. 116-94, signed into law December 20, 2019, fully repealed the Affordable Care Act’s “Cadillac Tax” on certain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40"/>
        <w:spacing w:after="0" w:line="293" w:lineRule="auto"/>
        <w:rPr>
          <w:sz w:val="20"/>
          <w:szCs w:val="20"/>
          <w:color w:val="auto"/>
        </w:rPr>
      </w:pPr>
      <w:r>
        <w:rPr>
          <w:rFonts w:ascii="Arial" w:cs="Arial" w:eastAsia="Arial" w:hAnsi="Arial"/>
          <w:sz w:val="16"/>
          <w:szCs w:val="16"/>
          <w:color w:val="auto"/>
        </w:rPr>
        <w:t>high-cost employer-sponsored insurance plans, the annual fee imposed on certain health insurance providers based on market share (repeal effective in 2021), and the medical device excise tax on non-exempt medical devices. The American Rescue Plan of 2021, Pub. L. No. 117-2, enacted on March 11, 2021, temporarily increased premium tax credit assistance for those eligible for subsidies for 2021 and 2022 and removed the 400% federal poverty level limit that otherwise applies for purposes of eligibility to receive premium tax credits. Recently, the Inflation Reduction Act of 2022 extended this increased tax credit assistance and removal of the 400% federal poverty limit through 2025. It is unclear if efforts to challenge, or modify, or alter the implementation or interpretation of the Affordable Care Act will affect our business, financial condition and results of operations.</w:t>
      </w:r>
    </w:p>
    <w:p>
      <w:pPr>
        <w:spacing w:after="0" w:line="56"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For example, the Budget Control Act of 2011, among other things, resulted in reductions in payments to Medicare providers of 2% per fiscal year, which went into effect on April 1, 2013 and, due to subsequent legislative amendments to the statute, will remain in effect into 2031 unless additional Congressional action is taken, with the exception of a temporary suspension of the 2% cut in Medicare payments from May 1, 2020 through July 1, 2022 due to the COVID-19 pandemic. The law provided for 1% Medicare sequestration in the second quarter of 2022, with the full 2% sequestration going into effect thereafter until 2031. To offset the temporary suspension during the COVID-19 pandemic, in 2030, the sequestration will be 2.25% for the first half of the year, and 3% in the second half of the year. As long as these cuts remain in effect, they could adversely impact payment for any products we may commercialize in the future. Additionally, the American Taxpayer Relief Act of 2012, among other things, reduced CMS payments to several types of providers, including hospitals, and extended the statute of limitations period for the government to recover Medicare overpayments to providers from three to five years.</w:t>
      </w:r>
    </w:p>
    <w:p>
      <w:pPr>
        <w:spacing w:after="0" w:line="58" w:lineRule="exact"/>
        <w:rPr>
          <w:sz w:val="20"/>
          <w:szCs w:val="20"/>
          <w:color w:val="auto"/>
        </w:rPr>
      </w:pPr>
    </w:p>
    <w:p>
      <w:pPr>
        <w:ind w:right="20" w:firstLine="749"/>
        <w:spacing w:after="0" w:line="285" w:lineRule="auto"/>
        <w:rPr>
          <w:sz w:val="20"/>
          <w:szCs w:val="20"/>
          <w:color w:val="auto"/>
        </w:rPr>
      </w:pPr>
      <w:r>
        <w:rPr>
          <w:rFonts w:ascii="Arial" w:cs="Arial" w:eastAsia="Arial" w:hAnsi="Arial"/>
          <w:sz w:val="16"/>
          <w:szCs w:val="16"/>
          <w:color w:val="auto"/>
        </w:rPr>
        <w:t>Moreover, other legislative and executive actions have encouraged the development of new payment and care models for ESRD patients. For example, an executive order signed in July 2019 directed the Secretary of HHS to develop, among other things, Medicare payment models designed to identify and treat at-risk populations earlier in disease development, and in connection with the executive order, HHS announced a goal of having 80% of new ESRD patients in 2025 either receive dialysis at home or receive a transplant. CMS subsequently published a final rule on September 29, 2020, among other things, to implement the End-Stage Renal Disease Treatment Choices (ETC) Model. The ETC Model is a mandatory payment model that adjusts certain Medicare payments to selected ESRD facilities, nephrologists, and other clinicians managing beneficiaries with ESRD starting January 1, 2021 and continuing through June 30, 2027. Specifically, the ETC Model will adjust certain ESRD facilities’ treatment base rates under the ESRD Prospective Payment System and managing clinicians’ monthly Medicare capitation payments to incentivize greater use of home dialysis and kidney transplants. Additionally, on January 1, 2022, CMS implemented the Kidney Care Choices Model, a voluntary Medicare payment model with four distinct payment options designed to help providers reduce costs and improve quality of care for patients with late-stage chronic kidney disease and ESRD, to delay the need for dialysis, and to encourage kidney transplantation. Most recently, on November 7, 2022, CMS issued a final rule regarding the ETC Model that, among other changes, revised the scoring methodology of the Performance Payment Adjustment and provided additional protections for furnishing and billing kidney disease patient education services.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issuance of the executive order and the ETC Model final rule, a failure to implement our expansion into home dialysis could have a material adverse impact on our business.</w:t>
      </w:r>
    </w:p>
    <w:p>
      <w:pPr>
        <w:spacing w:after="0" w:line="68"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We believe that there will continue to be proposals and other actions by legislators and other policymakers at both the federal and state levels, and by regulators and third-party payors to reduce costs and/or expand individual healthcare coverage. Changes to federal and state legislatures and executive offices have resulted in and will likely continue to result in further healthcare policy changes. For example, on July 9, 2021, President Biden issued an executive order to promote competition in the American economy, including in the healthcare sector. Among the provisions in the executive order was a directive to HHS to standardize plan options in the national health insurance marketplaces (i.e., the Exchanges) to facilitate improved comparison shopping for insurance plans. Additionally, on June 21, 2022, in the case of Marietta v. DaVita, the Supreme Court of the United States addressed the question of whether a group health plan that provides limited benefits for outpatient dialysis – but does so uniformly for all plan participants – violates the Medicare Secondary Payer Act (MSPA), a law which makes Medicare a “secondary” payer to an individual’s existing insurance plan for certain medical services, including dialysis, when that plan already covers the same services. Specifically, the Supreme Court held that because the Plan’s terms apply uniformly to all covered individuals, the Plan does not “differentiate in the benefits it provides” to individuals with ESRD or “take into account” whether an individual is entitled to or eligible for Medicare, and thus does not violate the MSPA.</w:t>
      </w:r>
    </w:p>
    <w:p>
      <w:pPr>
        <w:spacing w:after="0" w:line="64"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Other actions by the Biden administration, the Congress, state governments, third-party payors, and others could impact our business in ways that are difficult to predict but that could have a material adverse effect on our business and financial condition. For example,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also have a material adverse effect on our business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2022, we had 518 full-time employees, with 47% in our field sales and service teams and 53% in the rest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workforce hails from across industries, including technology, medical devices, life sciences and retail management.</w:t>
      </w:r>
    </w:p>
    <w:p>
      <w:pPr>
        <w:spacing w:after="0" w:line="103" w:lineRule="exact"/>
        <w:rPr>
          <w:sz w:val="20"/>
          <w:szCs w:val="20"/>
          <w:color w:val="auto"/>
        </w:rPr>
      </w:pPr>
    </w:p>
    <w:p>
      <w:pPr>
        <w:jc w:val="both"/>
        <w:ind w:right="220" w:firstLine="749"/>
        <w:spacing w:after="0" w:line="263" w:lineRule="auto"/>
        <w:rPr>
          <w:sz w:val="20"/>
          <w:szCs w:val="20"/>
          <w:color w:val="auto"/>
        </w:rPr>
      </w:pPr>
      <w:r>
        <w:rPr>
          <w:rFonts w:ascii="Arial" w:cs="Arial" w:eastAsia="Arial" w:hAnsi="Arial"/>
          <w:sz w:val="18"/>
          <w:szCs w:val="18"/>
          <w:color w:val="auto"/>
        </w:rPr>
        <w:t>As of December 31, 2022, our manufacturing facility in Tijuana, Mexico had 210 full-time team members on-site across quality, engineering, manufacturing, supply chain, and support functions. TACNA facilitates the hiring of new team members and is responsible for human resource functions and payroll processing.</w:t>
      </w:r>
    </w:p>
    <w:p>
      <w:pPr>
        <w:spacing w:after="0" w:line="76" w:lineRule="exact"/>
        <w:rPr>
          <w:sz w:val="20"/>
          <w:szCs w:val="20"/>
          <w:color w:val="auto"/>
        </w:rPr>
      </w:pPr>
    </w:p>
    <w:p>
      <w:pPr>
        <w:ind w:right="880" w:firstLine="749"/>
        <w:spacing w:after="0" w:line="277" w:lineRule="auto"/>
        <w:rPr>
          <w:sz w:val="20"/>
          <w:szCs w:val="20"/>
          <w:color w:val="auto"/>
        </w:rPr>
      </w:pPr>
      <w:r>
        <w:rPr>
          <w:rFonts w:ascii="Arial" w:cs="Arial" w:eastAsia="Arial" w:hAnsi="Arial"/>
          <w:sz w:val="18"/>
          <w:szCs w:val="18"/>
          <w:color w:val="auto"/>
        </w:rPr>
        <w:t>There are no unions represented within our employee base and no members of our workforce are covered under collective bargaining agreements.</w:t>
      </w:r>
    </w:p>
    <w:p>
      <w:pPr>
        <w:spacing w:after="0" w:line="62"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In 2021, we published our inaugural Environmental, Social, and Governance (ESG) Report, which we supplemented in September 2022 (as supplemented, our ESG Report). Our ESG Report is available on our website at https://investors.outsetmedical.com/environmental-social-and-governance and includes more detailed information on our human capital programs and initiatives. Nothing contained on or accessible through our website, including our ESG Report or sections thereof, shall be deemed incorporated by reference into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and Pay Philosophies</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We are committed to attracting the best talent we can find, while providing our employees with challenging work in a fast-paced environment. We recruit broadly and welcome diverse candidates. We have a principle that “everyone is a recruiter” and often hold crowd recruiting sessions to identify candidates collectively, and welcome employee referrals.</w:t>
      </w:r>
    </w:p>
    <w:p>
      <w:pPr>
        <w:spacing w:after="0" w:line="76"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Our work environment is goal-driven, and we believe in paying for outstanding performance and future potential. We offer competitive, market-based salaries, an annual cash bonus program tied to individual and company performance, a broad-based equity incentive compensation program including an employee stock purchase plan, a comprehensive benefits package, team incentives and peer incentives.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Management, Career Development and Engagement</w:t>
      </w:r>
    </w:p>
    <w:p>
      <w:pPr>
        <w:spacing w:after="0" w:line="117"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We have a structured approach for employee performance management, development and growth. Managers generally have two key performance conversations per year with their team members. Our year-end performance conversation is focused on evaluating the success and learnings of the past year. Our mid-year performance conversation is focused on skill development and future growth opportunities.</w:t>
      </w:r>
    </w:p>
    <w:p>
      <w:pPr>
        <w:spacing w:after="0" w:line="5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We offer numerous avenues for employees to gain experience, exposure and build new skills. For example, we have invested in various training and development opportunities for our employees, including programs taught by internal leaders or external speakers, a management development program, and access to on-demand learning resources.</w:t>
      </w:r>
    </w:p>
    <w:p>
      <w:pPr>
        <w:spacing w:after="0" w:line="76" w:lineRule="exact"/>
        <w:rPr>
          <w:sz w:val="20"/>
          <w:szCs w:val="20"/>
          <w:color w:val="auto"/>
        </w:rPr>
      </w:pPr>
    </w:p>
    <w:p>
      <w:pPr>
        <w:jc w:val="both"/>
        <w:ind w:right="200" w:firstLine="749"/>
        <w:spacing w:after="0" w:line="286" w:lineRule="auto"/>
        <w:rPr>
          <w:sz w:val="20"/>
          <w:szCs w:val="20"/>
          <w:color w:val="auto"/>
        </w:rPr>
      </w:pPr>
      <w:r>
        <w:rPr>
          <w:rFonts w:ascii="Arial" w:cs="Arial" w:eastAsia="Arial" w:hAnsi="Arial"/>
          <w:sz w:val="17"/>
          <w:szCs w:val="17"/>
          <w:color w:val="auto"/>
        </w:rPr>
        <w:t>We strongly believe in growing from within and provide opportunities for in-role stretch assignments, cross-group short assignments, internal mobility, and promotions. We conduct an enterprise-wide employee survey at least annually to monitor employee engagement and identify areas of focus for our human capital management program. Information on the results of these surveys is included in our ESG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 Strategy</w:t>
      </w:r>
    </w:p>
    <w:p>
      <w:pPr>
        <w:spacing w:after="0" w:line="117"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We are committed to creating and nurturing an inclusive workplace, where everyone feels respected, valued, and included – not only because it’s the right thing to do, but also because we strongly believe that it’s vital to our success and crucial to fully support the diverse communities we serve. We embrace diversity and equal opportunity in an intentional way. We are committed to building a team that represents a variety of backgrounds, perspectives, and skills. We believe that creating an environment where employees feel comfortable to speak up and share ideas means we all do great work.</w:t>
      </w:r>
    </w:p>
    <w:p>
      <w:pPr>
        <w:spacing w:after="0" w:line="49" w:lineRule="exact"/>
        <w:rPr>
          <w:sz w:val="20"/>
          <w:szCs w:val="20"/>
          <w:color w:val="auto"/>
        </w:rPr>
      </w:pPr>
    </w:p>
    <w:p>
      <w:pPr>
        <w:ind w:right="280" w:firstLine="749"/>
        <w:spacing w:after="0" w:line="272" w:lineRule="auto"/>
        <w:rPr>
          <w:sz w:val="20"/>
          <w:szCs w:val="20"/>
          <w:color w:val="auto"/>
        </w:rPr>
      </w:pPr>
      <w:r>
        <w:rPr>
          <w:rFonts w:ascii="Arial" w:cs="Arial" w:eastAsia="Arial" w:hAnsi="Arial"/>
          <w:sz w:val="17"/>
          <w:szCs w:val="17"/>
          <w:color w:val="auto"/>
        </w:rPr>
        <w:t>Our diversity, equity and inclusion strategy includes four key areas of focus: (1) raising awareness of disparities in kidney care across demographic groups, (2) broadening the diversity of our talent pools, (3) educating local students about career opportunities in the medical technology industry, and (4) elevating community volunteering opportunities. Our diversity, equity and inclusion strategy and related initiatives are overseen by our Chief People Officer, with active participation from our executive team, as well as support from our Better Together committee, an engaged group of employees responsible for ongoing evaluation and implementation. Our Board receives periodic updates at least annually on our diversity, equity and inclusion efforts. Additional information on our diversity, equity and inclusion strategy, including data regarding our U.S. workforce and new hire demographics by gender and ethnicity, are publicly disclosed in our ESG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Health and Safety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ind w:right="100" w:firstLine="749"/>
        <w:spacing w:after="0" w:line="259" w:lineRule="auto"/>
        <w:rPr>
          <w:sz w:val="20"/>
          <w:szCs w:val="20"/>
          <w:color w:val="auto"/>
        </w:rPr>
      </w:pPr>
      <w:r>
        <w:rPr>
          <w:rFonts w:ascii="Arial" w:cs="Arial" w:eastAsia="Arial" w:hAnsi="Arial"/>
          <w:sz w:val="18"/>
          <w:szCs w:val="18"/>
          <w:color w:val="auto"/>
        </w:rPr>
        <w:t>At Outset, safety is a priority and is part of everyone’s job. We are committed to providing a safe workplace and we comply with applicable health and safety laws and regulations. We strictly prohibit any violent or threatening behavior on our premises or during any work-related activities. Our employees participate in applicable emergency response training and periodic drills to help maintain awareness of security, safety and emergency response protocols.</w:t>
      </w:r>
    </w:p>
    <w:p>
      <w:pPr>
        <w:spacing w:after="0" w:line="79" w:lineRule="exact"/>
        <w:rPr>
          <w:sz w:val="20"/>
          <w:szCs w:val="20"/>
          <w:color w:val="auto"/>
        </w:rPr>
      </w:pPr>
    </w:p>
    <w:p>
      <w:pPr>
        <w:ind w:right="20" w:firstLine="794"/>
        <w:spacing w:after="0" w:line="263" w:lineRule="auto"/>
        <w:rPr>
          <w:sz w:val="20"/>
          <w:szCs w:val="20"/>
          <w:color w:val="auto"/>
        </w:rPr>
      </w:pPr>
      <w:r>
        <w:rPr>
          <w:rFonts w:ascii="Arial" w:cs="Arial" w:eastAsia="Arial" w:hAnsi="Arial"/>
          <w:sz w:val="18"/>
          <w:szCs w:val="18"/>
          <w:color w:val="auto"/>
        </w:rPr>
        <w:t>As an organization, one of our top priorities is to maintain the wellbeing of our employees and their families. Our comprehensive benefits program is designed to help employees balance their work lives and personal lives. We maintain a whole person wellbeing approach, providing resources to support physical, financial, professional and social wellbeing.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those reports, available free of charge at our website as soon as reasonably practicable after they have been filed with the Securities and Exchange Commission (SEC). Our website address is www.outsetmedical.com. Information on our website is not part of this report. The SEC maintains a website that contains the materials we file with the SEC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concerning our executive officers and directors as of the date of this Annual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40" w:type="dxa"/>
            <w:vAlign w:val="bottom"/>
            <w:tcBorders>
              <w:top w:val="single" w:sz="8" w:color="4BACC6"/>
            </w:tcBorders>
          </w:tcPr>
          <w:p>
            <w:pPr>
              <w:ind w:left="20"/>
              <w:spacing w:after="0"/>
              <w:rPr>
                <w:sz w:val="20"/>
                <w:szCs w:val="20"/>
                <w:color w:val="auto"/>
              </w:rPr>
            </w:pPr>
            <w:r>
              <w:rPr>
                <w:rFonts w:ascii="Arial" w:cs="Arial" w:eastAsia="Arial" w:hAnsi="Arial"/>
                <w:sz w:val="18"/>
                <w:szCs w:val="18"/>
                <w:b w:val="1"/>
                <w:bCs w:val="1"/>
                <w:color w:val="auto"/>
              </w:rPr>
              <w:t>Name</w:t>
            </w:r>
          </w:p>
        </w:tc>
        <w:tc>
          <w:tcPr>
            <w:tcW w:w="2300" w:type="dxa"/>
            <w:vAlign w:val="bottom"/>
            <w:tcBorders>
              <w:top w:val="single" w:sz="8" w:color="4BACC6"/>
            </w:tcBorders>
          </w:tcPr>
          <w:p>
            <w:pPr>
              <w:jc w:val="right"/>
              <w:ind w:right="310"/>
              <w:spacing w:after="0"/>
              <w:rPr>
                <w:sz w:val="20"/>
                <w:szCs w:val="20"/>
                <w:color w:val="auto"/>
              </w:rPr>
            </w:pPr>
            <w:r>
              <w:rPr>
                <w:rFonts w:ascii="Arial" w:cs="Arial" w:eastAsia="Arial" w:hAnsi="Arial"/>
                <w:sz w:val="18"/>
                <w:szCs w:val="18"/>
                <w:b w:val="1"/>
                <w:bCs w:val="1"/>
                <w:color w:val="auto"/>
              </w:rPr>
              <w:t>Age</w:t>
            </w:r>
          </w:p>
        </w:tc>
        <w:tc>
          <w:tcPr>
            <w:tcW w:w="5900" w:type="dxa"/>
            <w:vAlign w:val="bottom"/>
            <w:tcBorders>
              <w:top w:val="single" w:sz="8" w:color="4BACC6"/>
            </w:tcBorders>
          </w:tcPr>
          <w:p>
            <w:pPr>
              <w:ind w:left="2740"/>
              <w:spacing w:after="0"/>
              <w:rPr>
                <w:sz w:val="20"/>
                <w:szCs w:val="20"/>
                <w:color w:val="auto"/>
              </w:rPr>
            </w:pPr>
            <w:r>
              <w:rPr>
                <w:rFonts w:ascii="Arial" w:cs="Arial" w:eastAsia="Arial" w:hAnsi="Arial"/>
                <w:sz w:val="18"/>
                <w:szCs w:val="18"/>
                <w:b w:val="1"/>
                <w:bCs w:val="1"/>
                <w:color w:val="auto"/>
              </w:rPr>
              <w:t>Position(s)</w:t>
            </w:r>
          </w:p>
        </w:tc>
      </w:tr>
      <w:tr>
        <w:trPr>
          <w:trHeight w:val="225"/>
        </w:trPr>
        <w:tc>
          <w:tcPr>
            <w:tcW w:w="3040" w:type="dxa"/>
            <w:vAlign w:val="bottom"/>
            <w:tcBorders>
              <w:bottom w:val="single" w:sz="8" w:color="4BACC6"/>
            </w:tcBorders>
          </w:tcPr>
          <w:p>
            <w:pPr>
              <w:spacing w:after="0"/>
              <w:rPr>
                <w:sz w:val="19"/>
                <w:szCs w:val="19"/>
                <w:color w:val="auto"/>
              </w:rPr>
            </w:pPr>
          </w:p>
        </w:tc>
        <w:tc>
          <w:tcPr>
            <w:tcW w:w="2300" w:type="dxa"/>
            <w:vAlign w:val="bottom"/>
            <w:tcBorders>
              <w:bottom w:val="single" w:sz="8" w:color="4BACC6"/>
            </w:tcBorders>
          </w:tcPr>
          <w:p>
            <w:pPr>
              <w:spacing w:after="0"/>
              <w:rPr>
                <w:sz w:val="19"/>
                <w:szCs w:val="19"/>
                <w:color w:val="auto"/>
              </w:rPr>
            </w:pPr>
          </w:p>
        </w:tc>
        <w:tc>
          <w:tcPr>
            <w:tcW w:w="5900" w:type="dxa"/>
            <w:vAlign w:val="bottom"/>
            <w:tcBorders>
              <w:bottom w:val="single" w:sz="8" w:color="4BACC6"/>
            </w:tcBorders>
          </w:tcPr>
          <w:p>
            <w:pPr>
              <w:spacing w:after="0"/>
              <w:rPr>
                <w:sz w:val="19"/>
                <w:szCs w:val="19"/>
                <w:color w:val="auto"/>
              </w:rPr>
            </w:pPr>
          </w:p>
        </w:tc>
      </w:tr>
      <w:tr>
        <w:trPr>
          <w:trHeight w:val="224"/>
        </w:trPr>
        <w:tc>
          <w:tcPr>
            <w:tcW w:w="3040" w:type="dxa"/>
            <w:vAlign w:val="bottom"/>
            <w:shd w:val="clear" w:color="auto" w:fill="D2EAF1"/>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2300" w:type="dxa"/>
            <w:vAlign w:val="bottom"/>
            <w:shd w:val="clear" w:color="auto" w:fill="D2EAF1"/>
          </w:tcPr>
          <w:p>
            <w:pPr>
              <w:spacing w:after="0"/>
              <w:rPr>
                <w:sz w:val="19"/>
                <w:szCs w:val="19"/>
                <w:color w:val="auto"/>
              </w:rPr>
            </w:pPr>
          </w:p>
        </w:tc>
        <w:tc>
          <w:tcPr>
            <w:tcW w:w="5900" w:type="dxa"/>
            <w:vAlign w:val="bottom"/>
            <w:shd w:val="clear" w:color="auto" w:fill="D2EAF1"/>
          </w:tcPr>
          <w:p>
            <w:pPr>
              <w:spacing w:after="0"/>
              <w:rPr>
                <w:sz w:val="19"/>
                <w:szCs w:val="19"/>
                <w:color w:val="auto"/>
              </w:rPr>
            </w:pPr>
          </w:p>
        </w:tc>
      </w:tr>
      <w:tr>
        <w:trPr>
          <w:trHeight w:val="215"/>
        </w:trPr>
        <w:tc>
          <w:tcPr>
            <w:tcW w:w="3040" w:type="dxa"/>
            <w:vAlign w:val="bottom"/>
            <w:shd w:val="clear" w:color="auto" w:fill="D2EAF1"/>
          </w:tcPr>
          <w:p>
            <w:pPr>
              <w:spacing w:after="0"/>
              <w:rPr>
                <w:sz w:val="18"/>
                <w:szCs w:val="18"/>
                <w:color w:val="auto"/>
              </w:rPr>
            </w:pPr>
          </w:p>
        </w:tc>
        <w:tc>
          <w:tcPr>
            <w:tcW w:w="2300" w:type="dxa"/>
            <w:vAlign w:val="bottom"/>
            <w:shd w:val="clear" w:color="auto" w:fill="D2EAF1"/>
          </w:tcPr>
          <w:p>
            <w:pPr>
              <w:spacing w:after="0"/>
              <w:rPr>
                <w:sz w:val="18"/>
                <w:szCs w:val="18"/>
                <w:color w:val="auto"/>
              </w:rPr>
            </w:pPr>
          </w:p>
        </w:tc>
        <w:tc>
          <w:tcPr>
            <w:tcW w:w="5900" w:type="dxa"/>
            <w:vAlign w:val="bottom"/>
            <w:shd w:val="clear" w:color="auto" w:fill="D2EAF1"/>
          </w:tcPr>
          <w:p>
            <w:pPr>
              <w:spacing w:after="0"/>
              <w:rPr>
                <w:sz w:val="18"/>
                <w:szCs w:val="18"/>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Leslie Trigg</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52</w:t>
            </w:r>
          </w:p>
        </w:tc>
        <w:tc>
          <w:tcPr>
            <w:tcW w:w="5900" w:type="dxa"/>
            <w:vAlign w:val="bottom"/>
          </w:tcPr>
          <w:p>
            <w:pPr>
              <w:ind w:left="420"/>
              <w:spacing w:after="0"/>
              <w:rPr>
                <w:sz w:val="20"/>
                <w:szCs w:val="20"/>
                <w:color w:val="auto"/>
              </w:rPr>
            </w:pPr>
            <w:r>
              <w:rPr>
                <w:rFonts w:ascii="Arial" w:cs="Arial" w:eastAsia="Arial" w:hAnsi="Arial"/>
                <w:sz w:val="18"/>
                <w:szCs w:val="18"/>
                <w:color w:val="auto"/>
              </w:rPr>
              <w:t>President, Chief Executive Officer and Chair of the Board</w:t>
            </w:r>
          </w:p>
        </w:tc>
      </w:tr>
      <w:tr>
        <w:trPr>
          <w:trHeight w:val="215"/>
        </w:trPr>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230"/>
        </w:trPr>
        <w:tc>
          <w:tcPr>
            <w:tcW w:w="3040" w:type="dxa"/>
            <w:vAlign w:val="bottom"/>
            <w:shd w:val="clear" w:color="auto" w:fill="D2EAF1"/>
          </w:tcPr>
          <w:p>
            <w:pPr>
              <w:ind w:left="20"/>
              <w:spacing w:after="0"/>
              <w:rPr>
                <w:sz w:val="20"/>
                <w:szCs w:val="20"/>
                <w:color w:val="auto"/>
              </w:rPr>
            </w:pPr>
            <w:r>
              <w:rPr>
                <w:rFonts w:ascii="Arial" w:cs="Arial" w:eastAsia="Arial" w:hAnsi="Arial"/>
                <w:sz w:val="18"/>
                <w:szCs w:val="18"/>
                <w:color w:val="auto"/>
              </w:rPr>
              <w:t>Nabeel Ahmed</w:t>
            </w:r>
          </w:p>
        </w:tc>
        <w:tc>
          <w:tcPr>
            <w:tcW w:w="2300" w:type="dxa"/>
            <w:vAlign w:val="bottom"/>
            <w:shd w:val="clear" w:color="auto" w:fill="D2EAF1"/>
          </w:tcPr>
          <w:p>
            <w:pPr>
              <w:jc w:val="right"/>
              <w:ind w:right="310"/>
              <w:spacing w:after="0"/>
              <w:rPr>
                <w:sz w:val="20"/>
                <w:szCs w:val="20"/>
                <w:color w:val="auto"/>
              </w:rPr>
            </w:pPr>
            <w:r>
              <w:rPr>
                <w:rFonts w:ascii="Arial" w:cs="Arial" w:eastAsia="Arial" w:hAnsi="Arial"/>
                <w:sz w:val="18"/>
                <w:szCs w:val="18"/>
                <w:color w:val="auto"/>
              </w:rPr>
              <w:t>47</w:t>
            </w:r>
          </w:p>
        </w:tc>
        <w:tc>
          <w:tcPr>
            <w:tcW w:w="5900" w:type="dxa"/>
            <w:vAlign w:val="bottom"/>
            <w:shd w:val="clear" w:color="auto" w:fill="D2EAF1"/>
          </w:tcPr>
          <w:p>
            <w:pPr>
              <w:ind w:left="420"/>
              <w:spacing w:after="0"/>
              <w:rPr>
                <w:sz w:val="20"/>
                <w:szCs w:val="20"/>
                <w:color w:val="auto"/>
              </w:rPr>
            </w:pPr>
            <w:r>
              <w:rPr>
                <w:rFonts w:ascii="Arial" w:cs="Arial" w:eastAsia="Arial" w:hAnsi="Arial"/>
                <w:sz w:val="18"/>
                <w:szCs w:val="18"/>
                <w:color w:val="auto"/>
              </w:rPr>
              <w:t>Chief Financial Officer</w:t>
            </w:r>
          </w:p>
        </w:tc>
      </w:tr>
      <w:tr>
        <w:trPr>
          <w:trHeight w:val="215"/>
        </w:trPr>
        <w:tc>
          <w:tcPr>
            <w:tcW w:w="3040" w:type="dxa"/>
            <w:vAlign w:val="bottom"/>
            <w:shd w:val="clear" w:color="auto" w:fill="D2EAF1"/>
          </w:tcPr>
          <w:p>
            <w:pPr>
              <w:spacing w:after="0"/>
              <w:rPr>
                <w:sz w:val="18"/>
                <w:szCs w:val="18"/>
                <w:color w:val="auto"/>
              </w:rPr>
            </w:pPr>
          </w:p>
        </w:tc>
        <w:tc>
          <w:tcPr>
            <w:tcW w:w="2300" w:type="dxa"/>
            <w:vAlign w:val="bottom"/>
            <w:shd w:val="clear" w:color="auto" w:fill="D2EAF1"/>
          </w:tcPr>
          <w:p>
            <w:pPr>
              <w:spacing w:after="0"/>
              <w:rPr>
                <w:sz w:val="18"/>
                <w:szCs w:val="18"/>
                <w:color w:val="auto"/>
              </w:rPr>
            </w:pPr>
          </w:p>
        </w:tc>
        <w:tc>
          <w:tcPr>
            <w:tcW w:w="5900" w:type="dxa"/>
            <w:vAlign w:val="bottom"/>
            <w:shd w:val="clear" w:color="auto" w:fill="D2EAF1"/>
          </w:tcPr>
          <w:p>
            <w:pPr>
              <w:spacing w:after="0"/>
              <w:rPr>
                <w:sz w:val="18"/>
                <w:szCs w:val="18"/>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John L. Brottem</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5900" w:type="dxa"/>
            <w:vAlign w:val="bottom"/>
          </w:tcPr>
          <w:p>
            <w:pPr>
              <w:ind w:left="420"/>
              <w:spacing w:after="0"/>
              <w:rPr>
                <w:sz w:val="20"/>
                <w:szCs w:val="20"/>
                <w:color w:val="auto"/>
              </w:rPr>
            </w:pPr>
            <w:r>
              <w:rPr>
                <w:rFonts w:ascii="Arial" w:cs="Arial" w:eastAsia="Arial" w:hAnsi="Arial"/>
                <w:sz w:val="18"/>
                <w:szCs w:val="18"/>
                <w:color w:val="auto"/>
              </w:rPr>
              <w:t>General Counsel and Secretary</w:t>
            </w:r>
          </w:p>
        </w:tc>
      </w:tr>
      <w:tr>
        <w:trPr>
          <w:trHeight w:val="215"/>
        </w:trPr>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230"/>
        </w:trPr>
        <w:tc>
          <w:tcPr>
            <w:tcW w:w="3040" w:type="dxa"/>
            <w:vAlign w:val="bottom"/>
            <w:shd w:val="clear" w:color="auto" w:fill="D2EAF1"/>
          </w:tcPr>
          <w:p>
            <w:pPr>
              <w:ind w:left="20"/>
              <w:spacing w:after="0"/>
              <w:rPr>
                <w:sz w:val="20"/>
                <w:szCs w:val="20"/>
                <w:color w:val="auto"/>
              </w:rPr>
            </w:pPr>
            <w:r>
              <w:rPr>
                <w:rFonts w:ascii="Arial" w:cs="Arial" w:eastAsia="Arial" w:hAnsi="Arial"/>
                <w:sz w:val="18"/>
                <w:szCs w:val="18"/>
                <w:color w:val="auto"/>
              </w:rPr>
              <w:t>Stacey Porter</w:t>
            </w:r>
          </w:p>
        </w:tc>
        <w:tc>
          <w:tcPr>
            <w:tcW w:w="2300" w:type="dxa"/>
            <w:vAlign w:val="bottom"/>
            <w:shd w:val="clear" w:color="auto" w:fill="D2EAF1"/>
          </w:tcPr>
          <w:p>
            <w:pPr>
              <w:jc w:val="right"/>
              <w:ind w:right="310"/>
              <w:spacing w:after="0"/>
              <w:rPr>
                <w:sz w:val="20"/>
                <w:szCs w:val="20"/>
                <w:color w:val="auto"/>
              </w:rPr>
            </w:pPr>
            <w:r>
              <w:rPr>
                <w:rFonts w:ascii="Arial" w:cs="Arial" w:eastAsia="Arial" w:hAnsi="Arial"/>
                <w:sz w:val="18"/>
                <w:szCs w:val="18"/>
                <w:color w:val="auto"/>
              </w:rPr>
              <w:t>48</w:t>
            </w:r>
          </w:p>
        </w:tc>
        <w:tc>
          <w:tcPr>
            <w:tcW w:w="5900" w:type="dxa"/>
            <w:vAlign w:val="bottom"/>
            <w:shd w:val="clear" w:color="auto" w:fill="D2EAF1"/>
          </w:tcPr>
          <w:p>
            <w:pPr>
              <w:ind w:left="420"/>
              <w:spacing w:after="0"/>
              <w:rPr>
                <w:sz w:val="20"/>
                <w:szCs w:val="20"/>
                <w:color w:val="auto"/>
              </w:rPr>
            </w:pPr>
            <w:r>
              <w:rPr>
                <w:rFonts w:ascii="Arial" w:cs="Arial" w:eastAsia="Arial" w:hAnsi="Arial"/>
                <w:sz w:val="18"/>
                <w:szCs w:val="18"/>
                <w:color w:val="auto"/>
              </w:rPr>
              <w:t>Chief People Officer</w:t>
            </w:r>
          </w:p>
        </w:tc>
      </w:tr>
      <w:tr>
        <w:trPr>
          <w:trHeight w:val="215"/>
        </w:trPr>
        <w:tc>
          <w:tcPr>
            <w:tcW w:w="3040" w:type="dxa"/>
            <w:vAlign w:val="bottom"/>
            <w:shd w:val="clear" w:color="auto" w:fill="D2EAF1"/>
          </w:tcPr>
          <w:p>
            <w:pPr>
              <w:spacing w:after="0"/>
              <w:rPr>
                <w:sz w:val="18"/>
                <w:szCs w:val="18"/>
                <w:color w:val="auto"/>
              </w:rPr>
            </w:pPr>
          </w:p>
        </w:tc>
        <w:tc>
          <w:tcPr>
            <w:tcW w:w="2300" w:type="dxa"/>
            <w:vAlign w:val="bottom"/>
            <w:shd w:val="clear" w:color="auto" w:fill="D2EAF1"/>
          </w:tcPr>
          <w:p>
            <w:pPr>
              <w:spacing w:after="0"/>
              <w:rPr>
                <w:sz w:val="18"/>
                <w:szCs w:val="18"/>
                <w:color w:val="auto"/>
              </w:rPr>
            </w:pPr>
          </w:p>
        </w:tc>
        <w:tc>
          <w:tcPr>
            <w:tcW w:w="5900" w:type="dxa"/>
            <w:vAlign w:val="bottom"/>
            <w:shd w:val="clear" w:color="auto" w:fill="D2EAF1"/>
          </w:tcPr>
          <w:p>
            <w:pPr>
              <w:spacing w:after="0"/>
              <w:rPr>
                <w:sz w:val="18"/>
                <w:szCs w:val="18"/>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Jean-Olivier Racine</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41</w:t>
            </w:r>
          </w:p>
        </w:tc>
        <w:tc>
          <w:tcPr>
            <w:tcW w:w="5900" w:type="dxa"/>
            <w:vAlign w:val="bottom"/>
          </w:tcPr>
          <w:p>
            <w:pPr>
              <w:ind w:left="420"/>
              <w:spacing w:after="0"/>
              <w:rPr>
                <w:sz w:val="20"/>
                <w:szCs w:val="20"/>
                <w:color w:val="auto"/>
              </w:rPr>
            </w:pPr>
            <w:r>
              <w:rPr>
                <w:rFonts w:ascii="Arial" w:cs="Arial" w:eastAsia="Arial" w:hAnsi="Arial"/>
                <w:sz w:val="18"/>
                <w:szCs w:val="18"/>
                <w:color w:val="auto"/>
              </w:rPr>
              <w:t>Chief Technology Officer</w:t>
            </w:r>
          </w:p>
        </w:tc>
      </w:tr>
      <w:tr>
        <w:trPr>
          <w:trHeight w:val="215"/>
        </w:trPr>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230"/>
        </w:trPr>
        <w:tc>
          <w:tcPr>
            <w:tcW w:w="3040" w:type="dxa"/>
            <w:vAlign w:val="bottom"/>
            <w:shd w:val="clear" w:color="auto" w:fill="D2EAF1"/>
          </w:tcPr>
          <w:p>
            <w:pPr>
              <w:ind w:left="20"/>
              <w:spacing w:after="0"/>
              <w:rPr>
                <w:sz w:val="20"/>
                <w:szCs w:val="20"/>
                <w:color w:val="auto"/>
              </w:rPr>
            </w:pPr>
            <w:r>
              <w:rPr>
                <w:rFonts w:ascii="Arial" w:cs="Arial" w:eastAsia="Arial" w:hAnsi="Arial"/>
                <w:sz w:val="18"/>
                <w:szCs w:val="18"/>
                <w:color w:val="auto"/>
              </w:rPr>
              <w:t>Martín Vazquez</w:t>
            </w:r>
          </w:p>
        </w:tc>
        <w:tc>
          <w:tcPr>
            <w:tcW w:w="2300" w:type="dxa"/>
            <w:vAlign w:val="bottom"/>
            <w:shd w:val="clear" w:color="auto" w:fill="D2EAF1"/>
          </w:tcPr>
          <w:p>
            <w:pPr>
              <w:jc w:val="right"/>
              <w:ind w:right="310"/>
              <w:spacing w:after="0"/>
              <w:rPr>
                <w:sz w:val="20"/>
                <w:szCs w:val="20"/>
                <w:color w:val="auto"/>
              </w:rPr>
            </w:pPr>
            <w:r>
              <w:rPr>
                <w:rFonts w:ascii="Arial" w:cs="Arial" w:eastAsia="Arial" w:hAnsi="Arial"/>
                <w:sz w:val="18"/>
                <w:szCs w:val="18"/>
                <w:color w:val="auto"/>
              </w:rPr>
              <w:t>53</w:t>
            </w:r>
          </w:p>
        </w:tc>
        <w:tc>
          <w:tcPr>
            <w:tcW w:w="5900" w:type="dxa"/>
            <w:vAlign w:val="bottom"/>
            <w:shd w:val="clear" w:color="auto" w:fill="D2EAF1"/>
          </w:tcPr>
          <w:p>
            <w:pPr>
              <w:ind w:left="420"/>
              <w:spacing w:after="0"/>
              <w:rPr>
                <w:sz w:val="20"/>
                <w:szCs w:val="20"/>
                <w:color w:val="auto"/>
              </w:rPr>
            </w:pPr>
            <w:r>
              <w:rPr>
                <w:rFonts w:ascii="Arial" w:cs="Arial" w:eastAsia="Arial" w:hAnsi="Arial"/>
                <w:sz w:val="18"/>
                <w:szCs w:val="18"/>
                <w:color w:val="auto"/>
              </w:rPr>
              <w:t>Chief Operating Officer</w:t>
            </w:r>
          </w:p>
        </w:tc>
      </w:tr>
      <w:tr>
        <w:trPr>
          <w:trHeight w:val="215"/>
        </w:trPr>
        <w:tc>
          <w:tcPr>
            <w:tcW w:w="3040" w:type="dxa"/>
            <w:vAlign w:val="bottom"/>
            <w:shd w:val="clear" w:color="auto" w:fill="D2EAF1"/>
          </w:tcPr>
          <w:p>
            <w:pPr>
              <w:spacing w:after="0"/>
              <w:rPr>
                <w:sz w:val="18"/>
                <w:szCs w:val="18"/>
                <w:color w:val="auto"/>
              </w:rPr>
            </w:pPr>
          </w:p>
        </w:tc>
        <w:tc>
          <w:tcPr>
            <w:tcW w:w="2300" w:type="dxa"/>
            <w:vAlign w:val="bottom"/>
            <w:shd w:val="clear" w:color="auto" w:fill="D2EAF1"/>
          </w:tcPr>
          <w:p>
            <w:pPr>
              <w:spacing w:after="0"/>
              <w:rPr>
                <w:sz w:val="18"/>
                <w:szCs w:val="18"/>
                <w:color w:val="auto"/>
              </w:rPr>
            </w:pPr>
          </w:p>
        </w:tc>
        <w:tc>
          <w:tcPr>
            <w:tcW w:w="5900" w:type="dxa"/>
            <w:vAlign w:val="bottom"/>
            <w:shd w:val="clear" w:color="auto" w:fill="D2EAF1"/>
          </w:tcPr>
          <w:p>
            <w:pPr>
              <w:spacing w:after="0"/>
              <w:rPr>
                <w:sz w:val="18"/>
                <w:szCs w:val="18"/>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Steve Williamson</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50</w:t>
            </w:r>
          </w:p>
        </w:tc>
        <w:tc>
          <w:tcPr>
            <w:tcW w:w="5900" w:type="dxa"/>
            <w:vAlign w:val="bottom"/>
          </w:tcPr>
          <w:p>
            <w:pPr>
              <w:ind w:left="420"/>
              <w:spacing w:after="0"/>
              <w:rPr>
                <w:sz w:val="20"/>
                <w:szCs w:val="20"/>
                <w:color w:val="auto"/>
              </w:rPr>
            </w:pPr>
            <w:r>
              <w:rPr>
                <w:rFonts w:ascii="Arial" w:cs="Arial" w:eastAsia="Arial" w:hAnsi="Arial"/>
                <w:sz w:val="18"/>
                <w:szCs w:val="18"/>
                <w:color w:val="auto"/>
              </w:rPr>
              <w:t>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Leslie Trigg</w:t>
      </w:r>
    </w:p>
    <w:p>
      <w:pPr>
        <w:spacing w:after="0" w:line="117" w:lineRule="exact"/>
        <w:rPr>
          <w:sz w:val="20"/>
          <w:szCs w:val="20"/>
          <w:color w:val="auto"/>
        </w:rPr>
      </w:pPr>
    </w:p>
    <w:p>
      <w:pPr>
        <w:ind w:right="60" w:firstLine="749"/>
        <w:spacing w:after="0" w:line="288" w:lineRule="auto"/>
        <w:rPr>
          <w:sz w:val="20"/>
          <w:szCs w:val="20"/>
          <w:color w:val="auto"/>
        </w:rPr>
      </w:pPr>
      <w:r>
        <w:rPr>
          <w:rFonts w:ascii="Arial" w:cs="Arial" w:eastAsia="Arial" w:hAnsi="Arial"/>
          <w:sz w:val="16"/>
          <w:szCs w:val="16"/>
          <w:color w:val="auto"/>
        </w:rPr>
        <w:t>Leslie Trigg has served as our President and Chief Executive Officer and a member of our board of directors since November 2014 and as Chair of our Board since February 2022. Ms. Trigg joined the Company from Warburg Pincus, a private equity firm, where she was an Executive in Residence from March 2012 to March 2014. Prior to that, Ms. Trigg served in several roles at Lutonix (acquired by CR Bard), a medical device company, from January 2010 to February 2012, most recently as Executive Vice President, and as Chief Business Officer of AccessClosure (acquired by Cardinal Health), a medical device company, from September 2006 to June 2009. She also previously held positions with FoxHollow Technologies (acquired by ev3/Covidien), a manufacturer of devices to treat peripheral artery disease, Cytyc, a diagnostic and medical device company, Pro-Duct Health (acquired by Cytyc), a medical device company, and Guidant, a cardiovascular medical device company. Ms. Trigg has served on the board of directors of Adaptive Biotechnologies Corporation, a biotechnology company, since March 2021, and on the board of directors of ARYA Sciences Acquisition Corp IV, a special purpose acquisition company, since March 2021. Ms. Trigg also serves as the Chair of the board of directors of the Medical Device Manufacturers Association. Ms. Trigg holds a B.S. degree from Northwestern University and an M.B.A. from The Haas School of Business, UC Berkeley.</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Nabeel Ahmed</w:t>
      </w:r>
    </w:p>
    <w:p>
      <w:pPr>
        <w:spacing w:after="0" w:line="11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Nabeel Ahmed has served as our Chief Financial Officer since August 2021. Mr. Ahmed joined the Company in May 2020 as Vice President, Controller, was named Vice President, Finance in May 2021, and was appointed as Interim Chief Financial Officer effective July 2021. Prior to joining the Company, Mr. Ahmed served as Vice President, Finance at 8x8, Inc., a communications platform provider, from April 2019 through January 2020, and as Vice President, Finance at Vocera Communications, Inc., a provider of clinical communication and workflow solutions, from December 2014 through April 2019. Prior to that, he held various leadership positions in accounting and finance, including as CFO at Wanderful Media from 2013 to 2014, as well as Vice President, Finance and then CFO at MarketTools, Inc. from 2009 to 2012. Earlier in his career, Mr. Ahmed held various positions of increasing responsibility at Ernst &amp; Young LLP from 1997 to 2004 and at eBay, Inc. from 2004 to 2008. Mr. Ahmed holds a Bachelor of Commerce from Laurentian University and an M.B.A. from The Wharton School, University of Pennsylvania.</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John L. Brottem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20" w:firstLine="749"/>
        <w:spacing w:after="0" w:line="271" w:lineRule="auto"/>
        <w:rPr>
          <w:sz w:val="20"/>
          <w:szCs w:val="20"/>
          <w:color w:val="auto"/>
        </w:rPr>
      </w:pPr>
      <w:r>
        <w:rPr>
          <w:rFonts w:ascii="Arial" w:cs="Arial" w:eastAsia="Arial" w:hAnsi="Arial"/>
          <w:sz w:val="17"/>
          <w:szCs w:val="17"/>
          <w:color w:val="auto"/>
        </w:rPr>
        <w:t>John L. Brottem has served as our General Counsel and Secretary since May 2020. Prior to joining the Company, Mr. Brottem served in a number of roles at Omnicell, Inc., a leading provider of medication management automation solutions and adherence tools for healthcare systems and pharmacies: as Vice President, Legal and Deputy General Counsel from September 2019 to May 2020; as Vice President, Legal and Associate General Counsel from April 2016 to September 2019; and Senior Director, Legal and Associate General Counsel from November 2011 to April 2016. Prior to Omnicell, Mr. Brottem was Corporate Counsel at Brocade Communications Systems, Inc., a networking solutions company, from January 2009 to November 2011; Corporate Counsel at Foundry Networks, Inc., a networking solutions company, from February 2008 to January 2009; and Associate at Cooley Godward Kronish LLP, an international law firm, from November 2001 to February 2008. Mr. Brottem holds a B.A. from Occidental College and a J.D. from the University of California, Davis, School of Law.</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Stacey Porter</w:t>
      </w:r>
    </w:p>
    <w:p>
      <w:pPr>
        <w:spacing w:after="0" w:line="117"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Stacey Porter has served as our Chief People Officer since October 2021. Ms. Porter joined the Company in November 2018 as Vice President, People Operations. Prior to joining the Company, Ms. Porter served as Head of Global Talent Development at Intuitive Surgical, Inc., a manufacturer of robotic surgical systems, from October 2012 to November 2018. Prior to that, Ms. Porter held various leadership positions in talent development, including as Director, Global Talent Development at VMware, Inc. from 2011 to 2012, and as Head of Learning and Development at Roche Pharmaceuticals from 2005 to 2009. Ms. Porter holds a B.A. from University of Kentucky and a MSW from University of Louisville.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Jean-Olivier Racine</w:t>
      </w:r>
    </w:p>
    <w:p>
      <w:pPr>
        <w:spacing w:after="0" w:line="11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Jean-Olivier Racine has served as our Chief Technology Officer since June 2021. Mr. Racine joined the Company from Amazon.com, Inc., an electronic commerce and cloud computing company, where he served in a number of roles: as Head of Engineering and Science, AWS Health AI from June 2020 to June 2021, Head of Cloud Services and Alexa, Halo (a health wearable device) from October 2018 to June 2020, as Head of Digital Media Catalog Services, Fire TV from January 2013 to October 2018, and as Fluidity and Performance Lead, Fire Tablet, Launcher and Platform from November 2011 to February 2013. Prior to that, Mr. Racine was a Senior Programmer-Analyst at the Montréal Exchange from January 2011 to November 2011, and a Projects Leader at NexGen Ergonomics, Inc. from January 2008 to January 2011. Mr. Racine holds a B.Eng. degree and a M.Eng. degree from École de Technologie Supérieure.</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Martín Vazquez</w:t>
      </w:r>
    </w:p>
    <w:p>
      <w:pPr>
        <w:spacing w:after="0" w:line="11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Martín Vazquez has served as our Chief Operating Officer since November 2017. Prior to joining the Company, Mr. Vazquez was Vice President of North America Operations and Global Sales and Operations Planning at Abbott Rapid Dx (formerly Alere), a rapid point-of-care diagnostics company, from July 2015 to November 2017. Prior to that, Mr. Vazquez served as Vice President, Manufacturing Management/WW Operations at Becton Dickinson, a medical technology company, from March 2012 to June 2015, and Director Operations Mexico at Smiths Medical, a manufacturer of specialty medical devices, from May 2009 to March 2012. He also previously held positions with Integer Holdings (formerly Greatbatch Medical), a medical device manufacturing company, Alcon Laboratories, a subsidiary of Novartis AG focused on eye care products, Venusa, a medical device manufacturing company, and Ethicon (J&amp;J), a medical device company. Mr. Vazquez holds a B.S. from University of Texas at El Paso and an M.B.A. from The Marshall School of Business, University of Southern California.</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Steve Williamson</w:t>
      </w:r>
    </w:p>
    <w:p>
      <w:pPr>
        <w:spacing w:after="0" w:line="117"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Steve Williamson has served as our Chief Commercial Officer since November 2020. Prior to joining the Company, Mr. Williamson was Worldwide President, Peripheral Intervention at Becton, Dickinson and Company, a medical technology company, from January 2018 to November 2020, and President, Peripheral Vascular at C.R. Bard (now part of Becton, Dickinson and Company) from August 2012 to December 2017. Prior to that, he was Senior Vice President and General Manager, Gyn Surgical Products from December 2009 to August 2012 and Vice President of Sales and Marketing, Gyn Surgical Products from October 2007 to December 2009 with Hologic, Inc., a medical technology company. Mr. Williamson holds a B.B.A. from University of Massachusetts Amherst and an M.B.A. from Bentley University.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80" w:firstLine="749"/>
        <w:spacing w:after="0" w:line="259" w:lineRule="auto"/>
        <w:rPr>
          <w:sz w:val="20"/>
          <w:szCs w:val="20"/>
          <w:color w:val="auto"/>
        </w:rPr>
      </w:pPr>
      <w:r>
        <w:rPr>
          <w:rFonts w:ascii="Arial" w:cs="Arial" w:eastAsia="Arial" w:hAnsi="Arial"/>
          <w:sz w:val="18"/>
          <w:szCs w:val="18"/>
          <w:color w:val="auto"/>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7" w:lineRule="exact"/>
        <w:rPr>
          <w:sz w:val="20"/>
          <w:szCs w:val="20"/>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history of net losses and expectation that we will continue to incur losses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reduce manufacturing costs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attain market acceptance for Tablo among providers and patients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Concentration of our revenues in a single product and concentration of a large percentage of our revenues from our largest customer</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international manufacturing operations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into the home hemodialysis market and the expansion of the home hemodialysis market itself</w:t>
      </w:r>
    </w:p>
    <w:p>
      <w:pPr>
        <w:spacing w:after="0" w:line="117" w:lineRule="exact"/>
        <w:rPr>
          <w:rFonts w:ascii="Arial" w:cs="Arial" w:eastAsia="Arial" w:hAnsi="Arial"/>
          <w:sz w:val="18"/>
          <w:szCs w:val="18"/>
          <w:color w:val="auto"/>
        </w:rPr>
      </w:pPr>
    </w:p>
    <w:p>
      <w:pPr>
        <w:ind w:left="1140" w:right="920" w:hanging="383"/>
        <w:spacing w:after="0" w:line="342"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reliance on third-party suppliers, including single source suppliers and contract manufacturers, and our ability to overcome manufacturing disruptions, including any supply chain disruptions resulting from the recent COVID-19 pandemic</w:t>
      </w:r>
    </w:p>
    <w:p>
      <w:pPr>
        <w:spacing w:after="0" w:line="15" w:lineRule="exact"/>
        <w:rPr>
          <w:rFonts w:ascii="Arial" w:cs="Arial" w:eastAsia="Arial" w:hAnsi="Arial"/>
          <w:sz w:val="16"/>
          <w:szCs w:val="16"/>
          <w:color w:val="auto"/>
        </w:rPr>
      </w:pPr>
    </w:p>
    <w:p>
      <w:pPr>
        <w:ind w:left="1140" w:hanging="383"/>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pressures faced by our customers including staffing shortages and increased costs and the resulting cost-containment efforts of our current and potential customers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recent pandemic, natural or man-made disasters and similar events on our business</w:t>
      </w:r>
    </w:p>
    <w:p>
      <w:pPr>
        <w:spacing w:after="0" w:line="117" w:lineRule="exact"/>
        <w:rPr>
          <w:rFonts w:ascii="Arial" w:cs="Arial" w:eastAsia="Arial" w:hAnsi="Arial"/>
          <w:sz w:val="18"/>
          <w:szCs w:val="18"/>
          <w:color w:val="auto"/>
        </w:rPr>
      </w:pPr>
    </w:p>
    <w:p>
      <w:pPr>
        <w:ind w:left="1140" w:right="480" w:hanging="383"/>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innovating and improving Tablo, ensure strong product performance and reliability, offer high quality support, ensure proper training and use of Tablo, and increase our sales and marketing capabilities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effectively with existing manufacturers and new entrants</w:t>
      </w:r>
    </w:p>
    <w:p>
      <w:pPr>
        <w:spacing w:after="0" w:line="117" w:lineRule="exact"/>
        <w:rPr>
          <w:rFonts w:ascii="Arial" w:cs="Arial" w:eastAsia="Arial" w:hAnsi="Arial"/>
          <w:sz w:val="18"/>
          <w:szCs w:val="18"/>
          <w:color w:val="auto"/>
        </w:rPr>
      </w:pPr>
    </w:p>
    <w:p>
      <w:pPr>
        <w:ind w:left="1140" w:right="40" w:hanging="383"/>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manage privacy, information and data security risks, including our ability to adequately defend against, respond to and manage increasingly sophisticated cyberattacks in an increasingly complex cyber ecosystem</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of the sizes of the markets for Tablo</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manage our inventory</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disruptions of service provided by third parties that host our cloud-based ecosystem and information technology systems</w:t>
      </w:r>
    </w:p>
    <w:p>
      <w:pPr>
        <w:spacing w:after="0" w:line="128" w:lineRule="exact"/>
        <w:rPr>
          <w:rFonts w:ascii="Arial" w:cs="Arial" w:eastAsia="Arial" w:hAnsi="Arial"/>
          <w:sz w:val="17"/>
          <w:szCs w:val="17"/>
          <w:color w:val="auto"/>
        </w:rPr>
      </w:pPr>
    </w:p>
    <w:p>
      <w:pPr>
        <w:ind w:left="1140" w:right="120" w:hanging="383"/>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litigation, including product liability claims, and the expense and potential unavailability of insurance coverage for any liabilities resulting from Tablo</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credit agreements, including interest rate risk and our ability to meet certain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117" w:lineRule="exact"/>
        <w:rPr>
          <w:sz w:val="20"/>
          <w:szCs w:val="20"/>
          <w:color w:val="auto"/>
        </w:rPr>
      </w:pPr>
    </w:p>
    <w:p>
      <w:pPr>
        <w:ind w:left="1140" w:hanging="383"/>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recover from disruptions to our business and operations as a result of the prior shipment hold on Tablo for home use</w:t>
      </w:r>
    </w:p>
    <w:p>
      <w:pPr>
        <w:spacing w:after="0" w:line="128" w:lineRule="exact"/>
        <w:rPr>
          <w:rFonts w:ascii="Arial" w:cs="Arial" w:eastAsia="Arial" w:hAnsi="Arial"/>
          <w:sz w:val="17"/>
          <w:szCs w:val="17"/>
          <w:color w:val="auto"/>
        </w:rPr>
      </w:pPr>
    </w:p>
    <w:p>
      <w:pPr>
        <w:ind w:left="1140" w:right="40" w:hanging="383"/>
        <w:spacing w:after="0" w:line="296"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compliance with FDA and other medical device regulations applicable to our products and operations, including our ability to: comply with the post-market surveillance order recently issued by the FDA for Tablo; obtain and maintain necessary FDA regulatory clearance or approvals for Tablo, related products, or any future product modifications or new products; comply with ongoing FDA requirements, including related to the manufacturing, marketing and promotion of our products, and the ability of our suppliers to so comply; and manage the risks and expenses associated any clinical trials necessary to support future product submissions to the FDA</w:t>
      </w:r>
    </w:p>
    <w:p>
      <w:pPr>
        <w:spacing w:after="0" w:line="53" w:lineRule="exact"/>
        <w:rPr>
          <w:rFonts w:ascii="Arial" w:cs="Arial" w:eastAsia="Arial" w:hAnsi="Arial"/>
          <w:sz w:val="16"/>
          <w:szCs w:val="16"/>
          <w:color w:val="auto"/>
        </w:rPr>
      </w:pPr>
    </w:p>
    <w:p>
      <w:pPr>
        <w:ind w:left="1140" w:hanging="383"/>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Impact of potential changes to scope of coverage and reimbursement rates for dialysis treatments or healthcare reform measures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ind w:left="1140" w:right="260" w:hanging="383"/>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of potential adverse medical events associated with Tablo, product failures or malfunctions, or our failure to report such events to the FDA</w:t>
      </w:r>
    </w:p>
    <w:p>
      <w:pPr>
        <w:spacing w:after="0" w:line="62" w:lineRule="exact"/>
        <w:rPr>
          <w:rFonts w:ascii="Arial" w:cs="Arial" w:eastAsia="Arial" w:hAnsi="Arial"/>
          <w:sz w:val="18"/>
          <w:szCs w:val="18"/>
          <w:color w:val="auto"/>
        </w:rPr>
      </w:pPr>
    </w:p>
    <w:p>
      <w:pPr>
        <w:ind w:left="1140" w:right="960" w:hanging="383"/>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various laws and regulations regarding healthcare, data privacy and security, and environmental and occupational safety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17" w:lineRule="exact"/>
        <w:rPr>
          <w:sz w:val="20"/>
          <w:szCs w:val="20"/>
          <w:color w:val="auto"/>
        </w:rPr>
      </w:pPr>
    </w:p>
    <w:p>
      <w:pPr>
        <w:ind w:left="1140" w:right="160" w:hanging="383"/>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our patents, copyrights, trademarks and trade secrets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17" w:lineRule="exact"/>
        <w:rPr>
          <w:sz w:val="20"/>
          <w:szCs w:val="20"/>
          <w:color w:val="auto"/>
        </w:rPr>
      </w:pPr>
    </w:p>
    <w:p>
      <w:pPr>
        <w:ind w:left="1140" w:hanging="383"/>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the market price of our common stock in response to numerous factors regardless of our operating performance</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Influence of principal stockholders and management over matters subject to stockholder approval</w:t>
      </w:r>
    </w:p>
    <w:p>
      <w:pPr>
        <w:spacing w:after="0" w:line="117" w:lineRule="exact"/>
        <w:rPr>
          <w:rFonts w:ascii="Arial" w:cs="Arial" w:eastAsia="Arial" w:hAnsi="Arial"/>
          <w:sz w:val="18"/>
          <w:szCs w:val="18"/>
          <w:color w:val="auto"/>
        </w:rPr>
      </w:pPr>
    </w:p>
    <w:p>
      <w:pPr>
        <w:ind w:left="1140" w:right="46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organizational documents include certain provisions that may make a change of control more difficult, as well as exclusive forum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117" w:lineRule="exact"/>
        <w:rPr>
          <w:sz w:val="20"/>
          <w:szCs w:val="20"/>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resources associated with complying with the laws and regulations affecting public companies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maintain our corporate culture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potential future acquisitions or investments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anti-corruption, anti-bribery, anti-money laundering and similar laws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estimates or judgments relating to our accounting policies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relating to ESG factors</w:t>
      </w:r>
    </w:p>
    <w:p>
      <w:pPr>
        <w:spacing w:after="0" w:line="117"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and the other information set forth in this Annual Report, including our financial statements and the related notes and the section entitled “Management’s Discussion and Analysis of Financial Condition and Results of Operations”, as well as in other documents that we file with the SEC. The risks summarized above or described in full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62"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We have incurred losses since our inception and expect to continue to incur significant net losses for the foreseeable future. We have incurred net losses of $163.0 million, $131.9 million and $121.5 million for the years ended December 31, 2022, 2021, and 2020, respectively. As of December 31, 2022, we had $290.8 million in cash, cash equivalents, restricted cash and short-term investments, and an accumulated deficit of $789.0 million. Based on our current planned operations, we expect our existing cash, cash equivalents and short-term investments, cash generated from revenues from our products and services, and proceeds received and currently available from the debt financing described in Note 7, Term Loans, to our audited financial statements included in this Annual Report, will be sufficient to meet our anticipated needs for at least the next 12 months from the date of this Annual Report. We have based this estimate on assumptions that may prove to be wrong, and we could use our capital resources sooner than we currently expect.</w:t>
      </w:r>
    </w:p>
    <w:p>
      <w:pPr>
        <w:spacing w:after="0" w:line="58"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Our revenue is derived, and we expect it to continue to be derived, primarily from sales of Tablo, its associated consumables and related services. Because of its recent commercial introduction, Tablo currently has limited product and brand recognition. In addition, demand for Tablo may decline or may not increase as quickly as we expect. Our ability to generate revenue from sales of Tablo, associated consumables and related services, or from any products we may develop in the future, may not be sufficient to enable us to transition to profitability and generate positive cash flows.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firstLine="749"/>
        <w:spacing w:after="0" w:line="270" w:lineRule="auto"/>
        <w:rPr>
          <w:sz w:val="20"/>
          <w:szCs w:val="20"/>
          <w:color w:val="auto"/>
        </w:rPr>
      </w:pPr>
      <w:r>
        <w:rPr>
          <w:rFonts w:ascii="Arial" w:cs="Arial" w:eastAsia="Arial" w:hAnsi="Arial"/>
          <w:sz w:val="17"/>
          <w:szCs w:val="17"/>
          <w:color w:val="auto"/>
        </w:rPr>
        <w:t>We expect that our cost of service, sales and marketing, research and development, regulatory and other expenses will continue to increase as we expand our marketing efforts to increase adoption of Tablo, expand existing relationships with our customers, obtain regulatory clearances or approvals for future product enhancements to Tablo, and conduct clinical trials on Tablo. In addition, we expect our general and administrative expenses to increase due to the additional costs associated with scaling our business operations and continuing to operate as a public company, including due to legal, accounting, insurance, exchange listing and SEC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ability to achieve sustainable gross margins depends on the success of our initiatives designed to reduce the costs of manufacturing and producing our products, mitigate against supply chain challenges, and drive down service costs per console.</w:t>
      </w:r>
    </w:p>
    <w:p>
      <w:pPr>
        <w:spacing w:after="0" w:line="62"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We have undertaken a number of initiatives designed to reduce the cost of producing our products and otherwise mitigate against supply chain challenges. We established a manufacturing facility for the production of Tablo consoles in Mexico which we operate in collaboration with our outsourced business administration service provider, TACNA. During 2021, we fully insourced Tablo console manufacturing at this facility, which has lowered our costs of manufacturing and producing consoles. We continue to partner with contract manufacturers in the production of the Tablo cartridge. During 2022, we moved production of a majority of Tablo cartridges to a contract manufacturer in Mexico, while continuing to produce a portion through our contract manufacturer in Southeast Asia. We believe this transition has helped us achieve cost reductions through lower freight costs and mitigate against global supply chain challenges. Recently, in an effort to further our long-term gross margin expansion and supply continuity strategies and improve the flexibility of our operations, we initiated production of Tablo cartridges in-house at our manufacturing facility in Mexico which we operate in collaboration with TACNA, and we intend to increase the quantity of Tablo cartridges produced at this facility as we ramp our cartridge manufacturing capabilities during the remainder of the year.</w:t>
      </w:r>
    </w:p>
    <w:p>
      <w:pPr>
        <w:spacing w:after="0" w:line="77"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There is no guarantee that we will be able to sustain cost reductions, achieve planned cost reductions, or otherwise achieve the anticipated benefits from our various initiatives. For example, we may be unable to sustain the savings associated with producing consoles our manufacturing facility with TACNA, or the benefits we anticipate will result from insourcing Tablo cartridge production at this same facility may not materialize or be as significant as projected or realized within the timeframe we currently estimate. There may also be unforeseen occurrences that increase our costs, such as increased prices of raw materials, changes to labor costs, less favorable terms with third party suppliers, freight providers, or contract manufacturing partners, or disruptions to the operations of our contract manufacturers or third-party suppliers including as a result of the recent COVID-19 pandemic. For example, in late 2021, supply chain disruptions exacerbated by COVID-19 outbreaks and protocols escalated, and we faced increased supply constraints, which increased freight costs associated with the transportation of Tablo cartridges. See the risk factor below entitled “We depend upon third-party suppliers, including contract manufacturers and single source suppliers, making us vulnerable to supply problems and price fluctuations.” Our ability to maintain our product pricing is dependent on our customers’ recognition that the benefits outweigh the higher upfront purchase price. If we are unable to reduce our costs, if cost reductions or other anticipated benefits are less significant or less timely than projected or if we are unable to maintain our product pricing, we will not be able to achieve sustainable gross margins, which would adversely affect our ability to invest in and grow our business and adversely impact our business, financial condition and results of operations.</w:t>
      </w:r>
    </w:p>
    <w:p>
      <w:pPr>
        <w:spacing w:after="0" w:line="78"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Our ability to recognize our goal of expanding gross margins is also dependent on the success of our initiatives to better leverage our field service team and drive down service costs per console, including through our cloud-based data system, remote monitoring, remote diagnostics and repairs, and other enhancements designed to improve the performance and reliability of Tablo. If we are unable to continuously improve the performance and reliability of Tablo, broaden our installed base or if these initiatives are otherwise unsuccessful, we may fail to better leverage our field service team and drive down service costs per console within the timeframes we anticipate or at all, which could delay or prevent us from achieving sustainable gross margins, and adversely impact our financial condition, results of operation and future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Tablo will depend upon attaining significant market acceptance among providers and patients.</w:t>
      </w:r>
    </w:p>
    <w:p>
      <w:pPr>
        <w:spacing w:after="0" w:line="117"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Our success will depend, in part, on the acceptance of Tablo as safe, easy to learn, easy to use, clinically flexible, operationally versatile and, with respect to providers, cost effective. We began commercializing Tablo throughout the United States in 2018 and began the process to commercialize Tablo for home-based dialysis in 2020. Our limited commercialization experience makes it difficult to evaluate our current business and predict our future prospects. We cannot predict how quickly, if at all, providers and patients will accept Tablo or, if accepted, how frequently it will be used. These constituents must believe that Tablo offers benefits over traditional machines. The degree of market acceptance of Tablo will depend on a number of factors, including:</w:t>
      </w:r>
    </w:p>
    <w:p>
      <w:pPr>
        <w:spacing w:after="0" w:line="84" w:lineRule="exact"/>
        <w:rPr>
          <w:sz w:val="20"/>
          <w:szCs w:val="20"/>
          <w:color w:val="auto"/>
        </w:rPr>
      </w:pPr>
    </w:p>
    <w:p>
      <w:pPr>
        <w:ind w:left="1140" w:hanging="383"/>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providers and others in the medical community consider Tablo to be a safe and cost-effective treatment method;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and perceived advantages of Tablo over traditional machines;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6" w:name="page27"/>
    <w:bookmarkEnd w:id="26"/>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Tablo relative to our customers’ other capital and operating purchase requirements;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maintenance and upkeep using Tablo in relation to traditional machines;</w:t>
      </w:r>
    </w:p>
    <w:p>
      <w:pPr>
        <w:spacing w:after="0" w:line="117" w:lineRule="exact"/>
        <w:rPr>
          <w:rFonts w:ascii="Arial" w:cs="Arial" w:eastAsia="Arial" w:hAnsi="Arial"/>
          <w:sz w:val="18"/>
          <w:szCs w:val="18"/>
          <w:color w:val="auto"/>
        </w:rPr>
      </w:pPr>
    </w:p>
    <w:p>
      <w:pPr>
        <w:ind w:left="1140" w:right="260" w:hanging="383"/>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and convenience and ease of use of Tablo in the acute setting relative to outsourcing dialysis services to third-party providers;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convenience and ease of use of Tablo relative to traditional machines;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for Tablo;</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provide incremental data that show the clinical benefits and cost effectiveness of, and operational benefits from, Tablo;</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changes to the availability of coverage and adequate reimbursement for dialysis from payors, including government authorities;</w:t>
      </w:r>
    </w:p>
    <w:p>
      <w:pPr>
        <w:spacing w:after="0" w:line="128" w:lineRule="exact"/>
        <w:rPr>
          <w:rFonts w:ascii="Arial" w:cs="Arial" w:eastAsia="Arial" w:hAnsi="Arial"/>
          <w:sz w:val="17"/>
          <w:szCs w:val="17"/>
          <w:color w:val="auto"/>
        </w:rPr>
      </w:pPr>
    </w:p>
    <w:p>
      <w:pPr>
        <w:ind w:left="1140" w:right="360" w:hanging="383"/>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Tablo based on the collective buying power of the GPO members;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and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authorities</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sz w:val="20"/>
          <w:szCs w:val="20"/>
          <w:color w:val="auto"/>
        </w:rPr>
      </w:pPr>
    </w:p>
    <w:p>
      <w:pPr>
        <w:jc w:val="both"/>
        <w:ind w:right="80" w:firstLine="749"/>
        <w:spacing w:after="0" w:line="311" w:lineRule="auto"/>
        <w:rPr>
          <w:sz w:val="20"/>
          <w:szCs w:val="20"/>
          <w:color w:val="auto"/>
        </w:rPr>
      </w:pPr>
      <w:r>
        <w:rPr>
          <w:rFonts w:ascii="Arial" w:cs="Arial" w:eastAsia="Arial" w:hAnsi="Arial"/>
          <w:sz w:val="16"/>
          <w:szCs w:val="16"/>
          <w:color w:val="auto"/>
        </w:rPr>
        <w:t>Additionally, even if Tablo achieves widespread market acceptance, it may not maintain that market acceptance over time if competing products or technologies, which are more cost effective or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currently derive substantially all of our revenue from the sale of Tablo and associated consumables and are therefore highly dependent on Tablo for our success.</w:t>
      </w:r>
    </w:p>
    <w:p>
      <w:pPr>
        <w:spacing w:after="0" w:line="62"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We derive substantially all of our revenues from sales of Tablo and its associated consumables, with the remainder of our revenues largely coming from services provided for the support and maintenance of Tablo. Accordingly, our business is exposed to risks that our revenues are concentrated in a single product. As a result, any event that adversely affects Tablo or the market for Tablo and associated consumables could adversely affect our business, financial condition and results of operation.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customers are facing staffing shortages, increased costs and other financial pressures that have had, and may continue to have, a negative impact on our revenue.</w:t>
      </w:r>
    </w:p>
    <w:p>
      <w:pPr>
        <w:spacing w:after="0" w:line="62"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Healthcare providers (including our existing and prospective customers) are facing a nationwide shortage of qualified nurses and other clinical personnel due to long-term trends that have been exacerbated by the recent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resulting from the pandemic. There is a risk that the increased costs and other disruptions caused by the shortage of dialysis nurses, technicians and other staff could cause existing or prospective customers to delay continued investment in or adoption of new technologies and postpone purchasing decisions. For example, during 2022, our existing and potential customers faced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If our customers continue to face prolonged volatility, uncertainty, staffing shortages, rising costs and financial pressures, whether due to the ongoing effects of the pandemic, general macroeconomic conditions or otherwise, it could ultimately adversely impact our ability to expand existing customer relationships or attract new customers of Tablo, and have a material adverse effect on our bookings, revenues, results of operations, and, ultimately, our future growth and profitability.</w:t>
      </w:r>
    </w:p>
    <w:p>
      <w:pPr>
        <w:spacing w:after="0" w:line="63"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We recently launched a new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This pilot program is in its early stages and may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right="80"/>
        <w:spacing w:after="0" w:line="263" w:lineRule="auto"/>
        <w:rPr>
          <w:sz w:val="20"/>
          <w:szCs w:val="20"/>
          <w:color w:val="auto"/>
        </w:rPr>
      </w:pPr>
      <w:r>
        <w:rPr>
          <w:rFonts w:ascii="Arial" w:cs="Arial" w:eastAsia="Arial" w:hAnsi="Arial"/>
          <w:sz w:val="18"/>
          <w:szCs w:val="18"/>
          <w:color w:val="auto"/>
        </w:rPr>
        <w:t>be successful in achieving the objectives we intend and anticipate and ultimately, it may fail to meet our customers’ expectations, any of which could harm our reputation and customer relationships. In addition, the program may not generate sufficient returns to justify our investment, or may result in unanticipated costs, which could adversely impact our operating margins and results of operations.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from home-based dialysis is subject to certain risks and uncertainties, including around the adoption of Tablo in the home setting.</w:t>
      </w:r>
    </w:p>
    <w:p>
      <w:pPr>
        <w:spacing w:after="0" w:line="62"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In March 2020, Tablo was cleared by the FDA for patient use in the home of patients with acute and/or chronic renal failure, with or without ultrafiltration, and we intend to expand within the home market. However, this goal is subject to certain risks, including our ability to attract, retain and manage patients, our ability to continue regaining momentum in our home commercialization and marketing and rebuilding our home patient pipeline following the release of our prior home shipment hold in 2022, as well as our ability to further evolve our commercial infrastructure and sales processes as we scale our business in the home market. Our business strategy, including our pricing of Tablo, while informed by our limited history of selling Tablo in the home care setting, continues to be based in part on certain assumptions about the adoption of Tablo by home dialysis patients, as well as patient retention. If these assumptions about the home market are inaccurate and we are unable to increase our share of the home dialysis market by attracting new patients, or retain such market share once achieved, we would need to significantly change certain aspects of our business strategy, including the pricing of the Tablo console, associated consumables and support and maintenance, which could adversely affect our business, financial condition and results of operations.</w:t>
      </w:r>
    </w:p>
    <w:p>
      <w:pPr>
        <w:spacing w:after="0" w:line="77"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Our limited experience in the distribution, logistics and service support that relate to the use of Tablo in the home care setting may also negatively impact our ability to generate revenue from home-based dialysis. Currently, the provision of in-clinic and home dialysis is largely dominated by DaVita and Fresenius, and our expansion within the home dialysis market is dependent on our ability to grow new home programs with health systems and innovative dialysis clinic partners. In addition, patients and their care partners using Tablo for home dialysis may not successfully operate Tablo or may require increased service and support from us. Moreover, given the home dialysis market remains a relatively novel one for us, we also face the risk that we may encounter difficulties whose precise nature or magnitude we cannot accurately predict at this time, but which may have a material adverse effect on our business, financial condition or results of operations.</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With a significant portion of our manufacturing operations located outside of the United States, we may experience manufacturing disruptions, and be subject to additional risks associated with international manufacturing operations.</w:t>
      </w:r>
    </w:p>
    <w:p>
      <w:pPr>
        <w:spacing w:after="0" w:line="62"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We continue to rely primarily on contract manufacturing partners in Mexico and, to a lesser extent, in Southeast Asia, for the production of the Tablo cartridge. If any of our contract manufacturing partners’ facilities were disrupted, by labor disputes, work stoppages, public health crises such as the recent COVID-19 pandemic, riots, terrorism, vandalism, cyber security attacks, natural disaster or otherwise, it could cause substantial delays in our operations and result in our having insufficient Tablo cartridge in inventory to fulfill orders. Further, to the extent we seek to renew or renegotiate our arrangements with any of our contract manufacturing partners, and cannot agree to the terms and conditions of future contract manufacturing arrangements, or if any of our contract manufacturing partners terminate existing agreements with us, our ability to produce and sell Tablo cartridges could be delayed until an alternative manufacturing partner or arrangement is identified, a new contract manufacturing agreement is negotiated and new production lines are established.</w:t>
      </w:r>
    </w:p>
    <w:p>
      <w:pPr>
        <w:spacing w:after="0" w:line="192"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In addition, we have insourced the production of Tablo consoles at our manufacturing facility in Tijuana, Mexico which we operate in collaboration with our outsourced business administration service provider, TACNA. Recently, we also initiated production of Tablo cartridges in-house at this Mexico facility, and we intend to increase the quantity of Tablo cartridges produced at this facility as we ramp our cartridge manufacturing capabilities during the remainder of the year. Under our arrangement with TACNA, we control the operations, engineering, quality and materials supply functions at the facility, while TACNA provides manufacturing space, the workforce, utilities, cross-border logistics, local permits and licenses. We are subject to a number of additional risks associated with operating our Mexico-based manufacturing facility and increased international manufacturing operations generally, and many of these risks may heighten to the extent we ramp our cartridge manufacturing capabilities and increase our dependence on our Mexico-based manufacturing operations. We may experience strikes, work stoppages, work slowdowns, high personnel turnover, grievances, complaints, claims of unfair labor practices, other collective bargaining disputes or other labor disputes at our new facility. Our manufacturing operations at the facility may also suffer disruptions from global or regional public health crises such as the recent COVID-19 pandemic, natural disasters, cyber security attacks, vandalism, terrorism or other political hostilities. Any such occurrences could negatively impact our ability to produce Tablo consoles and cartridges. We are also subject to a variety of foreign laws and regulations, including trade and labor restrictions and laws relating to importation, exportation and taxation of goods, and U.S. laws and regulations relating to foreign operations, including anti-corruption, anti-bribery and anti-money laundering laws. In addition, because certain of our Mexico-based manufacturing operations incur costs that are denominated in Mexican Pesos (MXN), we are exposed to additional risk of currency fluctuations between the U.S. dollars (USD) and MXN, which could increase our product and labor costs, thus reducing our gross profit. Moreover, while certain members of our management team have some manufacturing experience, as an organization, we do not have any prior experience in this type of manufacturing arrangement, and we could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100"/>
        <w:spacing w:after="0" w:line="275" w:lineRule="auto"/>
        <w:rPr>
          <w:sz w:val="20"/>
          <w:szCs w:val="20"/>
          <w:color w:val="auto"/>
        </w:rPr>
      </w:pPr>
      <w:r>
        <w:rPr>
          <w:rFonts w:ascii="Arial" w:cs="Arial" w:eastAsia="Arial" w:hAnsi="Arial"/>
          <w:sz w:val="17"/>
          <w:szCs w:val="17"/>
          <w:color w:val="auto"/>
        </w:rPr>
        <w:t>accordingly experience other risks, the nature and magnitude of which we are unable to assess precisely at this time. Furthermore, we are subject to increased risks related to changes in export or import regulation, other trade barriers, security measures and uncertainties impacting the cost and the ability to move inventory and manufacturing equipment across the United States-Mexico border. These risks may disrupt our Mexico-based manufacturing operations, subject us to increased costs, restrict or delay our ability to deliver products to our customers and meet our customers’ demand on a timely basis, and result in customer dissatisfaction, all of which would adversely impact our results of operations.</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2"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We rely on third-party suppliers, including in some instances single source suppliers, to provide us with certain components of Tablo. The number of suppliers required for Tablo console production is in excess of 200 worldwide. We consider a discrete number of these suppliers, located in the United States, Mexico, Europe and Asia, as critical providers of components such as pumps, motors, valves and Printed Circuit Board Assembly (PCBA) boards. While we are undertaking a second source qualification process for the majority of these critical components, we may not ultimately be successful in securing second sourcing for all of them.</w:t>
      </w:r>
    </w:p>
    <w:p>
      <w:pPr>
        <w:spacing w:after="0" w:line="80"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In addition, we purchase supplies through purchase orders and do not have long-term supply agreements with, or guaranteed commitments from, our suppliers, including single source suppliers. Moreover, at present, we rely primarily on contract manufacturers for the production of the Tablo cartridge. Many of our suppliers and contract manufacturers are not obligated to perform services or supply products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including as a result of public health crises such as the recent COVID-19 pandemic, labor disputes, work stoppages, damage or interruption from fires, severe weather or other natural disasters, vandalism, terrorism or other political hostilities,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Further, if we fail to effectively manage our relationships with our suppliers and contract manufacturers, we may be required to change suppliers or contract manufacturers. While we believe replacement suppliers exist for all materials, components and services necessary to continue manufacturing our Tablo system, establishing additional or replacement suppliers for any of these materials, components or services could be time-consuming and expensive, may result in interruptions in our operations and product delivery, may affect the performance specifications of our Tablo system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Tablo system, the supply of our products to customers and the development of any future products will be delayed, limited or prevented, which could have material adverse effect on our business, financial condition and results of operations.</w:t>
      </w:r>
    </w:p>
    <w:p>
      <w:pPr>
        <w:spacing w:after="0" w:line="288"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For example, the COVID-19 pandemic disrupted the operations of certain of our third-party suppliers, resulting in increased lead-times, higher component costs and lower allocations for our purchases of some components (including certain critical components) and, in certain cases, requiring us to procure materials from alternative sources or incur higher logistical expenses. We worked closely with our manufacturing partners and suppliers to enable us to source key components and maintain appropriate inventory levels to meet customer demand, and have not experienced material disruptions in our supply chain to date. However, there is no assurance that we will not experience more significant disruptions in our supply chain in the future, particularly if the operations of our contract manufacturing partners, any of our critical single source component providers, or the facility we operate in Tijuana, Mexico in collaboration with our outsourced business administration service provider, TACNA, are more severely impacted by the pandemic and associated containment measures. If these contract manufacturers or suppliers experience disruptions as a result of the pandemic that impede their ability to meet our demand in a timely manner, we may be unable to find alternative sources of supply, be required to pay higher prices, or fail to meet customer demand, any of which would harm our business.</w:t>
      </w:r>
    </w:p>
    <w:p>
      <w:pPr>
        <w:spacing w:after="0" w:line="77"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Additionally, surges and shifts in consumer demand as the economy reopens, further exacerbated by COVID-19 outbreaks and protocols, have strained the global freight network and placed significant stress on air, ocean and ground freight carriers. This resulted in labor shortages, container and chassis shortages, reduced carrier capacity, carrier delays and longer lead times, shipment receiving and unloading backlogs at many U.S. ports, and escalating freight costs. During late 2021, these supply chain disruptions escalated, and, as a result, we faced increased supply chain constraints, notably with the transportation of Tablo cartridges from our contract manufacturing partner in Southeast Asia. As a result, we have faced, and may continue to face, increased transportation and related costs, and/or delays, associated with delivering adequate supply of Tablo treatments to our customers. We believe that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100"/>
        <w:spacing w:after="0" w:line="273" w:lineRule="auto"/>
        <w:rPr>
          <w:sz w:val="20"/>
          <w:szCs w:val="20"/>
          <w:color w:val="auto"/>
        </w:rPr>
      </w:pPr>
      <w:r>
        <w:rPr>
          <w:rFonts w:ascii="Arial" w:cs="Arial" w:eastAsia="Arial" w:hAnsi="Arial"/>
          <w:sz w:val="17"/>
          <w:szCs w:val="17"/>
          <w:color w:val="auto"/>
        </w:rPr>
        <w:t>transitioning production of a majority of Tablo cartridges during 2022 to a contract manufacturer in Mexico helped us achieve cost reductions through lower freight costs, and that our recent efforts to initiate production of Tablo cartridges in-house at our manufacturing facility in Mexico which we operate in collaboration with TACNA will help further our long-term gross margin expansion and supply continuity strategies as well as improve the flexibility of our operations. However, there is no assurance that we will not continue to face supply chain constraints. Continued escalation of these supply chain disruptions and a sustained rise in freight costs could negatively impact our ability to meet customer demand on a timely basis, result in customer dissatisfaction and adversely impact our operating margins and results of operation.</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recent COVID-19 pandemic, could adversely affect our business.</w:t>
      </w:r>
    </w:p>
    <w:p>
      <w:pPr>
        <w:spacing w:after="0" w:line="62"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If a pandemic, epidemic or outbreak of an infectious disease occurs in the United States or worldwide, our business may be adversely affected. For example, precautionary measures designed and in recent years implemented to contain the spread and mitigate the impact of COVID-19, such as travel restrictions, “shelter-in-place” orders, quarantines and business shutdowns, have impacted, and may in the future impact, many of the regions in which we, our customers and our suppliers operate. Moreover, new or more restrictive measures have and may continue to be adopted or reimposed if the pandemic worsens or evolves, including due to new variants of the COVID-19 virus. Disruptions or potential disruptions to our business from COVID-19 or a future pandemic include the inability of our suppliers to manufacture components and parts and to deliver these to us on a timely basis, or at all; disruptions in our production schedule and ability to manufacture and assemble products;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or to certain third parties, including suppliers and customers; delays to any clinical trials we are conducting or plan to conduct; delays in our ability to timely submit 510(k) notifications or PMAs or PMA supplements, as applicable, and to obtain clearance or approval from the FDA to market our products; and additional government requirements or other incremental mitigation efforts that may further impact our or our suppliers’ capacity to manufacture Tablo.</w:t>
      </w:r>
    </w:p>
    <w:p>
      <w:pPr>
        <w:spacing w:after="0" w:line="60"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For example, in response to the recent COVID-19 pandemic, we made modifications to our normal operations, employing precautionary measures designed to help protect our employees while providing ongoing support for our customers and their patients. Among other measures, we restricted non-essential travel of our employees and asked the majority of our employees to work from home. We have since moved toward more normal operations, including resuming business travel and on-site activity. Nevertheless, we may experience future disruptions as a result of the recent COVID-19 pandemic that could adversely impact the health and availability our workforce, particularly in light of the possibility of a resurgence of it and the emergence of new variants. If significant or critical portions of our workforce are unable to work effectively, or at all, as a result of the COVID-19 pandemic, including because of illness, quarantines, facility closures, ineffective remote work arrangements or technology failures or limitations, our operations would be materially adversely impacted.</w:t>
      </w:r>
    </w:p>
    <w:p>
      <w:pPr>
        <w:spacing w:after="0" w:line="7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extent, duration, and impact of the pandemic remain uncertain and depends on ongoing developments, including but not limited to any resurgences of the virus including emerging variant strains, actions taken to contain or mitigate its impact, as well as the direct and indirect economic effects of the pandemic and related containment measures. As a result, we cannot predict what effect COVID-19, the associated containment measures, and the related supply chain disruptions will ultimately have on our business and result of operations.</w:t>
      </w:r>
    </w:p>
    <w:p>
      <w:pPr>
        <w:spacing w:after="0" w:line="79"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The recent COVID-19 pandemic resulted in, and may in the future result in, significant disruption of global financial markets, which could result in a reduction in our ability to access capital and delays in payments of outstanding receivables that could adversely affect our liquidity. While the potential economic impact brought by, and the duration of any pandemic, epidemic or outbreak of an infectious disease, including COVID-19 or the resurgence of it, may be difficult to assess or predict, a recession or market correction resulting from the spread of an infectious disease, including COVID-19 or the resurgence of it, could materially affect our business. Such economic recession could very likely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provide strong product performance, customer dissatisfaction could adversely affect our reputation and results of operations.</w:t>
      </w:r>
    </w:p>
    <w:p>
      <w:pPr>
        <w:spacing w:after="0" w:line="129"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We need to maintain and continuously improve the performance and reliability of Tablo to achieve our profitability objectives. Poor product performance and reliability could lead to customer dissatisfaction, adversely affect our reputation and revenues, and increase our service and distribution costs and working capital requirements. Software and hardware incorporated into Tablo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 In addition, with our transition to manufacturing Tablo consoles at our facility in Tijuana, Mexico operated in collaboration with TACNA, and our plans to ramp production of Tablo cartridges in-house at this facility, we are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360"/>
        <w:spacing w:after="0" w:line="308" w:lineRule="auto"/>
        <w:rPr>
          <w:sz w:val="20"/>
          <w:szCs w:val="20"/>
          <w:color w:val="auto"/>
        </w:rPr>
      </w:pPr>
      <w:r>
        <w:rPr>
          <w:rFonts w:ascii="Arial" w:cs="Arial" w:eastAsia="Arial" w:hAnsi="Arial"/>
          <w:sz w:val="17"/>
          <w:szCs w:val="17"/>
          <w:color w:val="auto"/>
        </w:rPr>
        <w:t>more exposed to risks relating to product quality and reliability until the manufacturing processes mature. Like all transitions of this nature, they could increase our costs in the near-term and accordingly adversely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continue to innovate and improve Tablo, we could lose customers or market share.</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Our success will depend on our ability to keep ahead of developments in the dialysis industry. It is critical to our competitiveness that we continue to innovate and make improvements to Tablo’s functionality and efficiency. If we fail to make improvements to Tablo’s functionality over time, our competitors may develop products that offer features and functionality similar or superior to those of Tablo. If we fail to make improvements to Tablo’s efficiency, our competitors may develop products that are more cost effective than Tablo. Our failure to make continuous improvements to Tablo to keep ahead of the products of our competitors could result in the loss of customers or market share that would adversely affect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competition from many sources, including larger companies and new entrants, and we may be unable to compete successfully.</w:t>
      </w:r>
    </w:p>
    <w:p>
      <w:pPr>
        <w:spacing w:after="0" w:line="129"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There are a number of dialysis machine manufacturers in the United States, Europe and Asia. Notable competitors in the United States include Fresenius Medical Care AG &amp; Co. KGaA (Fresenius), Baxter International, Inc. (Baxter) and B. Braun Medical Inc. (B. Braun). In addition, Quanta Dialysis Technologies Ltd’s (Quanta) dialysis system received FDA 510(k) clearance for use in acute and/or chronic settings. Of these competitors, Fresenius is the largest and it supplies dialysis products, operates a significant number of dialysis clinics and provides outsourced dialysis services in many hospitals. Fresenius, Baxter and B. Braun all supply machines and supplies in both the acute and home care settings. With the exception of Quanta, all of these organizations are currently significantly larger with greater financial and personnel resources than us, enjoy significantly greater market share than ours and have greater resources than we do. As a consequence, they are able to spend more on product development, marketing, sales and other product initiatives than we can. Additionally, companies with dialysis machine development programs include Medtronic. Some of our competitors have:</w:t>
      </w:r>
    </w:p>
    <w:p>
      <w:pPr>
        <w:spacing w:after="0" w:line="57" w:lineRule="exact"/>
        <w:rPr>
          <w:sz w:val="20"/>
          <w:szCs w:val="20"/>
          <w:color w:val="auto"/>
        </w:rPr>
      </w:pPr>
    </w:p>
    <w:p>
      <w:pPr>
        <w:ind w:left="1140" w:hanging="38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payors;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17" w:lineRule="exact"/>
        <w:rPr>
          <w:rFonts w:ascii="Arial" w:cs="Arial" w:eastAsia="Arial" w:hAnsi="Arial"/>
          <w:sz w:val="18"/>
          <w:szCs w:val="18"/>
          <w:color w:val="auto"/>
        </w:rPr>
      </w:pPr>
    </w:p>
    <w:p>
      <w:pPr>
        <w:ind w:left="1140" w:right="620" w:hanging="383"/>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or bundle products to offer greater discounts or other incentives to gain a competitive advantage;</w:t>
      </w:r>
    </w:p>
    <w:p>
      <w:pPr>
        <w:spacing w:after="0" w:line="62" w:lineRule="exact"/>
        <w:rPr>
          <w:rFonts w:ascii="Arial" w:cs="Arial" w:eastAsia="Arial" w:hAnsi="Arial"/>
          <w:sz w:val="18"/>
          <w:szCs w:val="18"/>
          <w:color w:val="auto"/>
        </w:rPr>
      </w:pPr>
    </w:p>
    <w:p>
      <w:pPr>
        <w:ind w:left="1140" w:right="80" w:hanging="383"/>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for products; and</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17"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Further, we may compete with third party providers of outsourced dialysis services, including Fresenius. These organizations are significantly larger with greater financial, personnel and other resources than us and enjoy significantly greater market share and name recognition than us. As a result, these competitors may be able to adopt more aggressive pricing policies and devote greater resources to the promotion, marketing and sales of their services.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continued success depends on our ability to:</w:t>
      </w:r>
    </w:p>
    <w:p>
      <w:pPr>
        <w:spacing w:after="0" w:line="117" w:lineRule="exact"/>
        <w:rPr>
          <w:sz w:val="20"/>
          <w:szCs w:val="20"/>
          <w:color w:val="auto"/>
        </w:rPr>
      </w:pPr>
    </w:p>
    <w:p>
      <w:pPr>
        <w:ind w:left="1140" w:hanging="383"/>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further penetrate the acute care market and drive utilization and fleet expansion among our existing customers in the acute care setting;</w:t>
      </w:r>
    </w:p>
    <w:p>
      <w:pPr>
        <w:spacing w:after="0" w:line="140" w:lineRule="exact"/>
        <w:rPr>
          <w:rFonts w:ascii="Arial" w:cs="Arial" w:eastAsia="Arial" w:hAnsi="Arial"/>
          <w:sz w:val="16"/>
          <w:szCs w:val="16"/>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expand within the home dialysis market;</w:t>
      </w:r>
    </w:p>
    <w:p>
      <w:pPr>
        <w:spacing w:after="0" w:line="117"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cost-effectively manufacture Tablo and its component parts as well as drive down the cost of service;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 adoption of Tablo in the chronic outpatient facility setting via transitional care programs within existing dialysis clinics; and</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 Tablo’s economic, clinical, compliance and operational benefits relative to outsourcing dialysis services.</w:t>
      </w:r>
    </w:p>
    <w:p>
      <w:pPr>
        <w:spacing w:after="0" w:line="11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In addition, competitors, including those with greater financial resources than ours, could acquire, combine with or partner with other companies to gain enhanced name recognition and market share, as well as new technologies, products or services that could effectively compete with our existing solutions, which may cause our revenue to decline and would harm our business. For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1" w:name="page32"/>
    <w:bookmarkEnd w:id="31"/>
    <w:p>
      <w:pPr>
        <w:spacing w:after="0" w:line="257" w:lineRule="auto"/>
        <w:rPr>
          <w:sz w:val="20"/>
          <w:szCs w:val="20"/>
          <w:color w:val="auto"/>
        </w:rPr>
      </w:pPr>
      <w:r>
        <w:rPr>
          <w:rFonts w:ascii="Arial" w:cs="Arial" w:eastAsia="Arial" w:hAnsi="Arial"/>
          <w:sz w:val="18"/>
          <w:szCs w:val="18"/>
          <w:color w:val="auto"/>
        </w:rPr>
        <w:t>example, in May 2022, Medtronic and DaVita announced a joint venture to form a new independent company focused on kidney care, and in August 2022, Fresenius Health Partners (the value-based care division of Fresenius), InterWell Health and Cricket Health, Inc. merged the three businesses into a new independent company focused on kidney care. In the future, we may also face competition from new entrants or companies spun off from our larger competitors. For example, in January 2023, Baxter announced its plans to spin off its renal care business unit into a new independent company, which could ultimately result in another competitor for us.</w:t>
      </w:r>
    </w:p>
    <w:p>
      <w:pPr>
        <w:spacing w:after="0" w:line="80"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Our competitors also compete with us in recruiting and retaining qualified scientific, management and commercial personnel, as well as in acquiring technologies complementary to, or necessary for, Tablo. Because of the complex and technical nature of Tablo and the dynamic market in which we compete, any failure to attract and retain a sufficient number of qualified employees could materially harm our ability to develop and commercialize Tablo, which would have a material adverse effect on our business, financial condition and results of operations.</w:t>
      </w:r>
    </w:p>
    <w:p>
      <w:pPr>
        <w:spacing w:after="0" w:line="63" w:lineRule="exact"/>
        <w:rPr>
          <w:sz w:val="20"/>
          <w:szCs w:val="20"/>
          <w:color w:val="auto"/>
        </w:rPr>
      </w:pPr>
    </w:p>
    <w:p>
      <w:pPr>
        <w:jc w:val="both"/>
        <w:ind w:right="340" w:firstLine="749"/>
        <w:spacing w:after="0" w:line="311" w:lineRule="auto"/>
        <w:rPr>
          <w:sz w:val="20"/>
          <w:szCs w:val="20"/>
          <w:color w:val="auto"/>
        </w:rPr>
      </w:pPr>
      <w:r>
        <w:rPr>
          <w:rFonts w:ascii="Arial" w:cs="Arial" w:eastAsia="Arial" w:hAnsi="Arial"/>
          <w:sz w:val="16"/>
          <w:szCs w:val="16"/>
          <w:color w:val="auto"/>
        </w:rPr>
        <w:t>As we attain greater commercial success, our competitors are likely to develop products that offer features and functionality similar to Tablo. Improvements in existing competitive products or the introduction of new competitive products may make it more difficult for us to compete for sales, particularly if those competitive products demonstrate better reliability, convenience or effectiveness or are offered at lower prices.</w:t>
      </w:r>
    </w:p>
    <w:p>
      <w:pPr>
        <w:spacing w:after="0" w:line="41"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More generally, the development of viable medical, pharmacological and technological advances in treating or preventing kidney failure may also limit the opportunity for Tablo and our services. While kidney transplantation is the treatment of choice for most patients with ESRD, it is not currently a viable treatment for most patients. This may change, however, with the development of new medications designed to reduce the incidence of kidney transplant rejection, progress in using kidneys harvested from genetically engineered animals as a source of transplants as demonstrated by the first pig-to-human kidney transplant in September 2021, and other advances in kidney transplantation.</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additional costs, loss of revenue, significant liabilities, harm to our brand, decreased use of our platform and business disruption if there are any security or data privacy breaches or other unauthorized or improper access.</w:t>
      </w:r>
    </w:p>
    <w:p>
      <w:pPr>
        <w:spacing w:after="0" w:line="62"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In connection with various facets of our business, we collect and use a variety of personal information as part of the Tablo data ecosystem, such as name, street address, email addresses, mobile telephone number, and prescription information. Security breaches, computer malware and computer hacking attacks have become more prevalent across industries and may occur on our systems or those of our third-party service providers, suppliers or other partners. Despite the implementation of security measures, our internal computer systems and those of our third-party service providers, suppliers and other partners are vulnerable to damage from computer viruses, hacking and other means of unauthorized access, denial of service and other attacks,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Further, we may face increased cybersecurity risks due to our reliance on internet technology and the number of our employees who may work remotely, which may create additional opportunities for cybercriminals to exploit vulnerabilities.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Any failure to prevent or mitigate security breaches or improper access to, or use or disclosure of, our data or consumers’ personal information, including information hosted by third party service providers such as Amazon Web Services (AWS), could result in significant liability under applicable data protection laws, such as state breach notification laws and the HIPAA and its implementing regulations. Such an incident may also cause a material loss of revenue from the potential adverse impact to our reputation and brand, affect our ability to retain or attract new users of Tablo and potentially disrupt our business, as well as require significant expenditure of resources to contain, mitigate and remediate the incident. Because the techniques used to obtain unauthorized access, disable or degrade service or sabotage systems change frequently or may be designed to remain dormant until a predetermined or other future event and often are not recognized until launched against a target, we and our partners may be unable to anticipate these techniques or to implement adequate preventative measures. Further, we do not have any direct control over the operations of the facilities or technology of AWS or our other cloud and service providers. Our systems, servers and platforms, those of our cloud service providers, and Tablo’s two-way wireless communication system, may be vulnerable to computer viruses or physical or electronic break-ins that our or their security measures may not detect or effectively block, and may be breached due to the actions of outside parties, employee error or misconduct, malfeasance, or a combination of these and, as a result, an unauthorized party may obtain access to our data or the personal information maintained by us or on our behalf. Additionally, outside parties may attempt to fraudulently induce employees to disclose sensitive information in order to gain access to the data and personal information we maintain. Threat actors, including individuals, criminal groups, state sponsored actors or others may be able to circumvent such security measures and misappropriate our confidential or proprietary information, disrupt our operations, corrupt our data, damage our computers or otherwise impair our reputation and business. We may need to expend significant resources and make significant capital investment to protect against security breaches or to mitigate the impact of any such breaches. In addition, to the extent that our cloud and other service providers experience security breaches that result in the unauthorized or improper use of confidential information, employee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280"/>
        <w:spacing w:after="0" w:line="259" w:lineRule="auto"/>
        <w:rPr>
          <w:sz w:val="20"/>
          <w:szCs w:val="20"/>
          <w:color w:val="auto"/>
        </w:rPr>
      </w:pPr>
      <w:r>
        <w:rPr>
          <w:rFonts w:ascii="Arial" w:cs="Arial" w:eastAsia="Arial" w:hAnsi="Arial"/>
          <w:sz w:val="18"/>
          <w:szCs w:val="18"/>
          <w:color w:val="auto"/>
        </w:rPr>
        <w:t>information or personal information, we may not be indemnified for any losses resulting from such breaches.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As of December 31, 2022, we had 518 full-time employees. Over the next several years, we expect to increase the scope of our operations, particularly in the areas of manufacturing and commercial functions, including sales and marketing and field service, as well as in research and development and general and administrative functions to support our growth.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including the establishment of our manufacturing facility in Tijuana, Mexico, may lead to significant costs and may divert our management and business development resources. Any inability to manage growth could delay the execution of our business plans or disrupt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home hemodialysis market may not expand sufficiently to support our growth prospects.</w:t>
      </w:r>
    </w:p>
    <w:p>
      <w:pPr>
        <w:spacing w:after="0" w:line="117" w:lineRule="exact"/>
        <w:rPr>
          <w:sz w:val="20"/>
          <w:szCs w:val="20"/>
          <w:color w:val="auto"/>
        </w:rPr>
      </w:pPr>
    </w:p>
    <w:p>
      <w:pPr>
        <w:ind w:right="260" w:firstLine="749"/>
        <w:spacing w:after="0" w:line="286" w:lineRule="auto"/>
        <w:rPr>
          <w:sz w:val="20"/>
          <w:szCs w:val="20"/>
          <w:color w:val="auto"/>
        </w:rPr>
      </w:pPr>
      <w:r>
        <w:rPr>
          <w:rFonts w:ascii="Arial" w:cs="Arial" w:eastAsia="Arial" w:hAnsi="Arial"/>
          <w:sz w:val="17"/>
          <w:szCs w:val="17"/>
          <w:color w:val="auto"/>
        </w:rPr>
        <w:t>We believe a significant growth opportunity exists within the home hemodialysis market. However, home hemodialysis therapies to date have not been extensively adopted. We believe that the home hemodialysis market is sufficient to fuel our growth in the near term if we are able to capture sufficient market share; however, there can be no assurance that we will be successful in increasing our market share.</w:t>
      </w:r>
    </w:p>
    <w:p>
      <w:pPr>
        <w:spacing w:after="0" w:line="57"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Our long-term growth will require us to shift patients’ and the medical community’s understanding and view of home hemodialysis and will require greater acceptance of home hemodialysis from patients as compared to current levels, physicians who are willing to prescribe home hemodialysis, and dialysis centers that are willing to support home hemodialysis growth. Most dialysis centers presently do not have the infrastructure to support a significant home hemodialysis patient population, including the availability of home hemodialysis training nurses, and may not be motivated to invest in home hemodialysis programs. The nationwide shortage of nurses and other clinical personnel that has been exacerbated by the COVID-19 pandemic poses increased challenges for dialysis centers looking to retain or attract the staff necessary to support a home hemodialysis program. We will need to continue to devote significant resources to support the expansion of the home hemodialysis market, but these efforts ultimately may not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traditionally have had significant customer concentration, with our largest customer accounting for a large portion of our revenues.</w:t>
      </w:r>
    </w:p>
    <w:p>
      <w:pPr>
        <w:spacing w:after="0" w:line="129"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For the year ended December 31, 2022, our largest customer accounted for 14% of revenues. There are risks whenever a large percentage of total revenues are concentrated with a limited number of customers. It is not possible for us to predict the level of demand for Tablo that will be generated by any of these customers in the future. In addition, revenues from these larger customers may fluctuate from time to time based on these customers’ business needs and customer experience, the timing of which may be affected by market conditions or other factors outside of our control. Furthermore, because our business model consists of an upfront capital purchase by our customers, and relatively lower recurring revenue from future sales of consumables and services, revenues from these larger customers may not represent a substantial portion of our revenues in future periods. These customers could also potentially pressure us to reduce the prices we charge for Tablo, which could have an adverse effect on our margins and financial position and could negatively affect our revenues and results of operations. If any of our largest customers terminates its relationship with us, such termination could negatively affect our revenues and results of operations.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62"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Northern California. Any of our facilities may be harmed or rendered inoperable by natural or man-made disasters, including earthquakes, wildfires, floods, nuclear disasters, riots, acts of terrorism or other criminal activities, infectious disease outbreaks or pandemic events, including the recent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our facility in Mexico and the facilities of our suppliers and manufacturers may be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380"/>
        <w:spacing w:after="0" w:line="277" w:lineRule="auto"/>
        <w:rPr>
          <w:sz w:val="20"/>
          <w:szCs w:val="20"/>
          <w:color w:val="auto"/>
        </w:rPr>
      </w:pPr>
      <w:r>
        <w:rPr>
          <w:rFonts w:ascii="Arial" w:cs="Arial" w:eastAsia="Arial" w:hAnsi="Arial"/>
          <w:sz w:val="18"/>
          <w:szCs w:val="18"/>
          <w:color w:val="auto"/>
        </w:rPr>
        <w:t>harmed or rendered inoperable by such natural or man-made disasters, which may cause disruptions, difficulties or otherwise materially and adversely affect our business.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Any failure to offer high-quality product support for Tablo may adversely affect our relationships with providers and negatively impact our reputation among patients and providers, which may adversely affect our business, financial condition, and results of operations.</w:t>
      </w:r>
    </w:p>
    <w:p>
      <w:pPr>
        <w:spacing w:after="0" w:line="38"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We operate a multichannel model, including remote and on-site product support to respond to and resolve issues reported to us by providers and nurses on behalf of their patients. In implementing and using Tablo, providers depend on our support to resolve product quality- and performance-related issues in a timely manner. We may be unable to respond quickly enough to accommodate short-term increases in demand for customer support. Increased customer demand for product support could increase costs and adversely affect our business, financial condition and results of operations. Our sales are highly dependent on our reputation and on positive recommendations from our existing patients, care partners and providers. Any failure to maintain high-quality customer support for our products, or a market perception that we do not maintain high-quality customer support for our products, could adversely affect our reputation, our ability to sell Tablo, and in turn our business, results of operations, and financial condition.</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Tablo and manage our inventory.</w:t>
      </w:r>
    </w:p>
    <w:p>
      <w:pPr>
        <w:spacing w:after="0" w:line="62" w:lineRule="exact"/>
        <w:rPr>
          <w:sz w:val="20"/>
          <w:szCs w:val="20"/>
          <w:color w:val="auto"/>
        </w:rPr>
      </w:pPr>
    </w:p>
    <w:p>
      <w:pPr>
        <w:ind w:right="80" w:firstLine="749"/>
        <w:spacing w:after="0" w:line="287" w:lineRule="auto"/>
        <w:rPr>
          <w:sz w:val="20"/>
          <w:szCs w:val="20"/>
          <w:color w:val="auto"/>
        </w:rPr>
      </w:pPr>
      <w:r>
        <w:rPr>
          <w:rFonts w:ascii="Arial" w:cs="Arial" w:eastAsia="Arial" w:hAnsi="Arial"/>
          <w:sz w:val="16"/>
          <w:szCs w:val="16"/>
          <w:color w:val="auto"/>
        </w:rPr>
        <w:t>To ensure adequate inventory supply, we must forecast inventory needs and manufacture the Tablo console and the Tablo cartridge based on our estimates of future demand for Tablo. Our ability to accurately forecast demand for Tablo could be negatively affected by many factors, including our failure to accurately manage our expansion strategy, product introductions by competitors, an increase or decrease in customer demand for Tablo or for products of our competitors, our failure to accurately forecast customer acceptance of new products, potential disruption in our supply chain from regional or global public health crises including the recent COVID-19 pandemic,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Tablo,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Inadequate training of, and improper use of Tablo by, nurses, dialysis technicians, care partners and patients may lead to negative patient outcomes, affect adoption of Tablo and adversely affect our business.</w:t>
      </w:r>
    </w:p>
    <w:p>
      <w:pPr>
        <w:spacing w:after="0" w:line="62"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The success of Tablo depends in part on the proper training and use of Tablo by nurses and dialysis technicians in the acute setting or patients and care partners in the home setting. We train nurses and dialysis technicians on the appropriate use of Tablo, as well as how to train other users, including patients and care partners who use Tablo in the home setting, on the appropriate use of Tablo. If nurses and dialysis technicians, including those we train directly and those trained by others, or patients and care partners, who are not trained by us directly, use Tablo inappropriately or incorrectly, or with supplies that are not compatible with Tablo or without adhering to or completing training sessions, patient outcomes may not be consistent with expected results. This may result in adverse events, including reduced treatment efficacy, and may negatively impact the perception of patient benefit and safety and limit adoption of Tablo, which would have a material adverse effect on our business, financial condition and results of operations. In addition, we may face liability for inadequate training and training materials for nurses and other providers who use our products.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Our quarterly and annual results of operation, including our revenue, gross margin, profitability and cash flows,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80" w:lineRule="exact"/>
        <w:rPr>
          <w:sz w:val="20"/>
          <w:szCs w:val="20"/>
          <w:color w:val="auto"/>
        </w:rPr>
      </w:pPr>
    </w:p>
    <w:p>
      <w:pPr>
        <w:ind w:left="1140" w:right="40" w:hanging="383"/>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Tablo, which may vary significantly, our ability to accurately forecast and meet customer demand and the timing of customer orders and installation schedules;</w:t>
      </w:r>
    </w:p>
    <w:p>
      <w:pPr>
        <w:spacing w:after="0" w:line="62" w:lineRule="exact"/>
        <w:rPr>
          <w:rFonts w:ascii="Arial" w:cs="Arial" w:eastAsia="Arial" w:hAnsi="Arial"/>
          <w:sz w:val="18"/>
          <w:szCs w:val="18"/>
          <w:color w:val="auto"/>
        </w:rPr>
      </w:pPr>
    </w:p>
    <w:p>
      <w:pPr>
        <w:ind w:left="1140" w:right="260" w:hanging="383"/>
        <w:spacing w:after="0" w:line="308"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manufacturing Tablo, which may vary depending on the quantity of production, the terms of our agreements with third- party suppliers and manufacturers, costs of raw materials and components, and any related foreign currency impact;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17" w:lineRule="exact"/>
        <w:rPr>
          <w:rFonts w:ascii="Arial" w:cs="Arial" w:eastAsia="Arial" w:hAnsi="Arial"/>
          <w:sz w:val="18"/>
          <w:szCs w:val="18"/>
          <w:color w:val="auto"/>
        </w:rPr>
      </w:pPr>
    </w:p>
    <w:p>
      <w:pPr>
        <w:ind w:left="1140" w:right="48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62" w:lineRule="exact"/>
        <w:rPr>
          <w:rFonts w:ascii="Arial" w:cs="Arial" w:eastAsia="Arial" w:hAnsi="Arial"/>
          <w:sz w:val="18"/>
          <w:szCs w:val="18"/>
          <w:color w:val="auto"/>
        </w:rPr>
      </w:pPr>
    </w:p>
    <w:p>
      <w:pPr>
        <w:ind w:left="1140" w:right="80" w:hanging="383"/>
        <w:spacing w:after="0" w:line="34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degree of competition in our industry and any change in the competitive landscape of our industry, including product enhancements or the introduction of new products or technologies by our competitors, or consolidation among our competitors or future partners;</w:t>
      </w:r>
    </w:p>
    <w:p>
      <w:pPr>
        <w:spacing w:after="0" w:line="15"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dialysis equipment, and potential future products that compete with Tablo;</w:t>
      </w:r>
    </w:p>
    <w:p>
      <w:pPr>
        <w:spacing w:after="0" w:line="128" w:lineRule="exact"/>
        <w:rPr>
          <w:rFonts w:ascii="Arial" w:cs="Arial" w:eastAsia="Arial" w:hAnsi="Arial"/>
          <w:sz w:val="17"/>
          <w:szCs w:val="17"/>
          <w:color w:val="auto"/>
        </w:rPr>
      </w:pPr>
    </w:p>
    <w:p>
      <w:pPr>
        <w:ind w:left="1140" w:right="44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Tablo or any enhancements to Tablo we develop, or changes made to competing products;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positive or negative coverage, or public perception, of Tablo or products of our competitors or broader industry trends;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if any, that the recent COVID-19 pandemic may have on our operations, financial results and the number of patients treated;</w:t>
      </w:r>
    </w:p>
    <w:p>
      <w:pPr>
        <w:spacing w:after="0" w:line="140" w:lineRule="exact"/>
        <w:rPr>
          <w:rFonts w:ascii="Arial" w:cs="Arial" w:eastAsia="Arial" w:hAnsi="Arial"/>
          <w:sz w:val="16"/>
          <w:szCs w:val="16"/>
          <w:color w:val="auto"/>
        </w:rPr>
      </w:pPr>
    </w:p>
    <w:p>
      <w:pPr>
        <w:ind w:left="1140" w:right="440" w:hanging="383"/>
        <w:spacing w:after="0" w:line="34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licenses, regulatory approval, commercialization activities, acquisitions and other strategic transactions, or other significant events relating to Tablo, which may change from time to time;</w:t>
      </w:r>
    </w:p>
    <w:p>
      <w:pPr>
        <w:spacing w:after="0" w:line="15" w:lineRule="exact"/>
        <w:rPr>
          <w:rFonts w:ascii="Arial" w:cs="Arial" w:eastAsia="Arial" w:hAnsi="Arial"/>
          <w:sz w:val="16"/>
          <w:szCs w:val="16"/>
          <w:color w:val="auto"/>
        </w:rPr>
      </w:pPr>
    </w:p>
    <w:p>
      <w:pPr>
        <w:ind w:left="1140" w:right="10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cost of obtaining and maintaining regulatory approvals or clearances for the current version of Tablo, as well as planned or future improvements or enhancements to Tablo;</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discounts for Tablo or competing products;</w:t>
      </w:r>
    </w:p>
    <w:p>
      <w:pPr>
        <w:spacing w:after="0" w:line="117"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accounting and other expenses we may incur as a result of operating as a public company, including costs related to compliance with new compliance initiatives and requirements;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140" w:right="18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financial market conditions or political instability, including changes in tariff or trade laws and policies, as well as inflationary pressures (such as current inflation related to global supply chain disruptions).</w:t>
      </w:r>
    </w:p>
    <w:p>
      <w:pPr>
        <w:spacing w:after="0" w:line="62"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7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84"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b w:val="1"/>
          <w:bCs w:val="1"/>
          <w:i w:val="1"/>
          <w:iCs w:val="1"/>
          <w:color w:val="auto"/>
        </w:rPr>
        <w:t>The sizes of the markets for Tablo in the acute and home settings have not been established with precision and may be smaller than we estimate and may decline.</w:t>
      </w:r>
    </w:p>
    <w:p>
      <w:pPr>
        <w:spacing w:after="0" w:line="62" w:lineRule="exact"/>
        <w:rPr>
          <w:sz w:val="20"/>
          <w:szCs w:val="20"/>
          <w:color w:val="auto"/>
        </w:rPr>
      </w:pPr>
    </w:p>
    <w:p>
      <w:pPr>
        <w:jc w:val="both"/>
        <w:ind w:right="180" w:firstLine="749"/>
        <w:spacing w:after="0" w:line="279" w:lineRule="auto"/>
        <w:rPr>
          <w:sz w:val="20"/>
          <w:szCs w:val="20"/>
          <w:color w:val="auto"/>
        </w:rPr>
      </w:pPr>
      <w:r>
        <w:rPr>
          <w:rFonts w:ascii="Arial" w:cs="Arial" w:eastAsia="Arial" w:hAnsi="Arial"/>
          <w:sz w:val="17"/>
          <w:szCs w:val="17"/>
          <w:color w:val="auto"/>
        </w:rPr>
        <w:t>Our estimates of the annual total addressable market for Tablo are based on a number of internal and third-party estimates, including, without limitation, the assumed prices at which we can sell Tablo in the acute and home markets.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6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As a result, our estimates of the annual total addressable market for Tablo in different settings may prove to be incorrect. If the actual number of patients who would benefit from Tablo, the price at which we can sell Tablo, or the total addressable market for Tablo is smaller than we have estimated, it may impair our sales growth and negatively affect our business, financial condition and results of operations.</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use Amazon Web Services to support Tablo’s cloud connectivity and any disruption of service could interrupt or delay our ability to receive and deliver critical treatment and reporting information from and to providers and patients.</w:t>
      </w:r>
    </w:p>
    <w:p>
      <w:pPr>
        <w:spacing w:after="0" w:line="62"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We currently use AWS to host our cloud-based ecosystem. We also use other cloud service providers in our operations. We do not have direct control over the operations of the facilities of AWS or of our other cloud service providers and these facilities are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35" w:name="page36"/>
    <w:bookmarkEnd w:id="35"/>
    <w:p>
      <w:pPr>
        <w:ind w:right="40"/>
        <w:spacing w:after="0" w:line="286" w:lineRule="auto"/>
        <w:rPr>
          <w:sz w:val="20"/>
          <w:szCs w:val="20"/>
          <w:color w:val="auto"/>
        </w:rPr>
      </w:pPr>
      <w:r>
        <w:rPr>
          <w:rFonts w:ascii="Arial" w:cs="Arial" w:eastAsia="Arial" w:hAnsi="Arial"/>
          <w:sz w:val="16"/>
          <w:szCs w:val="16"/>
          <w:color w:val="auto"/>
        </w:rPr>
        <w:t>vulnerable to damage or interruption from earthquakes, hurricanes, floods, fires, cyber security attacks, terrorist attacks, power losses, telecommunications failures and similar events. The occurrence of a natural disaster or an act of terrorism, a decision by AWS or another cloud service provider to close the facilities without adequate notice, or other unanticipated problems could result in lengthy interruptions in, or curtailment of, Tablo’s functionality and our ability to provide software updates or analyze patient and machine data. The facilities also could be subject to break-ins, computer viruses, sabotage, intentional acts of vandalism and other misconduct. The continuing and uninterrupted performance of Tablo is critical to our success. Because our customer-facing software platform is used by providers to gain insight into treatment performance, it is critical that our customer facing software platform be accessible without interruption or degradation of performance or data. Providers and patients may become dissatisfied by any system failure that interrupts our ability to provide the full suite of Tablo capabilities to them. Outages could lead to the triggering of our service level agreements and the issuance of credits to our clients, in which case, we may not be fully indemnified for such losses pursuant to our agreement with AWS or our agreements with our other cloud service providers. We may not be able to easily switch our AWS operations to another cloud provider if there are sustained disruptions or interference with our use of AWS. Repeated or prolonged system failures may reduce the attractiveness of Tablo to providers and patients and result in a decreased demand for Tablo, thereby adversely affecting our business, financial condition and results of operations. Moreover, negative publicity arising from these types of disruptions could damage our reputation and may adversely impact use of Tablo.</w:t>
      </w:r>
    </w:p>
    <w:p>
      <w:pPr>
        <w:spacing w:after="0" w:line="66"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AWS and our other cloud service providers are not obligated to renew agreements with us on commercially reasonable terms, or at all. If we are unable to renew our agreements with AWS or our other cloud service providers on commercially reasonable terms, if our agreements with AWS or our other cloud service providers are prematurely terminated, or if in the future we add additional data providers, we may experience costs or downtime in connection with the transfer to, or the addition of, new providers. If these providers were to increase the cost of their services, we may have to increase the price of Tablo or take other measures to offset such cost increases, which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manufacture, distribution and maintenance of Tablo,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or malicious insiders,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or malfunction would disrupt our operations, including our ability to timely ship and track Tablo orders, project inventory requirements, ensure the integrity of our data analytics services, manage our supply chain and otherwise adequately service our customers or disrupt our customers’ ability to use Tablo. In the event we experience significant disruptions, we may be unable to repair our data or systems in an efficient and timely manner. Accordingly, such events may disrupt or reduce the efficiency of our entire operation and have a material adverse effect on our business, financial condition and results of operations. Currently, we carry business interruption coverage to mitigate certain potential losses but this insurance is limited in amount, and we cannot be certain that such potential losses will not exceed our policy limits.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67" w:lineRule="exact"/>
        <w:rPr>
          <w:sz w:val="20"/>
          <w:szCs w:val="20"/>
          <w:color w:val="auto"/>
        </w:rPr>
      </w:pPr>
    </w:p>
    <w:p>
      <w:pPr>
        <w:jc w:val="both"/>
        <w:ind w:right="240"/>
        <w:spacing w:after="0" w:line="375" w:lineRule="auto"/>
        <w:rPr>
          <w:sz w:val="20"/>
          <w:szCs w:val="20"/>
          <w:color w:val="auto"/>
        </w:rPr>
      </w:pPr>
      <w:r>
        <w:rPr>
          <w:rFonts w:ascii="Arial" w:cs="Arial" w:eastAsia="Arial" w:hAnsi="Arial"/>
          <w:sz w:val="15"/>
          <w:szCs w:val="15"/>
          <w:b w:val="1"/>
          <w:bCs w:val="1"/>
          <w:i w:val="1"/>
          <w:iCs w:val="1"/>
          <w:color w:val="auto"/>
        </w:rPr>
        <w:t>If product liability lawsuits are brought against us, we may incur substantial liabilities and may be required to limit or halt the marketing and sale of Tablo. The expense and potential unavailability of insurance coverage for liabilities resulting from Tablo could harm us and our ability to sell Tablo.</w:t>
      </w:r>
    </w:p>
    <w:p>
      <w:pPr>
        <w:spacing w:after="0" w:line="1"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We face an inherent risk of product liability as a result of the marketing and sale of Tablo. For example, we may be sued if Tablo or any of its component parts causes, or is perceived to cause, injury or is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For example, nurses, dialysis technicians, care partners and patients operate Tablo. If these nurses, dialysis technicians, care partners or patients are not properly trained, are negligent or use Tablo incorrectly, the capabilities of Tablo may be diminished or the patient may suffer critical injury. We may also be subject to claims that are caused by the activities of our suppliers, such as those who provide us with components and sub-assemblies, or manufacturers who produce Tablo consoles and cartridges.</w:t>
      </w:r>
    </w:p>
    <w:p>
      <w:pPr>
        <w:spacing w:after="0" w:line="70"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Tablo. Even successful defense would require significant financial and management resources. Regardless of the merits or eventual outcome, liability claims may result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Tablo;</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investigations by regulators, which could result in enforcement action against us or our contract manufacturers;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Tablo.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We expect to continue to incur net losses for the next several years and we may require substantial additional capital to finance our planned operations, which may include future equity and debt financings. This additional capital may not be available to us on acceptable terms or at all. Our failure to obtain additional financing when needed on acceptable terms, or at all, could force us to delay, limit, reduce or eliminate our commercialization, sales and marketing efforts, product development programs or other operations.</w:t>
      </w:r>
    </w:p>
    <w:p>
      <w:pPr>
        <w:spacing w:after="0" w:line="63"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may require additional financing to fund working capital and pay our obligations. While we have entered into two senior secured credit facilities in November 2022 that provide for up to a $250.0 million term loan and up to a $50.0 million asset-based revolving credit facility, we only have access to $200.0 million of such borrowings since an additional $100.0 million of such borrowings is subject to us achieving certain milestones and obtaining lenders’ credit approval. We may seek to raise any necessary additional capital through a combination of public or private equity offerings or debt financings. There can be no assurance, however,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(including through refinancing our existing debt),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1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terms of our credit agreement require us to meet certain operating and financial covenants, place restrictions on our operating and financial flexibility and subject us to interest rate risk.</w:t>
      </w:r>
    </w:p>
    <w:p>
      <w:pPr>
        <w:spacing w:after="0" w:line="62"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entered into two senior secured credit facilities (the SLR Credit Facilities) on November 3, 2022 (the Closing Date) which provide for up to a $250.0 million term loan (the SLR Term Loan Facility) pursuant to a loan and security agreement with certain lenders and SLR Investment Corp., as agent (the SLR Loan Agreement) and up to a $50.0 million asset-based revolving credit facility (the SLR Revolver, together with the SLR Term Loan Facility, the SLR Credit Facilities) pursuant to a credit agreement with Gemino Healthcare Finance, LLC d/b/a SLR Healthcare ABL, as lender (the SLR Revolving Credit Agreement, together with the SLR Loan Agreement, the SLR Credit Facility Agreements). While the SLR Credit Facilities provide for borrowings of up to $300.0 million, we only have access to $200.0 million of such borrowings as of the Closing Date and the additional $100.0 million of such borrowings is subject to us achieving certain net revenue milestones and obtaining lenders’ credit approval. If we achieve a certain net revenue milestone, calculated on a trailing six-month basis (First Revenue Milestone), on or before June 30, 2024 and the additional tranche under the SLR Revolver has been approved, we will be permitted to borrow up to $250.0 million under the SLR Credit Facilities. If we achieve a subsequent additional net revenue milestone, calculated on a trailing six-month basis (Second Revenue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line="271" w:lineRule="auto"/>
        <w:rPr>
          <w:sz w:val="20"/>
          <w:szCs w:val="20"/>
          <w:color w:val="auto"/>
        </w:rPr>
      </w:pPr>
      <w:r>
        <w:rPr>
          <w:rFonts w:ascii="Arial" w:cs="Arial" w:eastAsia="Arial" w:hAnsi="Arial"/>
          <w:sz w:val="17"/>
          <w:szCs w:val="17"/>
          <w:color w:val="auto"/>
        </w:rPr>
        <w:t>Milestone, and together with First Revenue Milestone, the Revenue Milestones), on or before June 30, 2025 and obtain lenders’ credit approval, we will be permitted to borrow up to $300.0 million under the SLR Credit Facilities. If we fail to achieve either or both of these Revenue Milestones or obtain lenders’ credit approval, we will not be able to access the full $300.0 million borrowing amounts under the SLR Credit Facilities. The SLR Credit Facilities are secured by substantially all of our assets, including all of the capital stock held by us, if any, (subject to a 65% limitation on pledges of voting capital stock of foreign subsidiaries), and all of our intellectual property, subject to certain exceptions. The SLR Credit Facility Agreements contain a number of restrictive covenants, and the terms may restrict our current and future operations, particularly our ability to respond to certain changes in our business or industry or take future actions. In addition, as principal amounts outstanding under each of the SLR Term Loan Facility and the SLR Revolver accrue interest at variable interest rates tied to SOFR, any borrowings under the facilities will be subject to interest rate risk. An adverse change in interest rates for our borrowings could increase our future borrowing costs which may restrict our access to capital in the future and, ultimately, could adversely affect our financial condition and results of operations. See the section titled “Management’s Discussion and Analysis of Financial Condition and Results of Operations ‒ Liquidity and Capital Resources ‒ Debt Obligations ‒ SLR Debt Financing.”</w:t>
      </w:r>
    </w:p>
    <w:p>
      <w:pPr>
        <w:spacing w:after="0" w:line="56"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The SLR Credit Facility Agreements contain customary representations and warranties and affirmative covenants and also contain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SLR Credit Facility Agreements also include a financial covenant that, beginning with the fiscal quarter ending December 31, 2023, requires us to either (i) maintain certain levels of cash and cash equivalents in accounts subject to control agreements in favor of Agent and ABL Lender of at least 50% of the sum of (a) the outstanding obligations under the SLR Term Loan Facility and (b) the amount of the Company’s accounts payable that have not been paid within 120 days from the invoice date thereof or (ii) generate net product and product related revenue (or maintain gross profit margins) in excess of specified amounts (or percentages) for applicable measuring periods. The SLR Credit Facility Agreements also contain customary events of default. If we fail to comply with such covenants, payments or other terms of either SLR Credit Facility Agreement, our agent or lender, as applicable, could declare an event of default, which would give it the right to declare all borrowings outstanding, together with accrued and unpaid interest and fees, to be immediately due and payable. In addition, our agent or lender, as applicable, would have the right to proceed against the assets we provided as collateral pursuant to the SLR Loan Agreement or SLR Revolving Credit Agreement, as applicable. If the debt under either SLR Credit Facility Agreement was accelerated, we may not have sufficient cash or be able to sell sufficient assets to repay this debt, which would harm our business and financial condition.</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62"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Expedited, reliable shipping and secure warehousing are essential to our operations. We rely heavily on providers of transport services for reliable and secure point-to-point transport of our Tablo system to our customers and for tracking of these shipments, and from time to time require warehousing for our products. Should a carrier encounter delivery performance issues such as loss, damage or destruction of any systems, it would be costly to replace such systems in a timely manner and such occurrences may damage our reputation and lead to decreased demand for our Tablo system and increased cost and expense to our business. In addition, any significant increase in shipping or warehousing rates could adversely affect our operating margins and results of operations. For example, in late 2021, surges and shifts in consumer demand as the economy reopened, further exacerbated by COVID-19 outbreaks and protocols, strained the global freight network and placed significant stress on air, ocean and freight ground carriers, resulting in increased freight costs associated with our transportation of Tablo cartridges. If freight costs continue to escalate and/or remain high for a sustained period of time, our operating margins and results of operations would be adversely impacted. Similarly, strikes, severe weather, natural disasters or other service interruptions affecting delivery or warehousing services we use would adversely affect our ability to process orders for our Tablo system on a timely basis.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bear the risk of warranty claims on our Tablo system.</w:t>
      </w:r>
    </w:p>
    <w:p>
      <w:pPr>
        <w:spacing w:after="0" w:line="117" w:lineRule="exact"/>
        <w:rPr>
          <w:sz w:val="20"/>
          <w:szCs w:val="20"/>
          <w:color w:val="auto"/>
        </w:rPr>
      </w:pPr>
    </w:p>
    <w:p>
      <w:pPr>
        <w:ind w:right="160" w:firstLine="749"/>
        <w:spacing w:after="0" w:line="279" w:lineRule="auto"/>
        <w:rPr>
          <w:sz w:val="20"/>
          <w:szCs w:val="20"/>
          <w:color w:val="auto"/>
        </w:rPr>
      </w:pPr>
      <w:r>
        <w:rPr>
          <w:rFonts w:ascii="Arial" w:cs="Arial" w:eastAsia="Arial" w:hAnsi="Arial"/>
          <w:sz w:val="17"/>
          <w:szCs w:val="17"/>
          <w:color w:val="auto"/>
        </w:rPr>
        <w:t>We bear the risk of warranty claims on our Tablo system. We may not be successful in claiming recovery under any warranty or indemnity provided to us by our suppliers or vendors in the event of a successful warranty claim against us by a customer or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organizations could have a material adverse effect on our sales and profitability.</w:t>
      </w:r>
    </w:p>
    <w:p>
      <w:pPr>
        <w:spacing w:after="0" w:line="62"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In an effort to reduce costs, many hospitals in the United States are members of GPOs and Integrated Delivery Networks (IDNs). GPOs and IDNs negotiate pricing arrangements with medical device companies and distributors and then offer these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100"/>
        <w:spacing w:after="0" w:line="257" w:lineRule="auto"/>
        <w:rPr>
          <w:sz w:val="20"/>
          <w:szCs w:val="20"/>
          <w:color w:val="auto"/>
        </w:rPr>
      </w:pPr>
      <w:r>
        <w:rPr>
          <w:rFonts w:ascii="Arial" w:cs="Arial" w:eastAsia="Arial" w:hAnsi="Arial"/>
          <w:sz w:val="18"/>
          <w:szCs w:val="18"/>
          <w:color w:val="auto"/>
        </w:rPr>
        <w:t>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Tablo, thereby reducing our revenue and margins.</w:t>
      </w:r>
    </w:p>
    <w:p>
      <w:pPr>
        <w:spacing w:after="0" w:line="80"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Tablo in a cost-effective manner, we may not be able to generate revenue growth.</w:t>
      </w:r>
    </w:p>
    <w:p>
      <w:pPr>
        <w:spacing w:after="0" w:line="62" w:lineRule="exact"/>
        <w:rPr>
          <w:sz w:val="20"/>
          <w:szCs w:val="20"/>
          <w:color w:val="auto"/>
        </w:rPr>
      </w:pPr>
    </w:p>
    <w:p>
      <w:pPr>
        <w:ind w:right="180" w:firstLine="749"/>
        <w:spacing w:after="0" w:line="271" w:lineRule="auto"/>
        <w:rPr>
          <w:sz w:val="20"/>
          <w:szCs w:val="20"/>
          <w:color w:val="auto"/>
        </w:rPr>
      </w:pPr>
      <w:r>
        <w:rPr>
          <w:rFonts w:ascii="Arial" w:cs="Arial" w:eastAsia="Arial" w:hAnsi="Arial"/>
          <w:sz w:val="17"/>
          <w:szCs w:val="17"/>
          <w:color w:val="auto"/>
        </w:rPr>
        <w:t>We have limited experience marketing and selling Tablo. We currently rely on our direct sales force to sell Tablo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Tablo.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 In addition, our services revenue is dependent in part on our FSEs, and any failure to maintain and grow, or adequately train, our team of FSEs could negatively impact our services revenue.</w:t>
      </w:r>
    </w:p>
    <w:p>
      <w:pPr>
        <w:spacing w:after="0" w:line="70" w:lineRule="exact"/>
        <w:rPr>
          <w:sz w:val="20"/>
          <w:szCs w:val="20"/>
          <w:color w:val="auto"/>
        </w:rPr>
      </w:pPr>
    </w:p>
    <w:p>
      <w:pPr>
        <w:ind w:right="40" w:firstLine="749"/>
        <w:spacing w:after="0" w:line="267" w:lineRule="auto"/>
        <w:rPr>
          <w:sz w:val="20"/>
          <w:szCs w:val="20"/>
          <w:color w:val="auto"/>
        </w:rPr>
      </w:pPr>
      <w:r>
        <w:rPr>
          <w:rFonts w:ascii="Arial" w:cs="Arial" w:eastAsia="Arial" w:hAnsi="Arial"/>
          <w:sz w:val="17"/>
          <w:szCs w:val="17"/>
          <w:color w:val="auto"/>
        </w:rPr>
        <w:t>In order to generate future growth, we plan to continue to expand and leverage our sales and marketing infrastructure to increase the number of customers that adopt Tablo. In addition, identifying and recruiting qualified sales and marketing personnel and training them on Tablo,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Tablo. In addition, our ability to generate revenue growth depends on the success of our efforts to further evolve our commercial infrastructure and sales processes to support the growth of our business in the home and acute markets. Any failure to hire, develop and retain talented sales personnel, to achieve desired productivity levels in a reasonable period of time or timely reduce fixed costs, or to evolve and scale our commercial infrastructure and sales processes, could negatively affect our business, financial condition and results of operations. Our ability to increase our customer base and achieve broader market acceptance of Tablo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Tablo in a cost-effective manner is critical to achieving broad acceptance of Tablo.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Tablo.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For example, on July 8, 2022, a purported stockholder class action lawsuit was filed against the Company, our Chief Executive Officer, Chief Financial Officer and former Chief Financial Officer, in the U.S. District Court for the Northern District of California alleging that the defendants violated federal securities laws by making false or misleading statements regarding the Company’s regulatory studies of the Tablo Hemodialysis System for at home use and the Company’s prospects related to the sale of the system for at home use. On September 7, 2022, the plaintiff filed a notice of voluntary dismissal of this action without prejudice, and this action is now concluded. For further information, see the section entitled “Litigation” in Note 6, Commitments and Contingencies, to our audited financial statements included in this Annual Report. Litigation is inherently unpredictable and can result in excessive or unanticipated verdicts and/or injunctive relief that affect how we operate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line="275" w:lineRule="auto"/>
        <w:rPr>
          <w:sz w:val="20"/>
          <w:szCs w:val="20"/>
          <w:color w:val="auto"/>
        </w:rPr>
      </w:pPr>
      <w:r>
        <w:rPr>
          <w:rFonts w:ascii="Arial" w:cs="Arial" w:eastAsia="Arial" w:hAnsi="Arial"/>
          <w:sz w:val="17"/>
          <w:szCs w:val="17"/>
          <w:color w:val="auto"/>
        </w:rPr>
        <w:t>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w:t>
      </w:r>
    </w:p>
    <w:p>
      <w:pPr>
        <w:spacing w:after="0" w:line="17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38"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We may form or seek strategic alliances, make minority investments, create joint ventures or collaborations or enter into licensing or partnership arrangements with third parties that we believe will compliment or augment our sales and marketing and/or product development efforts with respect to Tablo. We may not be successful in our efforts to establish such collaborations for Tablo.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Tablo. We cannot be certain that, following a strategic alliance or similar arrangement, we will achieve the revenue, cash flows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our sales and marketing efforts, which would harm our business prospects,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 the extent we enter into foreign markets, we would be subject to additional regulatory burdens and other risks and uncertainties.</w:t>
      </w:r>
    </w:p>
    <w:p>
      <w:pPr>
        <w:spacing w:after="0" w:line="129" w:lineRule="exact"/>
        <w:rPr>
          <w:sz w:val="20"/>
          <w:szCs w:val="20"/>
          <w:color w:val="auto"/>
        </w:rPr>
      </w:pPr>
    </w:p>
    <w:p>
      <w:pPr>
        <w:ind w:right="120" w:firstLine="749"/>
        <w:spacing w:after="0" w:line="291" w:lineRule="auto"/>
        <w:rPr>
          <w:sz w:val="20"/>
          <w:szCs w:val="20"/>
          <w:color w:val="auto"/>
        </w:rPr>
      </w:pPr>
      <w:r>
        <w:rPr>
          <w:rFonts w:ascii="Arial" w:cs="Arial" w:eastAsia="Arial" w:hAnsi="Arial"/>
          <w:sz w:val="16"/>
          <w:szCs w:val="16"/>
          <w:color w:val="auto"/>
        </w:rPr>
        <w:t>To the extent we enter into foreign markets in the future, we would face additional risks and uncertainties. We are not permitted to market or promote Tablo before we receive regulatory approval from the applicable regulatory authority in that foreign market, and we may never receive such regulatory approval for Tablo. To obtain separate regulatory approvals in other countries we may be required to comply with numerous and varying regulatory requirements of such countries regarding the safety and efficacy of Tablo and governing, among other things, clinical trials and commercial sales, pricing and distribution of our product, and we cannot predict success in these jurisdictions. Such activities may result in incremental expenses and diversion of management’s time and attention, and we may not ultimately obtain the requisite approvals in a timely manner or at all. If we obtain approval of Tablo and sell Tablo in foreign markets, we would be subject to additional risks and uncertainties in those markets, including:</w:t>
      </w:r>
    </w:p>
    <w:p>
      <w:pPr>
        <w:spacing w:after="0" w:line="58"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associated with maintaining compliance, sales and marketing, and service for customers outside the United States, especially as we establish ourselves in these markets;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and/or unexpected tax consequences, including penalties due to the failure of tax planning or due to the challenge by tax authorities on the basis of transfer pricing and liabilities imposed from inconsistent enforcement;</w:t>
      </w:r>
    </w:p>
    <w:p>
      <w:pPr>
        <w:spacing w:after="0" w:line="62"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and legal requirements, many of which vary between countries;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medical practices and customs in multiple countries affecting acceptance of medical products in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tariffs, trade barriers, import or export licensing requirements or other restrictive 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or loss of protection of intellectual property rights in some foreign countries; and</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17" w:lineRule="exact"/>
        <w:rPr>
          <w:sz w:val="20"/>
          <w:szCs w:val="20"/>
          <w:color w:val="auto"/>
        </w:rPr>
      </w:pPr>
    </w:p>
    <w:p>
      <w:pPr>
        <w:ind w:right="760" w:firstLine="749"/>
        <w:spacing w:after="0" w:line="277" w:lineRule="auto"/>
        <w:rPr>
          <w:sz w:val="20"/>
          <w:szCs w:val="20"/>
          <w:color w:val="auto"/>
        </w:rPr>
      </w:pPr>
      <w:r>
        <w:rPr>
          <w:rFonts w:ascii="Arial" w:cs="Arial" w:eastAsia="Arial" w:hAnsi="Arial"/>
          <w:sz w:val="18"/>
          <w:szCs w:val="18"/>
          <w:color w:val="auto"/>
        </w:rPr>
        <w:t>As of December 31, 2022, we had U.S. federal and state net operating loss (NOL) carryforwards of $526.8 million and $298.1 million, respectively. If not utilized, our U.S. federal NOLs generated in taxable years beginning before 2018 will begin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20"/>
        <w:spacing w:after="0" w:line="286" w:lineRule="auto"/>
        <w:rPr>
          <w:sz w:val="20"/>
          <w:szCs w:val="20"/>
          <w:color w:val="auto"/>
        </w:rPr>
      </w:pPr>
      <w:r>
        <w:rPr>
          <w:rFonts w:ascii="Arial" w:cs="Arial" w:eastAsia="Arial" w:hAnsi="Arial"/>
          <w:sz w:val="16"/>
          <w:szCs w:val="16"/>
          <w:color w:val="auto"/>
        </w:rPr>
        <w:t>expire in 2024 and our state NOLs will begin to expire in 2023. Deductibility of U.S. federal NOLs generated in taxable years beginning after 2017 and used in taxable years beginning after 2020 do not expire but are limited to 80% of our taxable income before the deduction of such NOLs. As of December 31, 2022, we also had U.S. federal and state research and development credits of $7.8 million and $6.4 million, respectively. Our U.S. federal research and development credits begin to expire in 2030. State research and development credits do not expire.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net operating losses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Similar rules may apply under state tax laws. In addition, our ability to deduct net interest expense may be limited if we have insufficient taxable income for the year during which the interest is incurred, and any future carryovers of such disallowed interest would be subject to the limitation rules similar to those applicable to NOLs and other attributes. Future changes in our stock ownership, some of which might be beyond our control, could result in an ownership change under Section 382 of the Code. For these reasons, in the event we experience a change of control, we may not be able to utilize a material portion of the existing NOLs, research and development credit carryforwards or future disallowed interest expense carryovers, even if we attain profitability. Any limitation on using NOLs could adversely impact operating results and result in our retaining less cash after payment of U.S. federal and state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w:t>
      </w:r>
    </w:p>
    <w:p>
      <w:pPr>
        <w:spacing w:after="0" w:line="22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While we resumed marketing and shipping the Tablo System for home use following the FDA’s clearance of the related 510(k) submission, our business and operations may continue to experience disruptions as a result of the prior shipment hold.</w:t>
      </w:r>
    </w:p>
    <w:p>
      <w:pPr>
        <w:spacing w:after="0" w:line="38"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Since Tablo’s original clearance by the FDA for home use in March 2020, we have made certain changes to the device over time. In May 2021, we submitted a 510(k) application to the FDA covering the design changes for patient use in the home. In May 2022, after further discussions with the FDA and receiving indications that the clearance of this 510(k) application would be delayed beyond our original expectations, we implemented a shipment hold on the distribution and marketing of Tablo for use in the home environment pending the FDA’s review and clearance of this 510(k) application. In late July 2022, the FDA cleared this 510(k) application of Tablo for patient use in the home and we resumed marketing and shipping Tablo for home use.</w:t>
      </w:r>
    </w:p>
    <w:p>
      <w:pPr>
        <w:spacing w:after="0" w:line="53"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The shipment hold on Tablo for home use had a significant negative impact on our bookings and revenue for the last three quarters of 2022, as well as on our pipeline of potential new deals. Following the most recent 510(k) clearance, we have resumed marketing and shipping Tablo for home use. However, we may continue to experience disruptions to our home and acute business and operations that could materially and adversely impact our results of operations, financial condition and growth prospects as we continue recovering from the interruption to, and loss of momentum in, our home commercialization and marketing, related disruptions to our acute business, and any negative effects to our reputation as a result of the hold.</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we continue to modify Tablo from time to time, such modifications may require new clearances or approvals from the FDA, which we may not be able to obtain on a timely basis or at all.</w:t>
      </w:r>
    </w:p>
    <w:p>
      <w:pPr>
        <w:spacing w:after="0" w:line="62" w:lineRule="exact"/>
        <w:rPr>
          <w:sz w:val="20"/>
          <w:szCs w:val="20"/>
          <w:color w:val="auto"/>
        </w:rPr>
      </w:pPr>
    </w:p>
    <w:p>
      <w:pPr>
        <w:ind w:right="40" w:firstLine="749"/>
        <w:spacing w:after="0" w:line="285" w:lineRule="auto"/>
        <w:rPr>
          <w:sz w:val="20"/>
          <w:szCs w:val="20"/>
          <w:color w:val="auto"/>
        </w:rPr>
      </w:pPr>
      <w:r>
        <w:rPr>
          <w:rFonts w:ascii="Arial" w:cs="Arial" w:eastAsia="Arial" w:hAnsi="Arial"/>
          <w:sz w:val="16"/>
          <w:szCs w:val="16"/>
          <w:color w:val="auto"/>
        </w:rPr>
        <w:t>Although we currently market our products exclusively under 510(k) clearances, modifications to Tablo and associated consumables may require new regulatory approvals or clearances, including additional 510(k) clearances, de novo classification, or approval of PMAs or PMA supplements. As we continue to modify Tablo from time to time, we may determine that such modifications could significantly affect safety and effectiveness of the device or represent a major change in its intended use and thereby require new 510(k) clearances. Further, even in instances where we determine modifications to Tablo do not require a new 510(k) clearance or a PMA, the FDA may review our decision and disagree, or otherwise determine on its own initiative that a new clearance or approval is required. In this case, we may ultimately be required to make additional changes to the Tablo System, we may need to submit a new 510(k) application or a PMA and obtain clearance or approval, we may be required to temporarily suspend shipment of, withdraw or recall Tablo until such clearance or approval is obtained (which may not happen in a timely manner or at all), and/or we may be subject to other enforcement actions or proceedings and litigation, all of which would materially and adversely disrupt and harm our business and future growth. Where we determine that modifications to Tablo do require a new 510(k) clearance from the FDA or PMA approval, we may not be able to obtain such clearance or approval in a timely manner, or at all. Obtaining clearances or approvals can be a time-consuming and costly process</w:t>
      </w:r>
      <w:r>
        <w:rPr>
          <w:rFonts w:ascii="Arial" w:cs="Arial" w:eastAsia="Arial" w:hAnsi="Arial"/>
          <w:sz w:val="19"/>
          <w:szCs w:val="19"/>
          <w:color w:val="auto"/>
        </w:rPr>
        <w:t>,</w:t>
      </w:r>
      <w:r>
        <w:rPr>
          <w:rFonts w:ascii="Arial" w:cs="Arial" w:eastAsia="Arial" w:hAnsi="Arial"/>
          <w:sz w:val="16"/>
          <w:szCs w:val="16"/>
          <w:color w:val="auto"/>
        </w:rPr>
        <w:t xml:space="preserve"> which may in some cases require us to conduct clinical trials, and delays in obtaining required future clearances or approval could adversely affect our ability to make updates and enhancements to Tablo in a timely manner, which in turn would harm our future growth.</w:t>
      </w:r>
    </w:p>
    <w:p>
      <w:pPr>
        <w:spacing w:after="0" w:line="62"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Since Tablo’s original clearance by the FDA for home use in March 2020, we have made certain changes to the device over time, and, where appropriate, have submitted 510(k) applications for certain modifications to Tablo. In October 2022, we submitted a 510(k) application seeking clearance of a new software version intended to offer new commercial features and enhancements designed to improve the reliability and serviceability of Tablo, as well as other previously implemented modifications We have received, and are in the process of responding to, a request for additional information regarding some of the modifications included in the 510(k). 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ind w:right="80"/>
        <w:spacing w:after="0" w:line="259" w:lineRule="auto"/>
        <w:rPr>
          <w:sz w:val="20"/>
          <w:szCs w:val="20"/>
          <w:color w:val="auto"/>
        </w:rPr>
      </w:pPr>
      <w:r>
        <w:rPr>
          <w:rFonts w:ascii="Arial" w:cs="Arial" w:eastAsia="Arial" w:hAnsi="Arial"/>
          <w:sz w:val="18"/>
          <w:szCs w:val="18"/>
          <w:color w:val="auto"/>
        </w:rPr>
        <w:t>this time, this 510(k) application is pending at the FDA, and we cannot predict with certainty when the FDA will complete its review or whether the FDA will ultimately grant clearance of the pending application. Based on the results of the FDA’s review, we may be required to take additional actions, which may include actions from reverting Tablo back to its prior, un-modified configuration, , up to not clearing the 510(k) and conducting a recall, any of which would materially and adversely disrupt and harm our business and future growth.</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the reimbursement rates for dialysis treatments and measures to reduce healthcare costs may adversely impact our business.</w:t>
      </w:r>
    </w:p>
    <w:p>
      <w:pPr>
        <w:spacing w:after="0" w:line="12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Our customers depend upon reimbursement by government and other third-party insurance payors for dialysis services using our products. With a vast majority of U.S. patients with ESRD covered by Medicare, the Medicare reimbursement rate is an important factor in a customer’s decision to use Tablo and limits the prices we may charge for our products. For patients with Medicare fee-for-service coverage, virtually all payments for renal dialysis services are currently made under a single bundled payment rate which provides a fixed payment rate to encompass virtually all goods and services provided during the dialysis treatment. The bundled payment rate is also adjusted for certain patient characteristics, a geographic wage index, and other factors. The ESRD PPS is subject to rebasing, which can have a positive financial effect, or a negative one if the government fails to rebase in a manner that adequately addresses the costs borne by dialysis facilities. For example, on October 31, 2022, CMS issued a final rule updating the PPS to, among other things, increase the base rate from $257.90 to $265.57, an increase that CMS projects will increase the total payments to all ESRD facilities by 3.1% in CY 2023. Additionally, reimbursement rates and coverage policies under Medicare Advantage plans may also be subject to change. We cannot anticipate whether the government and/or Medicare Advantage plans will decrease payment rates in the coming years or if any future rate increases will adequately cover facilities’ costs, which could adversely harm our business.</w:t>
      </w:r>
    </w:p>
    <w:p>
      <w:pPr>
        <w:spacing w:after="0" w:line="74"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Additionally, federal regulations provide for transitional add-on payment adjustments under the Medicare ESRD PPS for certain TPNIES. For home dialysis equipment, CMS provided a pathway for CRA to secure TPNIES. We applied for and received CRA TPNIES in connection with the Tablo Hemodialysis System use by one patient per one machine in the home, pursuant to which Medicare will pay 65% of the Medicare Administrative Contractor-determined pre-adjusted per treatment amount for two calendar years beginning with CY 2022. In a final rule issued on November 7, 2022, CMS confirmed that it will continue Tablo’s eligibility for TPNIES through CY 2023. Though our TPNIES approval may increase provider reimbursement over the short term and positively affect our revenues as a result, such increased reimbursement is temporary and, thus, may not be sufficient to cause healthcare providers to adopt Tablo at rates we expect. Accordingly, we cannot fully assess the impact of the TPNIES approval on our financial performance.</w:t>
      </w:r>
    </w:p>
    <w:p>
      <w:pPr>
        <w:spacing w:after="0" w:line="84"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CMS rules limit the number of hemodialysis treatments paid for by Medicare Part B to three times a week, unless there is medical justification provided by the dialysis facility based on information from the patient’s physician for additional treatments. To the extent that over three treatments per week are prescribed for Tablo patients and Medicare contractors determine they will not pay for additional treatments, adoption of the Tablo System could be impaired.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and if greater than three, the level of confidence the center has in the predictability of receiving reimbursement from Medicare for additional treatments per week based on submitted claims for medical justification.</w:t>
      </w:r>
    </w:p>
    <w:p>
      <w:pPr>
        <w:spacing w:after="0" w:line="74"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Although most ESRD patients are currently covered by traditional Medicare, beginning January 1, 2021, when changes from the 21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Century Cures Act entered into effect, more dialysis patients were eligible to enroll in Medicare Advantage managed care plans. While Medicare Advantage plans must provide at least the same level of coverage for Medicare beneficiaries as traditional Medicare, reimbursement to dialysis facilities is most often higher than traditional Medicare with a wide range of variability in payment rates to providers. Reimbursement rates depend on each Medicare Advantage plan’s contracts and network agreements with each dialysis facility.</w:t>
      </w:r>
    </w:p>
    <w:p>
      <w:pPr>
        <w:spacing w:after="0" w:line="97"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Many ESRD patients have Medicaid coverage that is supplemental to Medicare coverage, and some ESRD patients may have Medicaid as their primary coverage. Because Medicaid is a state-administered program, Medicaid reimbursement for dialysis services varies by state. Changes in state Medicaid or other non-Medicare government-based programs or payment rates could have an adverse effect on our customers’ business.</w:t>
      </w:r>
    </w:p>
    <w:p>
      <w:pPr>
        <w:spacing w:after="0" w:line="41"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Additionally, some patients may have coverage through private insurance, for example through a marketplace plan set up under the Affordable Care Act or through an employer or union group health plan. Private insurance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 for dialysis services.</w:t>
      </w:r>
    </w:p>
    <w:p>
      <w:pPr>
        <w:spacing w:after="0" w:line="63"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 xml:space="preserve">Recent litigation regarding payor coverage of ESRD services may also affect our business. Specifically, on June 21, 2022, in the case of </w:t>
      </w:r>
      <w:r>
        <w:rPr>
          <w:rFonts w:ascii="Arial" w:cs="Arial" w:eastAsia="Arial" w:hAnsi="Arial"/>
          <w:sz w:val="18"/>
          <w:szCs w:val="18"/>
          <w:i w:val="1"/>
          <w:iCs w:val="1"/>
          <w:color w:val="auto"/>
        </w:rPr>
        <w:t>Marietta</w:t>
      </w:r>
      <w:r>
        <w:rPr>
          <w:rFonts w:ascii="Arial" w:cs="Arial" w:eastAsia="Arial" w:hAnsi="Arial"/>
          <w:sz w:val="18"/>
          <w:szCs w:val="18"/>
          <w:color w:val="auto"/>
        </w:rPr>
        <w:t xml:space="preserve"> </w:t>
      </w:r>
      <w:r>
        <w:rPr>
          <w:rFonts w:ascii="Arial" w:cs="Arial" w:eastAsia="Arial" w:hAnsi="Arial"/>
          <w:sz w:val="18"/>
          <w:szCs w:val="18"/>
          <w:i w:val="1"/>
          <w:iCs w:val="1"/>
          <w:color w:val="auto"/>
        </w:rPr>
        <w:t>v. DaVita</w:t>
      </w:r>
      <w:r>
        <w:rPr>
          <w:rFonts w:ascii="Arial" w:cs="Arial" w:eastAsia="Arial" w:hAnsi="Arial"/>
          <w:sz w:val="18"/>
          <w:szCs w:val="18"/>
          <w:color w:val="auto"/>
        </w:rPr>
        <w:t>, the Supreme Court of the United States addressed the question of whether a group health plan that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180"/>
        <w:spacing w:after="0" w:line="257" w:lineRule="auto"/>
        <w:rPr>
          <w:sz w:val="20"/>
          <w:szCs w:val="20"/>
          <w:color w:val="auto"/>
        </w:rPr>
      </w:pPr>
      <w:r>
        <w:rPr>
          <w:rFonts w:ascii="Arial" w:cs="Arial" w:eastAsia="Arial" w:hAnsi="Arial"/>
          <w:sz w:val="18"/>
          <w:szCs w:val="18"/>
          <w:color w:val="auto"/>
        </w:rPr>
        <w:t>provides limited benefits for outpatient dialysis – but does so uniformly for all plan participants – violates the MSPA, a law which makes Medicare a “secondary” payer to an individual’s existing insurance plan for certain medical services, including dialysis, when that plan already covers the same services. Specifically, the Supreme Court held that because the Plan’s terms apply uniformly to all covered individuals, the Plan does not “differentiate in the benefits it provides” to individuals with ESRD or “take into account” whether an individual is entitled to or eligible for Medicare, and thus does not violate the MSPA.</w:t>
      </w:r>
    </w:p>
    <w:p>
      <w:pPr>
        <w:spacing w:after="0" w:line="80"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We cannot anticipate what the impact of the Court’s decision will be on our business, including whether adverse ESRD coverage actions may be taken by health plans or whether regulatory guidance or new legislation may be issued limiting ESRD coverage.</w:t>
      </w:r>
    </w:p>
    <w:p>
      <w:pPr>
        <w:spacing w:after="0" w:line="62"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Any reduction in reimbursement rates for dialysis treatments may adversely affect our customers’ businesses and cause them to enact cost reduction measures that may result in reducing the scope of their home hemodialysis programs, which could result in reduced demand for our product or additional pricing pressures.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Tablo.</w:t>
      </w:r>
    </w:p>
    <w:p>
      <w:pPr>
        <w:spacing w:after="0" w:line="117"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In the United States, there have been, and we expect there will continue to be, a number of legislative and regulatory changes to the healthcare system that may harm our future revenues and profitability and the demand for Tablo. As discussed in the section titled “Business – Government Regulation – United States Health Reform” above, federal and state lawmakers regularly propose and, at times, enact legislation and propose and finalize regulations that would result in significant changes to the healthcare system, some of which are intended to contain or reduce the costs of medical products and services, improve quality and/or expand access. Current and future legislative or regulatory proposals to further reform healthcare or reduce healthcare costs may limit coverage of and/or lower reimbursement for the procedures associated with the use of Tablo. The cost containment measures that payors and providers are instituting and the effect of any healthcare reform initiative implemented in the future could impact our revenue from the sale of Tablo.</w:t>
      </w:r>
    </w:p>
    <w:p>
      <w:pPr>
        <w:spacing w:after="0" w:line="58" w:lineRule="exact"/>
        <w:rPr>
          <w:sz w:val="20"/>
          <w:szCs w:val="20"/>
          <w:color w:val="auto"/>
        </w:rPr>
      </w:pPr>
    </w:p>
    <w:p>
      <w:pPr>
        <w:ind w:right="280" w:firstLine="749"/>
        <w:spacing w:after="0" w:line="259" w:lineRule="auto"/>
        <w:rPr>
          <w:sz w:val="20"/>
          <w:szCs w:val="20"/>
          <w:color w:val="auto"/>
        </w:rPr>
      </w:pPr>
      <w:r>
        <w:rPr>
          <w:rFonts w:ascii="Arial" w:cs="Arial" w:eastAsia="Arial" w:hAnsi="Arial"/>
          <w:sz w:val="18"/>
          <w:szCs w:val="18"/>
          <w:color w:val="auto"/>
        </w:rPr>
        <w:t>By way of example, in the United States, the Affordable Care Act substantially changed the way healthcare is financed by both governmental and private insurers, and continues to significantly impact our industry. The Affordable Care Act contains a number of provisions, including those governing enrollment in federal healthcare programs, reimbursement changes and fraud and abuse measures, all of which impact existing government healthcare programs and have resulted in the development of new programs.</w:t>
      </w:r>
    </w:p>
    <w:p>
      <w:pPr>
        <w:spacing w:after="0" w:line="79"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As discussed in the section titled “Business – Government Regulation – United States Health Reform” above, there have been, and continue to be, judicial and Congressional challenges to several elements of the Affordable Care Act, as well as efforts by both the executive and legislative branches of the federal government to modify certain aspects of the Affordable Care Act. It is unclear how these and other efforts to challenge or modify, or alter the implementation or interpretation of the Affordable Care Act will affect our business, financial condition and results of operations.</w:t>
      </w:r>
    </w:p>
    <w:p>
      <w:pPr>
        <w:spacing w:after="0" w:line="49"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In addition, as discussed in the section titled “Business – Government Regulation – United States Health Reform” above, other legislative and executive actions have encouraged the development of new payment and care models for ESRD patients.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the ETC Model final rule, a failure to implement our expansion into home dialysis could have a material adverse impact on our business.</w:t>
      </w:r>
    </w:p>
    <w:p>
      <w:pPr>
        <w:spacing w:after="0" w:line="6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payors of healthcare services to contain or reduce costs of healthcare may harm our ability to set a price that we believe is fair for Tablo, our ability to generate revenue and achieve or maintain profitability, and the availability of capital.</w:t>
      </w:r>
    </w:p>
    <w:p>
      <w:pPr>
        <w:spacing w:after="0" w:line="76"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We believe that there will continue to be proposals and other actions by legislators and other policymakers at both the federal and state levels, and by regulators and third-party payors to reduce costs and/or expand individual healthcare coverage. We cannot predict what other healthcare policies will ultimately be proposed or implemented at the federal or state level or the effect of any future legislation or regulation in the United States on our business, financial condition and results of operations. Future changes in healthcare policy could increase our costs and subject us to additional legislative and regulatory requirements that may interrupt commercialization of our current and future solutions, decrease our revenue and impact sales of and pricing for our current and future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anti-kickback, fraud and abuse, false claims, transparency, and other healthcare laws and regulations.</w:t>
      </w:r>
    </w:p>
    <w:p>
      <w:pPr>
        <w:spacing w:after="0" w:line="11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dialysis providers, hospitals, physicians or other potential purchasers or users, including patients, of medical devices and services. They also impose additional administrative and compliance burdens on us. In particular, these laws influence, among other things, how we structure our sales and rental offerings, including discount practices, customer support, education and training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18"/>
          <w:szCs w:val="18"/>
          <w:color w:val="auto"/>
        </w:rPr>
        <w:t>programs and physician consulting and other service arrangements. These laws include, but are not limited to, the healthcare fraud and abuse laws described in the section titled “Business – Government Regulation – Healthcare Fraud and Abuse Laws” above, and the Federal Food, Drug, and Cosmetic Act, which governs, among other things, the misbranding and adulteration of medical devices.</w:t>
      </w:r>
    </w:p>
    <w:p>
      <w:pPr>
        <w:spacing w:after="0" w:line="76"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compliance oversight and reporting requirements and the curtailment or restructuring of our operations. Moreover, any investigation into our practices could cause adverse publicity and require a costly and time-consuming response.</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Tablo and our operations are subject to extensive government regulation and oversight in the United States. If we fail to obtain or maintain necessary regulatory approvals for Tablo and related products, or if approvals or clearances for future products are delayed or not issued, it will negatively affect our business, financial condition and results of operations.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Tablo is a medical device subject to extensive regulation in the United States and elsewhere, including by the FDA and its foreign counterparts.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regulations specific to medical devices are wide ranging and govern, among other things:</w:t>
      </w:r>
    </w:p>
    <w:p>
      <w:pPr>
        <w:spacing w:after="0" w:line="103" w:lineRule="exact"/>
        <w:rPr>
          <w:sz w:val="20"/>
          <w:szCs w:val="20"/>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1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We have obtained 510(k) clearances to market Tablo for use in patients with acute and/or chronic renal failure, with or without ultrafiltration, in the settings of an acute or chronic care facility and the home. However, Tablo is not cleared by the FDA for CRRT.</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FDA or other regulators could delay, limit, or deny clearance or approval of a device for many reasons, including:</w:t>
      </w:r>
    </w:p>
    <w:p>
      <w:pPr>
        <w:spacing w:after="0" w:line="117" w:lineRule="exact"/>
        <w:rPr>
          <w:sz w:val="20"/>
          <w:szCs w:val="20"/>
          <w:color w:val="auto"/>
        </w:rPr>
      </w:pPr>
    </w:p>
    <w:p>
      <w:pPr>
        <w:ind w:left="1140" w:right="20" w:hanging="383"/>
        <w:spacing w:after="0" w:line="263"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the Tablo System, or any other future device, and any accessories are substantially equivalent to a legally marketed predicate device or safe or effective for their proposed intended use;</w:t>
      </w:r>
    </w:p>
    <w:p>
      <w:pPr>
        <w:spacing w:after="0" w:line="75"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disagreement of the FDA with the design or implementation of any clinical trials or the interpretation of data from preclinical studies or clinical trials;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insufficiency of the data from preclinical studies or clinical trials to support clearance or approval, where required;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our manufacturing process or facilities to meet applicable requirements; and</w:t>
      </w:r>
    </w:p>
    <w:p>
      <w:pPr>
        <w:spacing w:after="0" w:line="117"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62" w:lineRule="exact"/>
        <w:rPr>
          <w:sz w:val="20"/>
          <w:szCs w:val="20"/>
          <w:color w:val="auto"/>
        </w:rPr>
      </w:pPr>
    </w:p>
    <w:p>
      <w:pPr>
        <w:ind w:right="200" w:firstLine="749"/>
        <w:spacing w:after="0" w:line="296" w:lineRule="auto"/>
        <w:rPr>
          <w:sz w:val="20"/>
          <w:szCs w:val="20"/>
          <w:color w:val="auto"/>
        </w:rPr>
      </w:pPr>
      <w:r>
        <w:rPr>
          <w:rFonts w:ascii="Arial" w:cs="Arial" w:eastAsia="Arial" w:hAnsi="Arial"/>
          <w:sz w:val="16"/>
          <w:szCs w:val="16"/>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53" w:lineRule="exact"/>
        <w:rPr>
          <w:sz w:val="20"/>
          <w:szCs w:val="20"/>
          <w:color w:val="auto"/>
        </w:rPr>
      </w:pPr>
    </w:p>
    <w:p>
      <w:pPr>
        <w:ind w:left="5540" w:right="20" w:hanging="4783"/>
        <w:spacing w:after="0" w:line="527" w:lineRule="auto"/>
        <w:tabs>
          <w:tab w:leader="none" w:pos="11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warning letters, untitled letters, it has come to our attention letters, fines, injunctions, consent decrees and civil penalties;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4" w:name="page45"/>
    <w:bookmarkEnd w:id="44"/>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repair, replacement, refunds, recall or seizure of Tablo;</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17"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PMA approval of new products or services, new intended uses or modifications to existing products or services;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regulatory clearance or PMA approvals that have already been granted; or</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any of these events were to occur, it would negatively affect our business, financial condition and results of operations.</w:t>
      </w:r>
    </w:p>
    <w:p>
      <w:pPr>
        <w:spacing w:after="0" w:line="225"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p>
    <w:p>
      <w:pPr>
        <w:spacing w:after="0" w:line="23"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It is important to our business that we build a pipeline of product offerings that address limitations of current dialysis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79"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 success of any new product offering or enhancement to an existing product will depend on a number of factors, including our ability to, among others:</w:t>
      </w:r>
    </w:p>
    <w:p>
      <w:pPr>
        <w:spacing w:after="0" w:line="62" w:lineRule="exact"/>
        <w:rPr>
          <w:sz w:val="20"/>
          <w:szCs w:val="20"/>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avoid infringing upon the intellectual property rights of third parties;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clinical studies;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fully with the FDA and applicable foreign regulations on marketing of new products or modified products; and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adequate training to potential users of Tablo.</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If we do not develop new products or product enhancements in time to meet market demand or if there is insufficient demand for these products or enhancements, or if our competitors introduce enhanced or new products with functionalities that are superior to ours, our results of operations will suffer.</w:t>
      </w:r>
    </w:p>
    <w:p>
      <w:pPr>
        <w:spacing w:after="0" w:line="76"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62"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QSR compliance is necessary to receive and maintain FDA clearance or approval to market new and existing products. Regulatory bodies, such as the FDA, enforce the QSR and other regulations through periodic audits and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left="1140" w:right="40" w:hanging="38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FDA untitled letters, FDA Form 483s, FDA warning letters, it has come to our attention letters, fines, injunctions, consent decrees and civil penalties;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510(k) clearances or PMA approvals that have already been granted;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For example, in the first quarter of 2023, the FDA conducted their first quality system inspection of our San Jose, California facility. At completion, the FDA issued a Form FDA-483 identifying four inspectional observations. We intend to provide a complete response to the FDA and to implement a corrective action plan to address these observations within the requisite timeframe. Although we believe we are in material compliance with the QSR and will be able to address the observations identified in the Form-483 in a timely manner, there is no guarantee that subsequent inspections of our facility by the FDA or other regulatory authorities will not result in similar observations with respect to our quality system, which could adversely affect our business.</w:t>
      </w:r>
    </w:p>
    <w:p>
      <w:pPr>
        <w:spacing w:after="0" w:line="84"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 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70"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For example, the FDA previously issued to us a post-market surveillance order under Section 522 of the FDCA which required that we conduct a human factors study, as well as conduct a detailed analysis of adverse events and complaints from home users. While the FDA recently placed this 522 study requirement on hold because the original order specifically pertained to a prior version of Tablo, the FDA may decide to issue a new 522 order applicable to the current version of Tablo or extend the requirements of the prior 522 study order to apply to the version of Tablo that is the subject of the recently cleared 510(k).</w:t>
      </w:r>
    </w:p>
    <w:p>
      <w:pPr>
        <w:spacing w:after="0" w:line="56" w:lineRule="exact"/>
        <w:rPr>
          <w:sz w:val="20"/>
          <w:szCs w:val="20"/>
          <w:color w:val="auto"/>
        </w:rPr>
      </w:pPr>
    </w:p>
    <w:p>
      <w:pPr>
        <w:ind w:right="40" w:firstLine="749"/>
        <w:spacing w:after="0" w:line="286" w:lineRule="auto"/>
        <w:rPr>
          <w:sz w:val="20"/>
          <w:szCs w:val="20"/>
          <w:color w:val="auto"/>
        </w:rPr>
      </w:pPr>
      <w:r>
        <w:rPr>
          <w:rFonts w:ascii="Arial" w:cs="Arial" w:eastAsia="Arial" w:hAnsi="Arial"/>
          <w:sz w:val="16"/>
          <w:szCs w:val="16"/>
          <w:color w:val="auto"/>
        </w:rPr>
        <w:t>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For example, in May 2022, the FDA published a Letter to Healthcare Providers entitled "Potential Risk of Exposure to Toxic Compounds When Using Certain Hemodialysis Machines Manufactured by Fresenius Medical Care – Letter to Health Care Providers." In that communication, the agency stated that it is evaluating the potential risk of exposure to NDL PCBA and NDL PCBs with certain hemodialysis machines marketed in the United States. The FDA stated that the source of the NDL PCBAs and NDL PCBs is from the silicone tubing used as a part of the hydraulics in those machines and the dialysate lines. Although the Tablo Hemodialysis System was not the subject of the FDA’s Letter to Healthcare Providers, the FDA reached out to Outset regarding the tubing used in the Tablo. In a series of discussions with the FDA, the agency requested that we conduct a targeted analysis and a screening analysis on the tubing used in the Tablo Hemodialysis System. The FDA is requesting data on three specific compounds of PCB / PCBA as well as screening for other toxins and PCB/PCBAs. We are cooperating fully with the agency and are in the process of finalizing testing and screening protocols for submission to the FDA, and plan to perform the analysis in the first half of 2023. Based on the results of this testing, Outset may be required to take additional actions including submission of a 510(k) application for modified silicone tubing, if necessary, or even conduct a recall of previously marketed products.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right="420"/>
        <w:spacing w:after="0" w:line="277" w:lineRule="auto"/>
        <w:rPr>
          <w:sz w:val="20"/>
          <w:szCs w:val="20"/>
          <w:color w:val="auto"/>
        </w:rPr>
      </w:pPr>
      <w:r>
        <w:rPr>
          <w:rFonts w:ascii="Arial" w:cs="Arial" w:eastAsia="Arial" w:hAnsi="Arial"/>
          <w:sz w:val="18"/>
          <w:szCs w:val="18"/>
          <w:b w:val="1"/>
          <w:bCs w:val="1"/>
          <w:i w:val="1"/>
          <w:iCs w:val="1"/>
          <w:color w:val="auto"/>
        </w:rPr>
        <w:t>condition and results of operations. The discovery of serious safety issues with our products, or a recall of our products either voluntarily or at the direction of the FDA or another governmental authority, could have a negative impact on us.</w:t>
      </w:r>
    </w:p>
    <w:p>
      <w:pPr>
        <w:spacing w:after="0" w:line="6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Manufacturers are also expected to maintain certain policies, procedures, and records regarding complaints and medical device reporting. If we fail to comply with our reporting and recordkeeping obligations, the FDA could take action, including warning letters, untitled letters, it has come to our attention letters, administrative actions, criminal prosecution, imposition of civil monetary penalties, revocation of our device clearance or approval, seizure of our products or delay in clearance or approval of future products.</w:t>
      </w:r>
    </w:p>
    <w:p>
      <w:pPr>
        <w:spacing w:after="0" w:line="77"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For example, in January 2022 we proactively initiated a recall to replace a component in Tablo consoles at customer sites due to the possibility of heat-related damage to the device as a result of the component.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58"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such as Tablo, may in the future be subject to product recalls that could harm our reputation, business and financial results.</w:t>
      </w:r>
    </w:p>
    <w:p>
      <w:pPr>
        <w:spacing w:after="0" w:line="129"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w:t>
      </w:r>
    </w:p>
    <w:p>
      <w:pPr>
        <w:spacing w:after="0" w:line="80"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regulatory or enforcement actions if we engage in improper marketing or promotion of Tablo.</w:t>
      </w:r>
    </w:p>
    <w:p>
      <w:pPr>
        <w:spacing w:after="0" w:line="117"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Tablo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any of which could have an adverse impact on our reputation and financial results.</w:t>
      </w:r>
    </w:p>
    <w:p>
      <w:pPr>
        <w:spacing w:after="0" w:line="8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right="60"/>
        <w:spacing w:after="0" w:line="271" w:lineRule="auto"/>
        <w:rPr>
          <w:sz w:val="20"/>
          <w:szCs w:val="20"/>
          <w:color w:val="auto"/>
        </w:rPr>
      </w:pPr>
      <w:r>
        <w:rPr>
          <w:rFonts w:ascii="Arial" w:cs="Arial" w:eastAsia="Arial" w:hAnsi="Arial"/>
          <w:sz w:val="17"/>
          <w:szCs w:val="17"/>
          <w:color w:val="auto"/>
        </w:rPr>
        <w:t>considered off-label promotion of Tablo, the FDA or another regulatory agency could disagree and conclude that we have engaged in off-label promotion. It is also possible that other federal, state or foreign enforcement authorities might take action, including, but not limited to, through a whistleblower action under the FCA, if they consider our business activities to constitute promotion of an off-label use, which could result in significant penalties, including, but not limited to, criminal, civil or administrative penalties, treble damages, fines, disgorgement, exclusion from participation in government healthcare programs, reporting requirements and compliance oversight if we become subject to a corporate integrity agreement or similar agreement to resolve allegations of non-compliance with these laws, and the curtailment or restructuring of our operations. In addition, the off-label use of Tablo may increase the risk of product liability claims. Product liability claims are expensive to defend and could divert our management’s attention, result in substantial damage awards against us, and harm our reputation.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p>
    <w:p>
      <w:pPr>
        <w:spacing w:after="0" w:line="62"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56"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70"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w:t>
      </w:r>
    </w:p>
    <w:p>
      <w:pPr>
        <w:spacing w:after="0" w:line="76"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79"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Initiating and completing clinical trials necessary to support any future PMAs,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64"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left="1140" w:right="300" w:hanging="383"/>
        <w:spacing w:after="0" w:line="308" w:lineRule="auto"/>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submit an IDE application to the FDA, which must become effective prior to commencing certain human clinical trials of medical devices, and the FDA may reject our IDE application and notify us that we may not begin clinical trials;</w:t>
      </w:r>
    </w:p>
    <w:p>
      <w:pPr>
        <w:spacing w:after="0" w:line="38" w:lineRule="exact"/>
        <w:rPr>
          <w:rFonts w:ascii="Arial" w:cs="Arial" w:eastAsia="Arial" w:hAnsi="Arial"/>
          <w:sz w:val="17"/>
          <w:szCs w:val="17"/>
          <w:color w:val="auto"/>
        </w:rPr>
      </w:pPr>
    </w:p>
    <w:p>
      <w:pPr>
        <w:ind w:left="1140" w:hanging="383"/>
        <w:spacing w:after="0"/>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regulators and other comparable foreign regulatory authorities may disagree as to the design or implementation of our clinical trials;</w:t>
      </w:r>
    </w:p>
    <w:p>
      <w:pPr>
        <w:spacing w:after="0" w:line="128" w:lineRule="exact"/>
        <w:rPr>
          <w:rFonts w:ascii="Arial" w:cs="Arial" w:eastAsia="Arial" w:hAnsi="Arial"/>
          <w:sz w:val="17"/>
          <w:szCs w:val="17"/>
          <w:color w:val="auto"/>
        </w:rPr>
      </w:pPr>
    </w:p>
    <w:p>
      <w:pPr>
        <w:ind w:left="1140" w:right="12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and/or an IRB, or other reviewing bodies may not authorize us or our investigators to commence a clinical trial, or to conduct or continue a clinical trial at a prospective or specific trial site;</w:t>
      </w:r>
    </w:p>
    <w:p>
      <w:pPr>
        <w:spacing w:after="0" w:line="62" w:lineRule="exact"/>
        <w:rPr>
          <w:rFonts w:ascii="Arial" w:cs="Arial" w:eastAsia="Arial" w:hAnsi="Arial"/>
          <w:sz w:val="18"/>
          <w:szCs w:val="18"/>
          <w:color w:val="auto"/>
        </w:rPr>
      </w:pPr>
    </w:p>
    <w:p>
      <w:pPr>
        <w:ind w:left="1140" w:right="60" w:hanging="383"/>
        <w:spacing w:after="0" w:line="308" w:lineRule="auto"/>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not reach agreement on acceptable terms with prospective contract research organizations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140" w:right="10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jc w:val="both"/>
        <w:ind w:left="1140" w:right="400" w:hanging="383"/>
        <w:spacing w:after="0" w:line="311" w:lineRule="auto"/>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40" w:lineRule="exact"/>
        <w:rPr>
          <w:rFonts w:ascii="Arial" w:cs="Arial" w:eastAsia="Arial" w:hAnsi="Arial"/>
          <w:sz w:val="16"/>
          <w:szCs w:val="16"/>
          <w:color w:val="auto"/>
        </w:rPr>
      </w:pPr>
    </w:p>
    <w:p>
      <w:pPr>
        <w:ind w:left="1140" w:right="42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140" w:right="6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might have to suspend or terminate clinical trials for various reasons, including the withdrawal of approval of an IDE by the FDA based on, for example, a finding that the subjects are being exposed to unacceptable health risks;</w:t>
      </w:r>
    </w:p>
    <w:p>
      <w:pPr>
        <w:spacing w:after="0" w:line="62"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62"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sites may not adhere to the clinical protocol or may drop out of a clinical trial;</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trial sites;</w:t>
      </w:r>
    </w:p>
    <w:p>
      <w:pPr>
        <w:spacing w:after="0" w:line="117" w:lineRule="exact"/>
        <w:rPr>
          <w:rFonts w:ascii="Arial" w:cs="Arial" w:eastAsia="Arial" w:hAnsi="Arial"/>
          <w:sz w:val="18"/>
          <w:szCs w:val="18"/>
          <w:color w:val="auto"/>
        </w:rPr>
      </w:pPr>
    </w:p>
    <w:p>
      <w:pPr>
        <w:ind w:left="1140" w:hanging="383"/>
        <w:spacing w:after="0" w:line="259"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78" w:lineRule="exact"/>
        <w:rPr>
          <w:rFonts w:ascii="Arial" w:cs="Arial" w:eastAsia="Arial" w:hAnsi="Arial"/>
          <w:sz w:val="18"/>
          <w:szCs w:val="18"/>
          <w:color w:val="auto"/>
        </w:rPr>
      </w:pPr>
    </w:p>
    <w:p>
      <w:pPr>
        <w:ind w:left="1140" w:right="24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approval policies or regulations of the FDA or applicable foreign regulatory agencies may change in a manner rendering our clinical data insufficient for approval;</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or future products may have undesirable side effects or other unexpected characteristics; and</w:t>
      </w:r>
    </w:p>
    <w:p>
      <w:pPr>
        <w:spacing w:after="0" w:line="117" w:lineRule="exact"/>
        <w:rPr>
          <w:rFonts w:ascii="Arial" w:cs="Arial" w:eastAsia="Arial" w:hAnsi="Arial"/>
          <w:sz w:val="18"/>
          <w:szCs w:val="18"/>
          <w:color w:val="auto"/>
        </w:rPr>
      </w:pPr>
    </w:p>
    <w:p>
      <w:pPr>
        <w:ind w:left="1140" w:right="80" w:hanging="383"/>
        <w:spacing w:after="0" w:line="259"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impacts of regional or global public health crises including the recent COVID-19 pandemic could adversely affect any clinical trials we are conducting or plan to conduct, including delays or difficulties in enrolling or onboarding patients, initiating clinical sites, or obtaining the requisite regulatory approvals, interruption of key clinical trial activities, or supply chain disruptions that delay or make it more difficult or costly to obtain the supplies and materials we need for clinical trials.</w:t>
      </w:r>
    </w:p>
    <w:p>
      <w:pPr>
        <w:spacing w:after="0" w:line="79"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76"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Clinical trials must be conducted in accordance with applicable laws and regulations of the FDA and other regulatory authorities’ applicable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ind w:right="220"/>
        <w:spacing w:after="0" w:line="263" w:lineRule="auto"/>
        <w:rPr>
          <w:sz w:val="20"/>
          <w:szCs w:val="20"/>
          <w:color w:val="auto"/>
        </w:rPr>
      </w:pPr>
      <w:r>
        <w:rPr>
          <w:rFonts w:ascii="Arial" w:cs="Arial" w:eastAsia="Arial" w:hAnsi="Arial"/>
          <w:sz w:val="18"/>
          <w:szCs w:val="18"/>
          <w:color w:val="auto"/>
        </w:rPr>
        <w:t>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76"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70"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62"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We may not have the ability to independently conduct our pre-clinical and clinical trials for our future products and we may need to rely on third parties, such as CROs, medical institutions, clinical investigators and contract laboratories to conduct such trials. We would depend on our collaborators and on medical institutions and CROs to conduct our clinical trials in compliance with GCP requirements, and other regulatory requirements.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w:t>
      </w:r>
    </w:p>
    <w:p>
      <w:pPr>
        <w:spacing w:after="0" w:line="69"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19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740"/>
        <w:spacing w:after="0" w:line="277" w:lineRule="auto"/>
        <w:rPr>
          <w:sz w:val="20"/>
          <w:szCs w:val="20"/>
          <w:color w:val="auto"/>
        </w:rPr>
      </w:pPr>
      <w:r>
        <w:rPr>
          <w:rFonts w:ascii="Arial" w:cs="Arial" w:eastAsia="Arial" w:hAnsi="Arial"/>
          <w:sz w:val="18"/>
          <w:szCs w:val="18"/>
          <w:color w:val="auto"/>
        </w:rPr>
        <w:t>operations may rely, including those that fund research and development activities is subject to the political process, which is inherently fluid and unpredictable.</w:t>
      </w:r>
    </w:p>
    <w:p>
      <w:pPr>
        <w:spacing w:after="0" w:line="62"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product applications to be reviewed and/or approved by necessary government agencies, which would adversely affect our business. For example, the U.S. government could shut down causing certain regulatory agencies, including the FDA, to furlough critical employees and stop critical activities. Separately, in response to the COVID-19 pandemic, the FDA postponed most inspections of foreign and domestic manufacturing facilities. Although inspections have resumed to near pre-pandemic levels, the FDA could amend its priorities with respect to inspections at any time, and those changes could have a material effect on our regulatory submissions and on our business.</w:t>
      </w:r>
    </w:p>
    <w:p>
      <w:pPr>
        <w:spacing w:after="0" w:line="192"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data privacy and security regulations, and our failure to comply with those regulations or to adequately secure the information we hold could result in significant liability or reputational harm and, in turn, a material adverse effect on our client base, member base and revenue.</w:t>
      </w:r>
    </w:p>
    <w:p>
      <w:pPr>
        <w:spacing w:after="0" w:line="23" w:lineRule="exact"/>
        <w:rPr>
          <w:sz w:val="20"/>
          <w:szCs w:val="20"/>
          <w:color w:val="auto"/>
        </w:rPr>
      </w:pPr>
    </w:p>
    <w:p>
      <w:pPr>
        <w:ind w:right="140" w:firstLine="749"/>
        <w:spacing w:after="0" w:line="275" w:lineRule="auto"/>
        <w:rPr>
          <w:sz w:val="20"/>
          <w:szCs w:val="20"/>
          <w:color w:val="auto"/>
        </w:rPr>
      </w:pPr>
      <w:r>
        <w:rPr>
          <w:rFonts w:ascii="Arial" w:cs="Arial" w:eastAsia="Arial" w:hAnsi="Arial"/>
          <w:sz w:val="17"/>
          <w:szCs w:val="17"/>
          <w:color w:val="auto"/>
        </w:rPr>
        <w:t>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PHI (as defined in HIPAA) by health plans, healthcare clearinghouses and certain healthcare providers, referred to as covered entities, and the business associates with whom such covered entities contract to provide specified services or perform a function for or on behalf of such covered entities. We are a business associate under HIPAA and we execute business associate agreements with our clients.</w:t>
      </w:r>
    </w:p>
    <w:p>
      <w:pPr>
        <w:spacing w:after="0" w:line="68"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HIPAA requires covered entities and business associates, such as us, to develop and maintain policies with respect to the protection, use and disclosure of electronic PHI, including the adoption of administrative, physical and technical safeguards to protect such information, and imposes certain notification and reporting requirements in the event of a data breach.</w:t>
      </w:r>
    </w:p>
    <w:p>
      <w:pPr>
        <w:spacing w:after="0" w:line="76"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Violations of HIPAA may result in significant civil and criminal penalties.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w:t>
      </w:r>
    </w:p>
    <w:p>
      <w:pPr>
        <w:spacing w:after="0" w:line="7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Rules.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79"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Finally, on December 10, 2020, OCR issued a proposed rule aimed at reducing regulatory burdens that may exist in discouraging coordination of care, including creating an exception to the minimum necessary standard for healthcare coordination, among other changes. While a final rule has not yet been issued, if adopted, these proposed changes may require us to update our HIPAA policies and procedures to comply with the new requirements.</w:t>
      </w:r>
    </w:p>
    <w:p>
      <w:pPr>
        <w:spacing w:after="0" w:line="41"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In addition to HIPAA, numerous other federal and state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changed or differing interpretations, and we expect new laws, rules and regulations regarding privacy, data protection, and information security to be proposed and enacted in the future. For example, the CCPA, became effective on January 1, 2020. The CCPA gives California residents new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it may regulate or impact our processing of personal information depending on the context, and the CCPA may increase our compliance costs and potential liability. Additionally, our machine learning and data analytics offerings may be subject to laws and evolving regulations regarding the use of artificial intelligence, controlling for data bias, and antidiscrimination.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140" w:firstLine="749"/>
        <w:spacing w:after="0" w:line="291" w:lineRule="auto"/>
        <w:rPr>
          <w:sz w:val="20"/>
          <w:szCs w:val="20"/>
          <w:color w:val="auto"/>
        </w:rPr>
      </w:pPr>
      <w:r>
        <w:rPr>
          <w:rFonts w:ascii="Arial" w:cs="Arial" w:eastAsia="Arial" w:hAnsi="Arial"/>
          <w:sz w:val="16"/>
          <w:szCs w:val="16"/>
          <w:color w:val="auto"/>
        </w:rPr>
        <w:t>Other states, including Nevada, Virginia, Colorado, and Utah have passed data protection laws, or are considering passing legislation, similar to CCPA. To the extent these laws apply to our operations, they may impose organizational requirements and grant individual rights that are comparable to those established in the CCPA. Additionally, a ballot initiative, the CPRA, passed in November 2020 in California. The CPRA amendments to the CCPA impose additional data protection obligations on companies doing business in California, including additional consumer rights processes, limitations on data uses, new audit requirements for higher risk data, and opt outs for certain uses of sensitive data. The amendments also created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will be required.</w:t>
      </w:r>
    </w:p>
    <w:p>
      <w:pPr>
        <w:spacing w:after="0" w:line="58"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Additionally, the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spacing w:after="0" w:line="64" w:lineRule="exact"/>
        <w:rPr>
          <w:sz w:val="20"/>
          <w:szCs w:val="20"/>
          <w:color w:val="auto"/>
        </w:rPr>
      </w:pPr>
    </w:p>
    <w:p>
      <w:pPr>
        <w:ind w:right="60" w:firstLine="749"/>
        <w:spacing w:after="0" w:line="289" w:lineRule="auto"/>
        <w:rPr>
          <w:sz w:val="20"/>
          <w:szCs w:val="20"/>
          <w:color w:val="auto"/>
        </w:rPr>
      </w:pPr>
      <w:r>
        <w:rPr>
          <w:rFonts w:ascii="Arial" w:cs="Arial" w:eastAsia="Arial" w:hAnsi="Arial"/>
          <w:sz w:val="16"/>
          <w:szCs w:val="16"/>
          <w:color w:val="auto"/>
        </w:rPr>
        <w:t>This complex, dynamic legal landscape regarding privacy, data protection, data analytics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58"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78"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62"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76" w:lineRule="exact"/>
        <w:rPr>
          <w:sz w:val="20"/>
          <w:szCs w:val="20"/>
          <w:color w:val="auto"/>
        </w:rPr>
      </w:pPr>
    </w:p>
    <w:p>
      <w:pPr>
        <w:ind w:left="1140" w:hanging="383"/>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FDA requirements, including those laws requiring the reporting of true, complete and accurate information to the FDA authorities;</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20" w:firstLine="749"/>
        <w:spacing w:after="0" w:line="272"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commissions,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disqualification from clinical trials, or exclusion by OIG could result in penalties, a loss of business from third parties, and severe reputational harm.</w:t>
      </w:r>
    </w:p>
    <w:p>
      <w:pPr>
        <w:spacing w:after="0" w:line="69"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reporting requirements and compliance oversight if we become subject to a corporate integrity agreement or similar agreement to resolve allegations of non-compliance with these laws, and curtailment of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environmental and occupational safety laws.</w:t>
      </w:r>
    </w:p>
    <w:p>
      <w:pPr>
        <w:spacing w:after="0" w:line="117"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 and may accordingly adversely affect our business, financial condition or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to protect our intellectual property.</w:t>
      </w:r>
    </w:p>
    <w:p>
      <w:pPr>
        <w:spacing w:after="0" w:line="117" w:lineRule="exact"/>
        <w:rPr>
          <w:sz w:val="20"/>
          <w:szCs w:val="20"/>
          <w:color w:val="auto"/>
        </w:rPr>
      </w:pPr>
    </w:p>
    <w:p>
      <w:pPr>
        <w:jc w:val="both"/>
        <w:ind w:right="120" w:firstLine="749"/>
        <w:spacing w:after="0" w:line="257" w:lineRule="auto"/>
        <w:rPr>
          <w:sz w:val="20"/>
          <w:szCs w:val="20"/>
          <w:color w:val="auto"/>
        </w:rPr>
      </w:pPr>
      <w:r>
        <w:rPr>
          <w:rFonts w:ascii="Arial" w:cs="Arial" w:eastAsia="Arial" w:hAnsi="Arial"/>
          <w:sz w:val="18"/>
          <w:szCs w:val="18"/>
          <w:color w:val="auto"/>
        </w:rPr>
        <w:t>Our commercial success will depend in part in our ability to obtain and maintain patent and other intellectual property protection in the United States and other countries with respect to our technology. We rely on patent protection, as well as a combination of copyright, trade secret and trademark laws, to protect our proprietary technology and prevent others from duplicating Tablo. However, these means may afford only limited protection and may not prevent our competitors from duplicating Tablo, prevent our competitors from gaining access to our proprietary information and technology, or permit us to gain or maintain a competitive advantage.</w:t>
      </w:r>
    </w:p>
    <w:p>
      <w:pPr>
        <w:spacing w:after="0" w:line="80"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We may not prevail if our patents are challenged by competitors or other third parties. The U.S. federal courts or equivalent national courts or patent offices elsewhere may invalidate our patents, find them unenforceable, or narrow their scope. Furthermore, competitors may be able to design around our patents, or obtain patent protection for more effective technologies, designs or methods for treating kidney failure. If these developments were to occur, Tablo may become less competitive and sales of Tablo may decline.</w:t>
      </w:r>
    </w:p>
    <w:p>
      <w:pPr>
        <w:spacing w:after="0" w:line="80" w:lineRule="exact"/>
        <w:rPr>
          <w:sz w:val="20"/>
          <w:szCs w:val="20"/>
          <w:color w:val="auto"/>
        </w:rPr>
      </w:pPr>
    </w:p>
    <w:p>
      <w:pPr>
        <w:ind w:right="60" w:firstLine="749"/>
        <w:spacing w:after="0" w:line="288" w:lineRule="auto"/>
        <w:rPr>
          <w:sz w:val="20"/>
          <w:szCs w:val="20"/>
          <w:color w:val="auto"/>
        </w:rPr>
      </w:pPr>
      <w:r>
        <w:rPr>
          <w:rFonts w:ascii="Arial" w:cs="Arial" w:eastAsia="Arial" w:hAnsi="Arial"/>
          <w:sz w:val="16"/>
          <w:szCs w:val="16"/>
          <w:color w:val="auto"/>
        </w:rPr>
        <w:t>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If we are unable to obtain and maintain patent protection for our technology, or if the scope of the patent protection obtained is not sufficient, our competitors could develop and commercialize products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60"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Additionally, while software and other of our proprietary works may be protected under copyright law, we have chosen not to register any copyrights in these works, and instead, primarily rely on protecting our software with patents and as a trade secret. In order to bring a copyright infringement lawsuit in the United States, the copyright must be registered. Accordingly, the remedies and damages available to us for unauthorized use of our software may be limited.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80"/>
        <w:spacing w:after="0" w:line="263" w:lineRule="auto"/>
        <w:rPr>
          <w:sz w:val="20"/>
          <w:szCs w:val="20"/>
          <w:color w:val="auto"/>
        </w:rPr>
      </w:pPr>
      <w:r>
        <w:rPr>
          <w:rFonts w:ascii="Arial" w:cs="Arial" w:eastAsia="Arial" w:hAnsi="Arial"/>
          <w:sz w:val="18"/>
          <w:szCs w:val="18"/>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Tablo.</w:t>
      </w:r>
    </w:p>
    <w:p>
      <w:pPr>
        <w:spacing w:after="0" w:line="76"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We may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Tablo.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Tablo.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Tablo.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addition to seeking patent protection for Tablo,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70"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w:t>
      </w:r>
    </w:p>
    <w:p>
      <w:pPr>
        <w:spacing w:after="0" w:line="77"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have a material adverse effect on our business, financial condition and results of operations.</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76"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60" w:firstLine="749"/>
        <w:spacing w:after="0" w:line="254" w:lineRule="auto"/>
        <w:rPr>
          <w:sz w:val="20"/>
          <w:szCs w:val="20"/>
          <w:color w:val="auto"/>
        </w:rPr>
      </w:pPr>
      <w:r>
        <w:rPr>
          <w:rFonts w:ascii="Arial" w:cs="Arial" w:eastAsia="Arial" w:hAnsi="Arial"/>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Tablo, if such technologies or features are found to incorporate or be derived from the trade secrets or other proprietary information of the former employers.</w:t>
      </w:r>
    </w:p>
    <w:p>
      <w:pPr>
        <w:spacing w:after="0" w:line="8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An inability to incorporate technologies or features that are important or essential to our product could have a material adverse effect on our business, financial condition and results of operations, and may prevent us from selling Tablo.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existing and future products.</w:t>
      </w:r>
    </w:p>
    <w:p>
      <w:pPr>
        <w:spacing w:after="0" w:line="140"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71"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62"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Competitors may infringe our patents, or we may be required to enforce patents issued or licensed to us, to protect our trade secrets or know-how, to defend against claims of infringement of the rights of others or to determine the scope and validity of the proprietary rights of others. In addition, our patents also may become involved in inventorship, priority or validity disputes. To counter or defend against such claims can be expensive and time-consuming and could divert our attention from other functions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80"/>
        <w:spacing w:after="0" w:line="253" w:lineRule="auto"/>
        <w:rPr>
          <w:sz w:val="20"/>
          <w:szCs w:val="20"/>
          <w:color w:val="auto"/>
        </w:rPr>
      </w:pPr>
      <w:r>
        <w:rPr>
          <w:rFonts w:ascii="Arial" w:cs="Arial" w:eastAsia="Arial" w:hAnsi="Arial"/>
          <w:sz w:val="18"/>
          <w:szCs w:val="18"/>
          <w:color w:val="auto"/>
        </w:rPr>
        <w:t>responsibilities. In an infringement proceeding, a court may decide that a patent owned by us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w:t>
      </w:r>
    </w:p>
    <w:p>
      <w:pPr>
        <w:spacing w:after="0" w:line="88" w:lineRule="exact"/>
        <w:rPr>
          <w:sz w:val="20"/>
          <w:szCs w:val="20"/>
          <w:color w:val="auto"/>
        </w:rPr>
      </w:pPr>
    </w:p>
    <w:p>
      <w:pPr>
        <w:ind w:right="60" w:firstLine="749"/>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Tablo and subject us to possible litigation.</w:t>
      </w:r>
    </w:p>
    <w:p>
      <w:pPr>
        <w:spacing w:after="0" w:line="62" w:lineRule="exact"/>
        <w:rPr>
          <w:sz w:val="20"/>
          <w:szCs w:val="20"/>
          <w:color w:val="auto"/>
        </w:rPr>
      </w:pPr>
    </w:p>
    <w:p>
      <w:pPr>
        <w:ind w:right="20" w:firstLine="749"/>
        <w:spacing w:after="0" w:line="285"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open-source software into other products in the future. Such open-source software is generally licensed by its authors or other third parties under open-source licenses. Some open-source licenses contain requirements that we disclose source code for modifications we make to the open-source software and that we license such modifications to third parties at no cost. In some circumstances, distribution of our software in connection with open-source software could require that we disclose and license some or all of our proprietary code in that software, as well as distribute our software that uses particular open-source software at no cost to the user. We monitor our use of open-source software in an effort to avoid uses in a manner that would require us to disclose or grant licenses under our proprietary source code; however, there can be no assurance that such efforts will be successful. Open-source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Tablo and our technologies.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Tablo. In addition, if we combine our proprietary software with open-source software in certain ways, under some open-source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140" w:right="380" w:hanging="38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Tablo or utilize similar technology but that are not covered by the claims of our patents or that incorporate certain technology in Tablo that is in the public domain;</w:t>
      </w:r>
    </w:p>
    <w:p>
      <w:pPr>
        <w:spacing w:after="0" w:line="62"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62" w:lineRule="exact"/>
        <w:rPr>
          <w:rFonts w:ascii="Arial" w:cs="Arial" w:eastAsia="Arial" w:hAnsi="Arial"/>
          <w:sz w:val="18"/>
          <w:szCs w:val="18"/>
          <w:color w:val="auto"/>
        </w:rPr>
      </w:pPr>
    </w:p>
    <w:p>
      <w:pPr>
        <w:ind w:left="1140" w:right="740" w:hanging="38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17"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1140" w:hanging="383"/>
        <w:spacing w:after="0" w:line="342"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5" w:lineRule="exact"/>
        <w:rPr>
          <w:rFonts w:ascii="Arial" w:cs="Arial" w:eastAsia="Arial" w:hAnsi="Arial"/>
          <w:sz w:val="16"/>
          <w:szCs w:val="16"/>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1140" w:right="200" w:hanging="38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340" w:firstLine="749"/>
        <w:spacing w:after="0" w:line="342" w:lineRule="auto"/>
        <w:rPr>
          <w:sz w:val="20"/>
          <w:szCs w:val="20"/>
          <w:color w:val="auto"/>
        </w:rPr>
      </w:pPr>
      <w:r>
        <w:rPr>
          <w:rFonts w:ascii="Arial" w:cs="Arial" w:eastAsia="Arial" w:hAnsi="Arial"/>
          <w:sz w:val="16"/>
          <w:szCs w:val="16"/>
          <w:color w:val="auto"/>
        </w:rPr>
        <w:t>Third parties may attempt to commercialize competitive products or services in foreign countries where we do not have any patents or patent applications and/or where legal recourse may be limited. This may have a significant commercial impact on any foreign business operations.</w:t>
      </w:r>
    </w:p>
    <w:p>
      <w:pPr>
        <w:spacing w:after="0" w:line="16" w:lineRule="exact"/>
        <w:rPr>
          <w:sz w:val="20"/>
          <w:szCs w:val="20"/>
          <w:color w:val="auto"/>
        </w:rPr>
      </w:pPr>
    </w:p>
    <w:p>
      <w:pPr>
        <w:ind w:right="140" w:firstLine="749"/>
        <w:spacing w:after="0" w:line="254" w:lineRule="auto"/>
        <w:rPr>
          <w:sz w:val="20"/>
          <w:szCs w:val="20"/>
          <w:color w:val="auto"/>
        </w:rPr>
      </w:pPr>
      <w:r>
        <w:rPr>
          <w:rFonts w:ascii="Arial" w:cs="Arial" w:eastAsia="Arial" w:hAnsi="Arial"/>
          <w:sz w:val="18"/>
          <w:szCs w:val="18"/>
          <w:color w:val="auto"/>
        </w:rPr>
        <w:t>Filing, prosecuting and defending patents on Tablo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Tablo, and our patents or other intellectual property rights may not be effective or sufficient to prevent them from competing.</w:t>
      </w:r>
    </w:p>
    <w:p>
      <w:pPr>
        <w:spacing w:after="0" w:line="87"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3" w:lineRule="exact"/>
        <w:rPr>
          <w:sz w:val="20"/>
          <w:szCs w:val="20"/>
          <w:color w:val="auto"/>
        </w:rPr>
      </w:pPr>
    </w:p>
    <w:p>
      <w:pPr>
        <w:ind w:right="220" w:firstLine="74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The market price of our common stock has been and may continue to be volatile and may decline steeply or suddenly regardless of our operating performance, which could result in substantial losses for holders of our common stock, and we may not be able to meet investor or analyst expectations.</w:t>
      </w:r>
    </w:p>
    <w:p>
      <w:pPr>
        <w:spacing w:after="0" w:line="1"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market price of our common stock has been and may continue to be highly volatile and may continue to fluctuate or decline significantly in response to numerous factors, many of which are beyond our control, including:</w:t>
      </w:r>
    </w:p>
    <w:p>
      <w:pPr>
        <w:spacing w:after="0" w:line="62" w:lineRule="exact"/>
        <w:rPr>
          <w:sz w:val="20"/>
          <w:szCs w:val="20"/>
          <w:color w:val="auto"/>
        </w:rPr>
      </w:pPr>
    </w:p>
    <w:p>
      <w:pPr>
        <w:ind w:left="1140" w:right="140" w:hanging="383"/>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and variations between our actual operating results and the expectations of securities analysts, investors and the financial community;</w:t>
      </w:r>
    </w:p>
    <w:p>
      <w:pPr>
        <w:spacing w:after="0" w:line="62" w:lineRule="exact"/>
        <w:rPr>
          <w:rFonts w:ascii="Arial" w:cs="Arial" w:eastAsia="Arial" w:hAnsi="Arial"/>
          <w:sz w:val="18"/>
          <w:szCs w:val="18"/>
          <w:color w:val="auto"/>
        </w:rPr>
      </w:pPr>
    </w:p>
    <w:p>
      <w:pPr>
        <w:ind w:left="1140" w:right="80" w:hanging="383"/>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left="1140" w:right="20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additional shares of our common stock being sold into the market by us or our existing stockholders, or the anticipation of such sales;</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140" w:right="10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1140" w:right="44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62" w:lineRule="exact"/>
        <w:rPr>
          <w:rFonts w:ascii="Arial" w:cs="Arial" w:eastAsia="Arial" w:hAnsi="Arial"/>
          <w:sz w:val="18"/>
          <w:szCs w:val="18"/>
          <w:color w:val="auto"/>
        </w:rPr>
      </w:pPr>
    </w:p>
    <w:p>
      <w:pPr>
        <w:ind w:left="1140" w:right="34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political conditions, election cycles, war or incidents of terrorism, or responses to these events.</w:t>
      </w:r>
    </w:p>
    <w:p>
      <w:pPr>
        <w:spacing w:after="0" w:line="62" w:lineRule="exact"/>
        <w:rPr>
          <w:sz w:val="20"/>
          <w:szCs w:val="20"/>
          <w:color w:val="auto"/>
        </w:rPr>
      </w:pPr>
    </w:p>
    <w:p>
      <w:pPr>
        <w:ind w:right="220" w:firstLine="749"/>
        <w:spacing w:after="0" w:line="301" w:lineRule="auto"/>
        <w:rPr>
          <w:sz w:val="20"/>
          <w:szCs w:val="20"/>
          <w:color w:val="auto"/>
        </w:rPr>
      </w:pPr>
      <w:r>
        <w:rPr>
          <w:rFonts w:ascii="Arial" w:cs="Arial" w:eastAsia="Arial" w:hAnsi="Arial"/>
          <w:sz w:val="16"/>
          <w:szCs w:val="16"/>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49"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9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62"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the SLR Credit Facility Agreements restrict our ability to pay dividends to limited circumstances. Accordingly, investors must rely on sales of their common stock after price appreciation, which may never occur, as the only way to realize any future gains on their investments.</w:t>
      </w:r>
    </w:p>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76"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exercise significant influence over matters subject to stockholder approval.</w:t>
      </w:r>
    </w:p>
    <w:p>
      <w:pPr>
        <w:spacing w:after="0" w:line="6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Based on available information, we believe that, as of December 31, 2022, our executive officers, directors and 5% stockholders beneficially owned approximately 52% of the outstanding shares of capital stock. In addition, as of December 31, 2022, our executive officers and directors held options to purchase an aggregate of 1,892,625 shares of our common stock at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140"/>
        <w:spacing w:after="0" w:line="254" w:lineRule="auto"/>
        <w:rPr>
          <w:sz w:val="20"/>
          <w:szCs w:val="20"/>
          <w:color w:val="auto"/>
        </w:rPr>
      </w:pPr>
      <w:r>
        <w:rPr>
          <w:rFonts w:ascii="Arial" w:cs="Arial" w:eastAsia="Arial" w:hAnsi="Arial"/>
          <w:sz w:val="18"/>
          <w:szCs w:val="18"/>
          <w:color w:val="auto"/>
        </w:rPr>
        <w:t>weighted-average exercise price of $10.95 per share, and 622,145 restricted stock units, which would give our officers and directors ownership of approximately 5% of our outstanding common stock as of December 31, 2022 if such awards were fully vested and exercised or settled in full (assuming over-achievement of any performance conditions). Therefore, these stockholders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12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6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76" w:lineRule="exact"/>
        <w:rPr>
          <w:sz w:val="20"/>
          <w:szCs w:val="20"/>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17" w:lineRule="exact"/>
        <w:rPr>
          <w:rFonts w:ascii="Arial" w:cs="Arial" w:eastAsia="Arial" w:hAnsi="Arial"/>
          <w:sz w:val="18"/>
          <w:szCs w:val="18"/>
          <w:color w:val="auto"/>
        </w:rPr>
      </w:pPr>
    </w:p>
    <w:p>
      <w:pPr>
        <w:ind w:left="1140" w:right="360" w:hanging="383"/>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by the affirmative vote of the holders of at least a majority of the voting power of all then outstanding shares of our capital stock;</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bylaws;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17" w:lineRule="exact"/>
        <w:rPr>
          <w:rFonts w:ascii="Arial" w:cs="Arial" w:eastAsia="Arial" w:hAnsi="Arial"/>
          <w:sz w:val="18"/>
          <w:szCs w:val="18"/>
          <w:color w:val="auto"/>
        </w:rPr>
      </w:pPr>
    </w:p>
    <w:p>
      <w:pPr>
        <w:ind w:left="1140" w:right="60" w:hanging="383"/>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62"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6"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100"/>
        <w:spacing w:after="0" w:line="259" w:lineRule="auto"/>
        <w:rPr>
          <w:sz w:val="20"/>
          <w:szCs w:val="20"/>
          <w:color w:val="auto"/>
        </w:rPr>
      </w:pPr>
      <w:r>
        <w:rPr>
          <w:rFonts w:ascii="Arial" w:cs="Arial" w:eastAsia="Arial" w:hAnsi="Arial"/>
          <w:sz w:val="18"/>
          <w:szCs w:val="18"/>
          <w:color w:val="auto"/>
        </w:rPr>
        <w:t>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79" w:lineRule="exact"/>
        <w:rPr>
          <w:sz w:val="20"/>
          <w:szCs w:val="20"/>
          <w:color w:val="auto"/>
        </w:rPr>
      </w:pPr>
    </w:p>
    <w:p>
      <w:pPr>
        <w:ind w:right="180" w:firstLine="749"/>
        <w:spacing w:after="0" w:line="308" w:lineRule="auto"/>
        <w:rPr>
          <w:sz w:val="20"/>
          <w:szCs w:val="20"/>
          <w:color w:val="auto"/>
        </w:rPr>
      </w:pPr>
      <w:r>
        <w:rPr>
          <w:rFonts w:ascii="Arial" w:cs="Arial" w:eastAsia="Arial" w:hAnsi="Arial"/>
          <w:sz w:val="17"/>
          <w:szCs w:val="17"/>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38"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49"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17"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Global macroeconomic conditions and the world’s financial markets remain susceptible to significant stresses, including global geopolitical instability (such as the current conflict between Russia and Ukraine and related economic and other retaliatory measures taken by the United States, European Union and others), pandemics (such as the recent COVID-19 pandemic), inflationary pressures (such as current inflation related to global supply chain disruptions), extreme weather conditions and natural disasters, market declines and uncertainty, fluctuating interest and foreign currency rates and credit availability, government austerity measures, fluctuating fuel and other energy costs, fluctuating commodity prices, and general uncertainty regarding the overall future economic environment. In particular, the ultimate impact of the conflict in Ukraine on fuel prices, inflation, volatility of global financial markets, the global supply chain and other macroeconomic conditions is unknown and could materially adversely affect the availability and cost of materials, access to capital, global economic growth, consumer confidence and demand for our products and services.</w:t>
      </w:r>
    </w:p>
    <w:p>
      <w:pPr>
        <w:spacing w:after="0" w:line="57" w:lineRule="exact"/>
        <w:rPr>
          <w:sz w:val="20"/>
          <w:szCs w:val="20"/>
          <w:color w:val="auto"/>
        </w:rPr>
      </w:pPr>
    </w:p>
    <w:p>
      <w:pPr>
        <w:ind w:right="760" w:firstLine="749"/>
        <w:spacing w:after="0" w:line="342" w:lineRule="auto"/>
        <w:rPr>
          <w:sz w:val="20"/>
          <w:szCs w:val="20"/>
          <w:color w:val="auto"/>
        </w:rPr>
      </w:pPr>
      <w:r>
        <w:rPr>
          <w:rFonts w:ascii="Arial" w:cs="Arial" w:eastAsia="Arial" w:hAnsi="Arial"/>
          <w:sz w:val="16"/>
          <w:szCs w:val="16"/>
          <w:color w:val="auto"/>
        </w:rPr>
        <w:t>Our customers may respond to such economic pressures by reducing or deferring their capital spending or reducing staff. Furthermore, unfavorable changes in foreign exchange rates versus USD could increase our product and labor costs, thus reducing our gross profit.</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 in a cost-effective manner.</w:t>
      </w:r>
    </w:p>
    <w:p>
      <w:pPr>
        <w:spacing w:after="0" w:line="62"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are highly dependent on our senior management, including our chief executive officer, Leslie Trigg, and other key personnel. Our success will depend on our ability to retain senior management and to attract and retain qualified personnel in the future,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or if we are unable to do so in a cost-effective manner, it would have a material adverse effect on our business, financial condition, and results of operations.</w:t>
      </w:r>
    </w:p>
    <w:p>
      <w:pPr>
        <w:spacing w:after="0" w:line="56"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Competition for skilled personnel in our market is intense and has recently intensified further due to industry trends in many areas where our employees are located. Further, the increased availability of hybrid or remote working arrangements has expanded the pool of companies that can compete for our employees and employment candidates. Such competition may limit our ability to hire and retain highly qualified personnel on acceptable terms, or at all. We may experience higher compensation costs to retain senior management and experienced personnel that may not be offset by improved productivity.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340"/>
        <w:spacing w:after="0" w:line="277" w:lineRule="auto"/>
        <w:rPr>
          <w:sz w:val="20"/>
          <w:szCs w:val="20"/>
          <w:color w:val="auto"/>
        </w:rPr>
      </w:pPr>
      <w:r>
        <w:rPr>
          <w:rFonts w:ascii="Arial" w:cs="Arial" w:eastAsia="Arial" w:hAnsi="Arial"/>
          <w:sz w:val="18"/>
          <w:szCs w:val="18"/>
          <w:color w:val="auto"/>
        </w:rPr>
        <w:t>employees could leave our employment at any time, with or without notice. We also do not maintain “key man” insurance policies on the lives of these individuals or the lives of any of our other employees.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will continue to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We have incurred and will continue to incur substantial legal, accounting and other expenses as a result of operating as a public company.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70"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Based on the market value of our common stock held by non-affiliates as of the last business day of our fiscal second quarter ended June 30, 2021, we ceased to be an “emerging growth company” as defined in the Jumpstart our Business Startups Act of 2012 as of December 31, 2021. As a result, we have experienced and expect to continue to experience, additional costs associated with being a public company, including costs associated with the auditor attestation requirement of Section 404 of the Sarbanes-Oxley Act, the adoption of certain Accounting Standard Updates upon losing such status, and additional disclosure requirements. As part of these requirements, we have made changes to our corporate governance practices and will need to maintain effective disclosure and financial controls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maintain effective controls could adversely affect the results of periodic management evaluations.</w:t>
      </w:r>
    </w:p>
    <w:p>
      <w:pPr>
        <w:spacing w:after="0" w:line="289"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Any failure to comply with applicable rules and regulations may make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w:t>
      </w:r>
    </w:p>
    <w:p>
      <w:pPr>
        <w:spacing w:after="0" w:line="2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w:t>
      </w:r>
    </w:p>
    <w:p>
      <w:pPr>
        <w:spacing w:after="0" w:line="76"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are a “large accelerated filer” under the Exchange Act, which requires us to comply with the requirements of Section 404 of the Sarbanes-Oxley Act. Section 404 of the Sarbanes-Oxley Act requires that we maintain effective internal control over financial reporting and disclosure controls and procedures. In particular, we must perform system and process evaluations, document our controls 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may hire additional accounting and financial staff with appropriate public company experience and technical accounting knowledge, or incur expense associated with consultants,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Our anticipated headcount growth and our public company status may result in a change to our corporate culture, which could harm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20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62"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As part of our business strategy, we may in the future make acquisitions or investments in complementary companies, products or technologies that we believe fit within our business model and can address the needs of our customers and potential customers. In the future,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58" w:lineRule="exact"/>
        <w:rPr>
          <w:sz w:val="20"/>
          <w:szCs w:val="20"/>
          <w:color w:val="auto"/>
        </w:rPr>
      </w:pPr>
    </w:p>
    <w:p>
      <w:pPr>
        <w:ind w:right="120" w:firstLine="749"/>
        <w:spacing w:after="0" w:line="289" w:lineRule="auto"/>
        <w:rPr>
          <w:sz w:val="20"/>
          <w:szCs w:val="20"/>
          <w:color w:val="auto"/>
        </w:rPr>
      </w:pPr>
      <w:r>
        <w:rPr>
          <w:rFonts w:ascii="Arial" w:cs="Arial" w:eastAsia="Arial" w:hAnsi="Arial"/>
          <w:sz w:val="16"/>
          <w:szCs w:val="16"/>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58"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November 2022, we entered into the SLR Credit Facility Agreements which also restrict our ability to pursue certain acquisitions, mergers,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anti-corruption, anti-bribery, anti-money laundering and similar laws, we could suffer severe penalties.</w:t>
      </w:r>
    </w:p>
    <w:p>
      <w:pPr>
        <w:spacing w:after="0" w:line="117"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and requires companies to maintain accurate books and records and internal controls, including at foreign controlled subsidiaries. We are also subject to requirements under the U.S. Treasury Department’s Office of Foreign Assets Control, U.S.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accounting policies prove to be incorrect, our results of operations could be adversely affected.</w:t>
      </w:r>
    </w:p>
    <w:p>
      <w:pPr>
        <w:spacing w:after="0" w:line="140" w:lineRule="exact"/>
        <w:rPr>
          <w:sz w:val="20"/>
          <w:szCs w:val="20"/>
          <w:color w:val="auto"/>
        </w:rPr>
      </w:pPr>
    </w:p>
    <w:p>
      <w:pPr>
        <w:ind w:right="100" w:firstLine="749"/>
        <w:spacing w:after="0" w:line="288" w:lineRule="auto"/>
        <w:rPr>
          <w:sz w:val="20"/>
          <w:szCs w:val="20"/>
          <w:color w:val="auto"/>
        </w:rPr>
      </w:pPr>
      <w:r>
        <w:rPr>
          <w:rFonts w:ascii="Arial" w:cs="Arial" w:eastAsia="Arial" w:hAnsi="Arial"/>
          <w:sz w:val="16"/>
          <w:szCs w:val="16"/>
          <w:color w:val="auto"/>
        </w:rPr>
        <w:t>The preparation of financial statements in conformity with the United States generally accepted accounting principles (U.S. GAAP) and our key metrics require management to make estimates and assumptions that affect the amounts reported in the financial statements and accompanying notes and amounts reported in our key metrics.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financial statements include those related to allowance for doubtful accounts, assessment of the useful life and recoverability of long-lived assets, warranty obligations, fair values of stock-based awards, warrants, contingent consideration,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Expectations relating to ESG factors may impose additional costs and expose us to new risks.</w:t>
      </w:r>
    </w:p>
    <w:p>
      <w:pPr>
        <w:spacing w:after="0" w:line="117"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There is increasing focus from certain investors, customers and other stakeholders on ESG factors, including greenhouse gas emissions and climate-related risks; diversity, equity, and inclusion; responsible sourcing and supply chain; human rights and social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20"/>
        <w:spacing w:after="0" w:line="271" w:lineRule="auto"/>
        <w:rPr>
          <w:sz w:val="20"/>
          <w:szCs w:val="20"/>
          <w:color w:val="auto"/>
        </w:rPr>
      </w:pPr>
      <w:r>
        <w:rPr>
          <w:rFonts w:ascii="Arial" w:cs="Arial" w:eastAsia="Arial" w:hAnsi="Arial"/>
          <w:sz w:val="17"/>
          <w:szCs w:val="17"/>
          <w:color w:val="auto"/>
        </w:rPr>
        <w:t>responsibility; and corporate governance and oversight. Some investors may use ESG factors to guide their investment strategies and, in some cases, may choose not to invest in us if they believe our policies and actions relating to ESG matters are inadequate. Third party providers of ESG ratings and reports on companies have increased in number to meet growing investor demand for measurement of ESG performance, resulting in varied and in some cases inconsistent standards. In addition, the criteria by which companies’ ESG practices are assessed are evolving, which could result in greater expectations of us and cause us to undertake costly initiatives to satisfy such new criteria. Alternatively, if we elect not to or are unable to satisfy such new criteria, some investors may conclude that our policies with respect ESG matters are inadequate. We may face reputational damages in the event that our ESG procedures or standards do not meet the standards set by various constituencies. Furthermore, if our competitors’ ESG performance is perceived to be better than ours, potential or current investors may elect to invest with our competitors instead.</w:t>
      </w:r>
    </w:p>
    <w:p>
      <w:pPr>
        <w:spacing w:after="0" w:line="70"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Further, increased public awareness and concern regarding ESG factors may result in new or enhanced legal requirements. For example, new regulations relating to ESG matters, including human capital, diversity, sustainability, climate change and cybersecurity, are under consideration or being adopted. Such regulations may impose additional reporting obligations and increase our compliance costs. In addition, climate change initiatives and legislation could also disrupt our operations by impacting the availability and cost of materials within our supply chain, and could also increase our operating costs.</w:t>
      </w:r>
    </w:p>
    <w:p>
      <w:pPr>
        <w:spacing w:after="0" w:line="80"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In addition, from time to time, we communicate certain initiatives and goals related to ESG matters. For example, in October 2021, we published our inaugural ESG Report, including updates on our ESG programs, priorities, initiatives, goals and performance, which we updated with a supplemental ESG report in September 2022.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If we fail to satisfy the ESG-related expectations of investors, customers and other stakeholders or our initiatives or goals are not executed or achieved as planned, our reputation and financial results could be materially and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40" w:firstLine="749"/>
        <w:spacing w:after="0" w:line="308" w:lineRule="auto"/>
        <w:rPr>
          <w:sz w:val="20"/>
          <w:szCs w:val="20"/>
          <w:color w:val="auto"/>
        </w:rPr>
      </w:pPr>
      <w:r>
        <w:rPr>
          <w:rFonts w:ascii="Arial" w:cs="Arial" w:eastAsia="Arial" w:hAnsi="Arial"/>
          <w:sz w:val="17"/>
          <w:szCs w:val="17"/>
          <w:color w:val="auto"/>
        </w:rPr>
        <w:t>In May 2020, we entered into an operating lease agreement for our manufacturing facility in Tijuana, Mexico. This facility includes a main building with 48,437 square feet and a secondary space with 38,750 square feet. The initial term of this lease expires in 2026.</w:t>
      </w:r>
    </w:p>
    <w:p>
      <w:pPr>
        <w:spacing w:after="0" w:line="38" w:lineRule="exact"/>
        <w:rPr>
          <w:sz w:val="20"/>
          <w:szCs w:val="20"/>
          <w:color w:val="auto"/>
        </w:rPr>
      </w:pPr>
    </w:p>
    <w:p>
      <w:pPr>
        <w:ind w:right="40" w:firstLine="749"/>
        <w:spacing w:after="0" w:line="342" w:lineRule="auto"/>
        <w:rPr>
          <w:sz w:val="20"/>
          <w:szCs w:val="20"/>
          <w:color w:val="auto"/>
        </w:rPr>
      </w:pPr>
      <w:r>
        <w:rPr>
          <w:rFonts w:ascii="Arial" w:cs="Arial" w:eastAsia="Arial" w:hAnsi="Arial"/>
          <w:sz w:val="16"/>
          <w:szCs w:val="16"/>
          <w:color w:val="auto"/>
        </w:rPr>
        <w:t>In addition, we lease 40,413 square feet for our corporate headquarters located in San Jose, California under a lease agreement that terminates in 2027. This facility supports research and development and general and administrative activities, as well as distribution for consoles and service parts.</w:t>
      </w:r>
    </w:p>
    <w:p>
      <w:pPr>
        <w:spacing w:after="0" w:line="16"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We believe that these facilities are suitable and sufficient to meet our current and anticipated needs in the near term and that additional space can be obtained on commercially reasonable terms as needed.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“OM” since September 15, 2020. Prior to that date, there was no public trading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20" w:firstLine="749"/>
        <w:spacing w:after="0" w:line="342" w:lineRule="auto"/>
        <w:rPr>
          <w:sz w:val="20"/>
          <w:szCs w:val="20"/>
          <w:color w:val="auto"/>
        </w:rPr>
      </w:pPr>
      <w:r>
        <w:rPr>
          <w:rFonts w:ascii="Arial" w:cs="Arial" w:eastAsia="Arial" w:hAnsi="Arial"/>
          <w:sz w:val="16"/>
          <w:szCs w:val="16"/>
          <w:color w:val="auto"/>
        </w:rPr>
        <w:t>As of January 31, 2023, there were 117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60" w:firstLine="749"/>
        <w:spacing w:after="0" w:line="342" w:lineRule="auto"/>
        <w:rPr>
          <w:sz w:val="20"/>
          <w:szCs w:val="20"/>
          <w:color w:val="auto"/>
        </w:rPr>
      </w:pPr>
      <w:r>
        <w:rPr>
          <w:rFonts w:ascii="Arial" w:cs="Arial" w:eastAsia="Arial" w:hAnsi="Arial"/>
          <w:sz w:val="16"/>
          <w:szCs w:val="16"/>
          <w:color w:val="auto"/>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spacing w:after="0" w:line="16"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The following graph compares the cumulative total return on our common stock relative to the cumulative total returns of the NASDAQ Composite Index, the S&amp;P Healthcare Equipment Select Industry Index (SPSIHE) and the NASDAQ Biotechnology Index for the period from September 15, 2020 (the first day of trading of our common stock) through December 31, 2022. In our prior Form 10-Ks we utilized the NASDAQ Biotechnology Index as the industry index for comparison. In our performance graph below for the year ended December 31, 2022, we added SPSIHE, which will replace our comparison to the NASDAQ Biotechnology Index in future periods. We believe that the new index provides for greater comparability as it is better aligned with our industry and business. Total return comparisons for both the prior index and new index are included in the performance graph below. The graph assumes an investment of $100 on September 15, 2020 and its relative performance is tracked through December 31, 2022. Pursuant to applicable SEC rules, all values assume reinvestment of the full amount of all dividends, however no dividends have been declared on our common stock to date. The offering price of our common stock in our initial public offering (IPO), which had a closing stock price of $60.68 on September 15, 2020, was $27.00 per share. Note that historic stock price performance is not necessarily indicative of future stock price performance.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1570990</wp:posOffset>
            </wp:positionH>
            <wp:positionV relativeFrom="page">
              <wp:posOffset>294640</wp:posOffset>
            </wp:positionV>
            <wp:extent cx="4852035" cy="3240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485203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or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is expected to better allow investors to view the Company from management’s perspective and should be read together with our audited financial statements and related notes and other financial information included elsewhere in this Annual Report. The following discussion contains forward-looking statements that reflect our current plans, estimates and beliefs. Our actual results could differ materially from those discussed in the forward-looking statements as a result of various factors, including those discussed below and elsewhere in this Annual Report, particularly in the section titled “Risk Factors.” Our historical results are not necessarily indicative of the results that may be expected for any period in the future.</w:t>
      </w:r>
    </w:p>
    <w:p>
      <w:pPr>
        <w:spacing w:after="0" w:line="84"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i w:val="1"/>
          <w:iCs w:val="1"/>
          <w:color w:val="auto"/>
        </w:rPr>
        <w:t>We have elected to omit discussion of the earliest of the three years covered by the audited financial statements presented. Refer to Part II, Item 7, “Management’s Discussion and Analysis of Financial Condition and Results of Operations”, located in our annual report on Form 10-K for the year ended December 31, 2021 for reference to discussion of the year ended December 31, 2020, the earliest of the three fiscal years presented.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6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Tablo leverages cloud technology, making it possible for providers to monitor devices and treatments remotely, perform patient and population analytics, and automate clinical recordkeeping, while also enabling us to release features and enhancements through over-the-air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spacing w:after="0" w:line="8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have generated meaningful evidence to demonstrate that providers can realize significant operational efficiencies, including reducing the cost of their dialysis programs by up to 80% in the ICU.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79"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In May 2022, we implemented a shipment hold on the distribution and marketing of Tablo for use in the home environment pending the FDA’s review and clearance of a 510(k) application we submitted for changes made since the device’s original March 2020 clearance. During the hold, we continued to market and ship Tablo for use by healthcare professionals in chronic and acute care settings. In addition, devices that were already distributed to home users at the time the hold was implemented were not removed and current users were able to continue working with their healthcare providers on appropriate treatment. In late July 2022, the FDA cleared our 510(k) application of Tablo for patient use in the home and we resumed marketing and shipping Tablo for home use.</w:t>
      </w:r>
    </w:p>
    <w:p>
      <w:pPr>
        <w:spacing w:after="0" w:line="84"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80"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scale. We are also working with providers, patients, and payors to increase awareness and adoption of TCUs as a bridge to home-based therapy. To demonstrate the cost advantages of Tablo in the home setting, we are continuing to collect additional patient clinical experience and outcomes data.</w:t>
      </w:r>
    </w:p>
    <w:p>
      <w:pPr>
        <w:spacing w:after="0" w:line="70" w:lineRule="exact"/>
        <w:rPr>
          <w:sz w:val="20"/>
          <w:szCs w:val="20"/>
          <w:color w:val="auto"/>
        </w:rPr>
      </w:pPr>
    </w:p>
    <w:p>
      <w:pPr>
        <w:ind w:right="660" w:firstLine="749"/>
        <w:spacing w:after="0" w:line="308" w:lineRule="auto"/>
        <w:rPr>
          <w:sz w:val="20"/>
          <w:szCs w:val="20"/>
          <w:color w:val="auto"/>
        </w:rPr>
      </w:pPr>
      <w:r>
        <w:rPr>
          <w:rFonts w:ascii="Arial" w:cs="Arial" w:eastAsia="Arial" w:hAnsi="Arial"/>
          <w:sz w:val="17"/>
          <w:szCs w:val="17"/>
          <w:color w:val="auto"/>
        </w:rPr>
        <w:t>We sell our solution through our direct sales organization, which covers most major metropolitan markets in the United States. Our sales organization is comprised of our capital sales team, responsible for generating new customer demand for Tablo,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right="180"/>
        <w:spacing w:after="0" w:line="257" w:lineRule="auto"/>
        <w:rPr>
          <w:sz w:val="20"/>
          <w:szCs w:val="20"/>
          <w:color w:val="auto"/>
        </w:rPr>
      </w:pPr>
      <w:r>
        <w:rPr>
          <w:rFonts w:ascii="Arial" w:cs="Arial" w:eastAsia="Arial" w:hAnsi="Arial"/>
          <w:sz w:val="18"/>
          <w:szCs w:val="18"/>
          <w:color w:val="auto"/>
        </w:rPr>
        <w:t>our clinical sales team, responsible for driving utilization and fleet expansion of Tablo consoles at existing customer sites. In addition, our field service team provides maintenance services and product support to Tablo customers. Our field sales and service teams represent 47% of our total full-time employees as of December 31, 2022.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80"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We generate revenue primarily from the initial sale of Tablo consoles, and recurring sales of consumables, including the Tablo cartridge, which generates significant total revenue over the life of the console. We generate additional recurring revenue via annual service contracts and shipping and handling charged to customers. For the years ended December 31, 2022, 2021 and 2020, sales of our consoles accounted for 56%, 63% and 66% of our revenue, respectively, sales of our consumables accounted for 25%, 19% and 13% of our revenue, respectively, and sales of services and other accounted for 19%, 18% and 21% of our revenue, respectively.</w:t>
      </w:r>
    </w:p>
    <w:p>
      <w:pPr>
        <w:spacing w:after="0" w:line="80" w:lineRule="exact"/>
        <w:rPr>
          <w:sz w:val="20"/>
          <w:szCs w:val="20"/>
          <w:color w:val="auto"/>
        </w:rPr>
      </w:pPr>
    </w:p>
    <w:p>
      <w:pPr>
        <w:ind w:right="240" w:firstLine="749"/>
        <w:spacing w:after="0" w:line="257" w:lineRule="auto"/>
        <w:rPr>
          <w:sz w:val="20"/>
          <w:szCs w:val="20"/>
          <w:color w:val="auto"/>
        </w:rPr>
      </w:pPr>
      <w:r>
        <w:rPr>
          <w:rFonts w:ascii="Arial" w:cs="Arial" w:eastAsia="Arial" w:hAnsi="Arial"/>
          <w:sz w:val="18"/>
          <w:szCs w:val="18"/>
          <w:color w:val="auto"/>
        </w:rPr>
        <w:t>Historically, we have financed our operations and capital expenditures primarily through sales of redeemable convertible preferred stock and common stock, revenue from sales, and debt financing. Since our inception, we have incurred net losses in each year. For the years ended December 31, 2022, 2021 and 2020, we incurred net losses of $163.0 million, $131.9 million and $121.5 million, respectively. As of December 31, 2022, we had an accumulated deficit of $789.0 million. We expect to continue to incur significant expenses for the foreseeable future and to incur operating losses in the near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Acceptance of Tablo in Acute Setting</w:t>
      </w:r>
    </w:p>
    <w:p>
      <w:pPr>
        <w:spacing w:after="0" w:line="11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We plan to further broaden our installed base by continuing to target national and regional IDNs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in part on the success of our efforts to further evolve our commercial infrastructure and sales processes to support the growth of our business in the acute care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Tablo within the Home Setting</w:t>
      </w:r>
    </w:p>
    <w:p>
      <w:pPr>
        <w:spacing w:after="0" w:line="117"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We believe that a significant growth opportunity exists within the home hemodialysis market. We are partnering with innovative dialysis clinic providers and health systems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our ability to continue regaining momentum in our home commercialization and marketing and rebuilding our home patient pipeline following the release of our prior home shipment hold, as well as our ability to further evolve our commercial infrastructure and sales processes as we scale our business in the home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We are continuing to execute a well-defined strategy designed to expand gross margins. First, during 2021, we fully insourced console manufacturing at our own manufacturing facility in Tijuana, Mexico which we operate in collaboration with our outsourced business administration service provider, TACNA. Second, during 2022, we moved production of a majority of Tablo cartridges from our contract manufacturer in Southeast Asia to a contract manufacturer in Mexico, which helped us achieve cost reductions through lower freight costs and mitigate against global supply chain challenges. Recently, we initiated production of Tablo cartridges in-house at our manufacturing facility in Mexico which we operate in collaboration with TACNA in an effort to help further our long-term gross margin expansion and supply continuity strategies and improve the flexibility of our operations. Third, we will continue to use our design, engineering and manufacturing capabilities to help further advance and improve the efficiency of our manufacturing processes and lower our costs of production. Fourth, we will continue to utilize our cloud-based data system, as well as enhanced product performance, to help drive down the cost of service. Our ability to grow our business will depend in part on these and other measures to control the costs of our products being successful. Likewise, it will be important that we effectively manage the costs of generating our service revenue.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Impacts of the COVID-19 Pandemic and Other Macroeconomic Factors</w:t>
      </w:r>
    </w:p>
    <w:p>
      <w:pPr>
        <w:spacing w:after="0" w:line="121"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Our business may be impacted by a resurgence of the recent COVID-19 pandemic or emergence of new variants of COVID-19. While the operations at our contract manufacturing partners’ facilities and our outsourced business administration service provider, TACNA, for our facility in Tijuana, Mexico, have not yet experienced significant disruption as a result of the recent pandemic, the possibility that such disruption may occur remains. Additionally, the recent COVID-19 pandemic has at various times since its onset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procure higher quantities of materials when they become available,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w:t>
      </w:r>
    </w:p>
    <w:p>
      <w:pPr>
        <w:spacing w:after="0" w:line="57"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During late 2021, these supply chain disruptions escalated, and, as a result, we faced increased supply chain constraints, notably with the transportation of Tablo cartridges from our contract manufacturing partner in Southeast Asia. As a result, we have faced, and may continue to face, increased transportation and related costs, and potentially delays, associated with delivering adequate supply of Tablo treatments to our customers. We believe that transitioning production of a majority of Tablo cartridges during 2022 to a contract manufacturer in Mexico helped us achieve cost reductions through lower freight costs, and that our recent efforts to initiate production of cartridges in-house at our manufacturing facility in Mexico which we operate in collaboration with TACNA will help further our long-term gross margin expansion and supply continuity strategies and improve the flexibility of our operations. However, there is no assurance that we will not continue to face supply chain constraints. Continued escalation of these supply chain disruptions could negatively impact our ability to meet customer demand on a timely basis, result in customer dissatisfaction and adversely impact our operating margins and results of operations. Further, a sustained rise in material and freight costs could also unfavorably impact our operating margins and results of operations.</w:t>
      </w:r>
    </w:p>
    <w:p>
      <w:pPr>
        <w:spacing w:after="0" w:line="78" w:lineRule="exact"/>
        <w:rPr>
          <w:sz w:val="20"/>
          <w:szCs w:val="20"/>
          <w:color w:val="auto"/>
        </w:rPr>
      </w:pPr>
    </w:p>
    <w:p>
      <w:pPr>
        <w:ind w:right="160" w:firstLine="749"/>
        <w:spacing w:after="0" w:line="289" w:lineRule="auto"/>
        <w:rPr>
          <w:sz w:val="20"/>
          <w:szCs w:val="20"/>
          <w:color w:val="auto"/>
        </w:rPr>
      </w:pPr>
      <w:r>
        <w:rPr>
          <w:rFonts w:ascii="Arial" w:cs="Arial" w:eastAsia="Arial" w:hAnsi="Arial"/>
          <w:sz w:val="16"/>
          <w:szCs w:val="16"/>
          <w:color w:val="auto"/>
        </w:rPr>
        <w:t>The extent, duration, and impact of the pandemic remain uncertain and depend on ongoing developments, including but not limited to any resurgences of the virus including emerging variant strains, actions taken to contain or mitigate its impact, as well as the direct and indirect economic effects of the pandemic and related containment measures. Additionally, the duration and severity of disruptions in the global supply chain, largely driven by high demand as the economy reopens and the ongoing impact of the pandemic, also remain uncertain and depend on various factors, including the effectiveness of government actions intended to mitigate these disruptions. As a result, we cannot predict what effect COVID-19, the associated containment measures, and the related supply chain disruptions will ultimately have on our business and result of operations, on our customers, or on our suppliers and vendors. There is no assurance that we will not experience more significant disruptions in our supply chain in the future, particularly if the operations of our contract manufacturing partners, our critical single-source component providers, or the facility we operate in Tijuana, Mexico in collaboration with TACNA, are more severely impacted by the pandemic and associated containment measures.</w:t>
      </w:r>
    </w:p>
    <w:p>
      <w:pPr>
        <w:spacing w:after="0" w:line="58" w:lineRule="exact"/>
        <w:rPr>
          <w:sz w:val="20"/>
          <w:szCs w:val="20"/>
          <w:color w:val="auto"/>
        </w:rPr>
      </w:pPr>
    </w:p>
    <w:p>
      <w:pPr>
        <w:ind w:right="40" w:firstLine="749"/>
        <w:spacing w:after="0" w:line="285" w:lineRule="auto"/>
        <w:rPr>
          <w:sz w:val="20"/>
          <w:szCs w:val="20"/>
          <w:color w:val="auto"/>
        </w:rPr>
      </w:pPr>
      <w:r>
        <w:rPr>
          <w:rFonts w:ascii="Arial" w:cs="Arial" w:eastAsia="Arial" w:hAnsi="Arial"/>
          <w:sz w:val="16"/>
          <w:szCs w:val="16"/>
          <w:color w:val="auto"/>
        </w:rPr>
        <w:t>Moreover, healthcare providers (including our existing and prospective customers) are facing a nationwide shortage of qualified nurses and other clinical personnel due to long-term trends that were exacerbated by the recent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We believe Tablo offers automation and ease-of-use benefits over traditional machines that can enhance our existing and potential customers’ ability to support their patient populations despite staffing shortages. However, there is a risk that the increased costs and other disruptions caused by the shortage of dialysis nurses, technicians, other staff, and implementation resources could cause existing or prospective customers to delay continued investment in or adoption of new technologies and postpone purchasing decisions. For example, during 2022, our existing and potential customers faced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If our customers continue to face prolonged staffing shortages, volatility, uncertainty, rising costs and financial pressures, whether due to the ongoing effects of the pandemic, general macroeconomic conditions or otherwise, it could ultimately adversely impact our ability to expand existing customer relationships or attract new customers of Tablo, and have a material adverse effect on our bookings, revenues, results of operations, and, ultimately, our future growth and profitability.</w:t>
      </w:r>
    </w:p>
    <w:p>
      <w:pPr>
        <w:spacing w:after="0" w:line="68"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recently launched a new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ind w:right="120"/>
        <w:spacing w:after="0" w:line="259" w:lineRule="auto"/>
        <w:rPr>
          <w:sz w:val="20"/>
          <w:szCs w:val="20"/>
          <w:color w:val="auto"/>
        </w:rPr>
      </w:pPr>
      <w:r>
        <w:rPr>
          <w:rFonts w:ascii="Arial" w:cs="Arial" w:eastAsia="Arial" w:hAnsi="Arial"/>
          <w:sz w:val="18"/>
          <w:szCs w:val="18"/>
          <w:color w:val="auto"/>
        </w:rPr>
        <w:t>using Tablo and, as full-time staff is hired, to help train and onboard those nurses. This pilot program is in its early stages and may not be successful in achieving the objectives we intend and anticipate and ultimately, it may fail to meet our customers’ expectations, any of which could harm our reputation and customer relationships. In addition, the program may not generate sufficient returns to justify our investment, or may result in unanticipated costs, which could adversely impact our operating margins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80" w:firstLine="749"/>
        <w:spacing w:after="0" w:line="301" w:lineRule="auto"/>
        <w:rPr>
          <w:sz w:val="20"/>
          <w:szCs w:val="20"/>
          <w:color w:val="auto"/>
        </w:rPr>
      </w:pPr>
      <w:r>
        <w:rPr>
          <w:rFonts w:ascii="Arial" w:cs="Arial" w:eastAsia="Arial" w:hAnsi="Arial"/>
          <w:sz w:val="16"/>
          <w:szCs w:val="16"/>
          <w:color w:val="auto"/>
        </w:rPr>
        <w:t>We generate our revenue primarily from the sale of products and services. In addition, we enter into console operating lease arrangements that contain lease and non-lease components. Revenue related to lease arrangements is allocated to the lease and non-lease elements based on their relative standalone selling price, with the lease component recorded in product revenue and the non-lease component recorded in service and other revenue. Our product and services revenues are generated primarily through direct sales to customers in the United States.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Product Revenue</w:t>
      </w:r>
    </w:p>
    <w:p>
      <w:pPr>
        <w:spacing w:after="0" w:line="11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We generate product revenue from the sale, and to a lesser extent, leasing of our Tablo consoles and the sale of related consumables, including Tablo cartridges. Our Tablo consoles and consumables are generally sold without the right of return. Revenue is recognized when control of our Tablo consoles is transferred, generally upon shipment, and excludes the value of the initial service agreement, which is recognized as service and other revenue over the term of the initial service agreement. Leases of Tablo consoles are considered operating leases and recognized as revenue over their lease term. Consumables, including Tablo cartridges, are recognized primarily upon shipment. Revenue is recognized net of any sales incentive, rebates and any taxes collected from customers.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Service and Other Revenue</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We generate service revenue primarily from service agreements for our Tablo consoles and other revenue from shipping and handling charged to customers. Under the service agreements, we provide maintenance, repair and training services, connectivity to our cloud infrastructure, including TabloHub, as well as software updates, when and if available, for Tablo consoles. The service agreements are typically entered into for a one-year term. Revenue from the sale of service agreements, including the revenue associated with the first-year service, is recognized ratably over the service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 of Product Revenue</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Cost of product revenue primarily consists of finished goods, inbound freight costs, and manufacturing costs incurred in the production process including personnel and related costs, costs of component materials, manufacturing overhead, and infrastructure costs including facilities and information technology. In addition, cost of product revenue includes warranty costs and provisions for excess and obsolete inventory. We expect cost of product revenue as a percentage of revenue to decrease over the long-term primarily as, and to the extent that, our efforts to reduce manufacturing costs of our products are successful, the percentage of our product revenues attributable to consumables increase, and our product revenue grows. However, our cost of product revenue as a percentage of revenue may fluctuate from period to period.</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 of Service and Other Revenue</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Cost of service and other revenue primarily consists of personnel and related costs, travel, and component costs incurred in connection with our obligations under our service agreements. We plan to further utilize our cloud-based data systems, as well as enhanced product performance, to lower the cost of service as a percentage of revenue. We expect cost of service and other revenue as a percentage of revenue to decrease over the long-term primarily as, and to the extent, our service and other revenue grows. However, our cost of service and other revenue as a percentage of revenue may fluctuate from period to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We calculate gross margin as gross profit divided by total revenue. Our gross profit has been and will continue to be, affected by a variety of factors, including market conditions that may impact our pricing; sales mix changes among consoles, consumables, and services; excess and obsolete inventories; our cost structure for manufacturing operations relative to volume; inbound freight costs, and product warranty obligations. We expect our gross margin to increase over the long term to the extent that we are successful in our ability to lower the costs associated with the production and service of the Tablo console and consumables, that we generate recurring revenues from sales of our consumables, and that we can lower cost of service and other revenue as a percentage of revenue. We continue to use our design, engineering, and manufacturing capabilities to further advance and improve the efficiency of our</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69" w:name="page70"/>
    <w:bookmarkEnd w:id="69"/>
    <w:p>
      <w:pPr>
        <w:ind w:right="200"/>
        <w:spacing w:after="0" w:line="277" w:lineRule="auto"/>
        <w:rPr>
          <w:sz w:val="20"/>
          <w:szCs w:val="20"/>
          <w:color w:val="auto"/>
        </w:rPr>
      </w:pPr>
      <w:r>
        <w:rPr>
          <w:rFonts w:ascii="Arial" w:cs="Arial" w:eastAsia="Arial" w:hAnsi="Arial"/>
          <w:sz w:val="18"/>
          <w:szCs w:val="18"/>
          <w:color w:val="auto"/>
        </w:rPr>
        <w:t>manufacturing processes, which, if successful, we believe will lower production costs and enable us to increase our gross margin. While we expect gross margin to increase over the long term, we also anticipate it will likely fluctuate from quarter to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400" w:firstLine="749"/>
        <w:spacing w:after="0" w:line="308" w:lineRule="auto"/>
        <w:rPr>
          <w:sz w:val="20"/>
          <w:szCs w:val="20"/>
          <w:color w:val="auto"/>
        </w:rPr>
      </w:pPr>
      <w:r>
        <w:rPr>
          <w:rFonts w:ascii="Arial" w:cs="Arial" w:eastAsia="Arial" w:hAnsi="Arial"/>
          <w:sz w:val="17"/>
          <w:szCs w:val="17"/>
          <w:color w:val="auto"/>
        </w:rPr>
        <w:t>Research and development expenses primarily consist of compensation and personnel costs, regulatory fees, consulting services, laboratory supplies and materials expenses, and infrastructure costs including facilities, depreciation and information technology.</w:t>
      </w:r>
    </w:p>
    <w:p>
      <w:pPr>
        <w:spacing w:after="0" w:line="38" w:lineRule="exact"/>
        <w:rPr>
          <w:sz w:val="20"/>
          <w:szCs w:val="20"/>
          <w:color w:val="auto"/>
        </w:rPr>
      </w:pPr>
    </w:p>
    <w:p>
      <w:pPr>
        <w:jc w:val="both"/>
        <w:ind w:right="120" w:firstLine="749"/>
        <w:spacing w:after="0" w:line="263" w:lineRule="auto"/>
        <w:rPr>
          <w:sz w:val="20"/>
          <w:szCs w:val="20"/>
          <w:color w:val="auto"/>
        </w:rPr>
      </w:pPr>
      <w:r>
        <w:rPr>
          <w:rFonts w:ascii="Arial" w:cs="Arial" w:eastAsia="Arial" w:hAnsi="Arial"/>
          <w:sz w:val="18"/>
          <w:szCs w:val="18"/>
          <w:color w:val="auto"/>
        </w:rPr>
        <w:t>We plan to continue to invest in our research and development efforts, including hiring additional employees, to enhance existing products and develop new products. As a percentage of revenue, we expect research and development expenses to vary over time, depending on the level and timing of the enhancement of the existing products and new product development initiatives.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Sales and marketing expenses primarily consist of compensation and personnel costs, including sales commissions and travel. Other sales and marketing expenses include marketing and promotional activities, government affairs, costs of outside consultants, customer services costs, and infrastructure costs including facilities, depreciation, and information technology. Shipping and handling costs, as well as the associated personnel expenses, are included in sales and marketing expenses.</w:t>
      </w:r>
    </w:p>
    <w:p>
      <w:pPr>
        <w:spacing w:after="0" w:line="79"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As we continue to drive the expansion of Tablo, we expect to continue to invest in our sales and support teams, marketing, and shipping and handling costs. As a result, we expect sales and marketing expenses to increase in absolute dollars in future periods. As a percentage of revenue, however, we expect sales and marketing expenses to continue to decrease over the long-term primarily as, and to the extent, our revenue grows.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40" w:firstLine="749"/>
        <w:spacing w:after="0" w:line="308" w:lineRule="auto"/>
        <w:rPr>
          <w:sz w:val="20"/>
          <w:szCs w:val="20"/>
          <w:color w:val="auto"/>
        </w:rPr>
      </w:pPr>
      <w:r>
        <w:rPr>
          <w:rFonts w:ascii="Arial" w:cs="Arial" w:eastAsia="Arial" w:hAnsi="Arial"/>
          <w:sz w:val="17"/>
          <w:szCs w:val="17"/>
          <w:color w:val="auto"/>
        </w:rPr>
        <w:t>General and administrative expenses primarily consist of compensation and personnel costs, accounting and legal expenses, general corporate expenses, employee recruiting and training costs, and infrastructure costs including facilities, depreciation, and information technology.</w:t>
      </w:r>
    </w:p>
    <w:p>
      <w:pPr>
        <w:spacing w:after="0" w:line="38" w:lineRule="exact"/>
        <w:rPr>
          <w:sz w:val="20"/>
          <w:szCs w:val="20"/>
          <w:color w:val="auto"/>
        </w:rPr>
      </w:pPr>
    </w:p>
    <w:p>
      <w:pPr>
        <w:jc w:val="both"/>
        <w:ind w:right="100" w:firstLine="749"/>
        <w:spacing w:after="0" w:line="296" w:lineRule="auto"/>
        <w:rPr>
          <w:sz w:val="20"/>
          <w:szCs w:val="20"/>
          <w:color w:val="auto"/>
        </w:rPr>
      </w:pPr>
      <w:r>
        <w:rPr>
          <w:rFonts w:ascii="Arial" w:cs="Arial" w:eastAsia="Arial" w:hAnsi="Arial"/>
          <w:sz w:val="16"/>
          <w:szCs w:val="16"/>
          <w:color w:val="auto"/>
        </w:rPr>
        <w:t>We expect to incur additional general and administrative expenses due to increased costs for accounting, human resources, legal, insurance and investor relations. We expect to continue our hiring in all these areas in line with the continued growth of our business. We also expect infrastructure costs to increase in future periods as a result of higher costs associated with the expansion of our operations. As a result of these and other initiatives, we expect general and administrative expenses to vary from period to period and increase in absolute dollars in future periods. However, as a percentage of revenue, we expect general and administrative expenses to decrease over the long-term primarily as, and to the extent, our revenue grows.</w:t>
      </w:r>
    </w:p>
    <w:p>
      <w:pPr>
        <w:spacing w:after="0" w:line="53"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expect our stock-based compensation expense allocated to cost of revenue, research and development expenses, sales and marketing expenses, and general and administrative expenses to increase in absolute dollars as we issue additional stock-based awards under our equity incentive plan and employee stock purchase plan to attract and retain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Net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Interest income and other income, net, primarily consists of interest earned on our cash and cash equivalents and short-term investments.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Interest expense consists of interest on our debt and amortization of associated debt discount. See Note 7 to the financial statements for further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Warrant Liability</w:t>
      </w:r>
    </w:p>
    <w:p>
      <w:pPr>
        <w:spacing w:after="0" w:line="117"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In connection with our prior credit agreements and the Perceptive Term Loan Agreement, we issued warrants to purchase shares of our Series A, Series B and Series C redeemable convertible preferred stock to the respective lenders. We classified these warrants as a liability on our balance sheets that were remeasured to fair value at each reporting date with the corresponding change in fair value recognized in our statements of operations. Upon the completion of our IPO in 2020, the redeemable convertible preferred stock warrant liability was reclassified to additional paid-in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Term Loan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0" w:name="page71"/>
    <w:bookmarkEnd w:id="70"/>
    <w:p>
      <w:pPr>
        <w:ind w:right="100" w:firstLine="749"/>
        <w:spacing w:after="0" w:line="277" w:lineRule="auto"/>
        <w:rPr>
          <w:sz w:val="20"/>
          <w:szCs w:val="20"/>
          <w:color w:val="auto"/>
        </w:rPr>
      </w:pPr>
      <w:r>
        <w:rPr>
          <w:rFonts w:ascii="Arial" w:cs="Arial" w:eastAsia="Arial" w:hAnsi="Arial"/>
          <w:sz w:val="18"/>
          <w:szCs w:val="18"/>
          <w:color w:val="auto"/>
        </w:rPr>
        <w:t>Loss on extinguishment of term loan is related to the repayment of the Perceptive Term Loan in July 2020 and the SVB Term Loan in November 2022, which included early prepayment and exit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Provision for income taxes primarily consists of foreign taxes in Mexico. We have a full valuation allowance for deferred tax assets, including net operating loss carryforwards and tax credits related primarily to research and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this section, we discuss the results of our operations for the year ended December 31, 2022 compared to the year ended December 31, 2021.</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for the years indicated, our results of operations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84"/>
              </w:rPr>
              <w:t>2022</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4"/>
              </w:rPr>
              <w:t>2021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93,388</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84,312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4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Service and other revenue</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21,987</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18,290</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115,375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102,602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49,935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82,510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84,639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57,035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4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Cost of service and other revenue</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15,032</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10,355</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Total cost of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97,542</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94,994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17,833</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7,608</w:t>
            </w:r>
          </w:p>
        </w:tc>
        <w:tc>
          <w:tcPr>
            <w:tcW w:w="2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48,855</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36,741</w:t>
            </w:r>
          </w:p>
        </w:tc>
        <w:tc>
          <w:tcPr>
            <w:tcW w:w="2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28,850</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89,482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65,070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45,068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4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40,515</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36,316</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30,512</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178,852</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138,127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(161,019</w:t>
            </w:r>
          </w:p>
        </w:tc>
        <w:tc>
          <w:tcPr>
            <w:tcW w:w="260" w:type="dxa"/>
            <w:vAlign w:val="bottom"/>
            <w:tcBorders>
              <w:right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(130,519</w:t>
            </w:r>
          </w:p>
        </w:tc>
        <w:tc>
          <w:tcPr>
            <w:tcW w:w="240" w:type="dxa"/>
            <w:vAlign w:val="bottom"/>
            <w:tcBorders>
              <w:right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(117,467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Interest income and other income, net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(3,566 )</w:t>
            </w: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(1,715 )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Loss on extinguishment of term loan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(1,367 )</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(1,567 )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FF0FC"/>
          </w:tcPr>
          <w:p>
            <w:pPr>
              <w:spacing w:after="0"/>
              <w:rPr>
                <w:sz w:val="19"/>
                <w:szCs w:val="19"/>
                <w:color w:val="auto"/>
              </w:rPr>
            </w:pPr>
          </w:p>
        </w:tc>
        <w:tc>
          <w:tcPr>
            <w:tcW w:w="54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Change in fair value of redeemable convertible preferred stock</w:t>
            </w:r>
          </w:p>
        </w:tc>
        <w:tc>
          <w:tcPr>
            <w:tcW w:w="26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FF0FC"/>
            </w:tcBorders>
            <w:vMerge w:val="restart"/>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vMerge w:val="restart"/>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(93 )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54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260" w:type="dxa"/>
            <w:vAlign w:val="bottom"/>
            <w:tcBorders>
              <w:right w:val="single" w:sz="8" w:color="CFF0FC"/>
            </w:tcBorders>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240" w:type="dxa"/>
            <w:vAlign w:val="bottom"/>
            <w:tcBorders>
              <w:right w:val="single" w:sz="8" w:color="CFF0FC"/>
            </w:tcBorders>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40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(162,661 )</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(131,736 )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(121,492 )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(162,956 )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(131,935 )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(121,492 )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right"/>
              <w:ind w:right="370"/>
              <w:spacing w:after="0"/>
              <w:rPr>
                <w:sz w:val="20"/>
                <w:szCs w:val="20"/>
                <w:color w:val="auto"/>
              </w:rPr>
            </w:pPr>
            <w:r>
              <w:rPr>
                <w:rFonts w:ascii="Arial" w:cs="Arial" w:eastAsia="Arial" w:hAnsi="Arial"/>
                <w:sz w:val="16"/>
                <w:szCs w:val="16"/>
                <w:b w:val="1"/>
                <w:bCs w:val="1"/>
                <w:color w:val="auto"/>
                <w:w w:val="99"/>
              </w:rPr>
              <w:t>Years Ended December 31,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Change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60" w:type="dxa"/>
            <w:vAlign w:val="bottom"/>
            <w:gridSpan w:val="3"/>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ind w:left="180"/>
              <w:spacing w:after="0"/>
              <w:rPr>
                <w:sz w:val="20"/>
                <w:szCs w:val="20"/>
                <w:color w:val="auto"/>
              </w:rPr>
            </w:pPr>
            <w:r>
              <w:rPr>
                <w:rFonts w:ascii="Arial" w:cs="Arial" w:eastAsia="Arial" w:hAnsi="Arial"/>
                <w:sz w:val="16"/>
                <w:szCs w:val="16"/>
                <w:color w:val="auto"/>
              </w:rPr>
              <w:t>Product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93,388</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84,312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9,076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440" w:type="dxa"/>
            <w:vAlign w:val="bottom"/>
            <w:gridSpan w:val="2"/>
          </w:tcPr>
          <w:p>
            <w:pPr>
              <w:ind w:left="180"/>
              <w:spacing w:after="0"/>
              <w:rPr>
                <w:sz w:val="20"/>
                <w:szCs w:val="20"/>
                <w:color w:val="auto"/>
              </w:rPr>
            </w:pPr>
            <w:r>
              <w:rPr>
                <w:rFonts w:ascii="Arial" w:cs="Arial" w:eastAsia="Arial" w:hAnsi="Arial"/>
                <w:sz w:val="16"/>
                <w:szCs w:val="16"/>
                <w:color w:val="auto"/>
              </w:rPr>
              <w:t>Service and other revenue</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21,987</w:t>
            </w: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18,290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3,697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gridSpan w:val="2"/>
          </w:tcPr>
          <w:p>
            <w:pPr>
              <w:ind w:left="36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115,375</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102,602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12,773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-4413885</wp:posOffset>
            </wp:positionV>
            <wp:extent cx="7747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-4413885</wp:posOffset>
            </wp:positionV>
            <wp:extent cx="685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-3788410</wp:posOffset>
            </wp:positionV>
            <wp:extent cx="7747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-3788410</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-2845435</wp:posOffset>
            </wp:positionV>
            <wp:extent cx="7747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-2845435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-1774190</wp:posOffset>
            </wp:positionV>
            <wp:extent cx="7747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-1774190</wp:posOffset>
            </wp:positionV>
            <wp:extent cx="685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-1456690</wp:posOffset>
            </wp:positionV>
            <wp:extent cx="7747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-1456690</wp:posOffset>
            </wp:positionV>
            <wp:extent cx="685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74" w:lineRule="exact"/>
        <w:rPr>
          <w:sz w:val="20"/>
          <w:szCs w:val="20"/>
          <w:color w:val="auto"/>
        </w:rPr>
      </w:pPr>
    </w:p>
    <w:p>
      <w:pPr>
        <w:ind w:right="240" w:firstLine="749"/>
        <w:spacing w:after="0" w:line="279" w:lineRule="auto"/>
        <w:rPr>
          <w:sz w:val="20"/>
          <w:szCs w:val="20"/>
          <w:color w:val="auto"/>
        </w:rPr>
      </w:pPr>
      <w:r>
        <w:rPr>
          <w:rFonts w:ascii="Arial" w:cs="Arial" w:eastAsia="Arial" w:hAnsi="Arial"/>
          <w:sz w:val="17"/>
          <w:szCs w:val="17"/>
          <w:color w:val="auto"/>
        </w:rPr>
        <w:t>Product revenue increased by $9.1 million, or 11%, for the year ended December 31, 2022 as compared to the prior year. The increase was primarily due to a $9.6 million increase in consumables revenue attributable to the growth in our console installed base. This increase was partially offset by a net $0.5 million decrease in console revenue which was primarily comprised of a $2.7 million decrease in console leasing revenue due to the expiration of certain lease agreements, substantially offset by a higher average selling price for consoles.</w:t>
      </w:r>
    </w:p>
    <w:p>
      <w:pPr>
        <w:spacing w:after="0" w:line="63"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Service and other revenue increased by $3.7 million, or 20%, for the year ended December 31, 2022 as compared to the prior year. The increase was primarily due to services associated with the growth in our console installed base, which was offset by a decrease in service revenue from leased consoles due to the expiration of certain lease agreements.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49" w:right="2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Years Ended December 31,</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4720" w:type="dxa"/>
            <w:vAlign w:val="bottom"/>
            <w:gridSpan w:val="3"/>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6"/>
                <w:szCs w:val="16"/>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7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Gross profit and gross margin:</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17,833</w:t>
            </w:r>
          </w:p>
        </w:tc>
        <w:tc>
          <w:tcPr>
            <w:tcW w:w="126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7,608</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10,225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134 %</w:t>
            </w:r>
          </w:p>
        </w:tc>
      </w:tr>
      <w:tr>
        <w:trPr>
          <w:trHeight w:val="239"/>
        </w:trPr>
        <w:tc>
          <w:tcPr>
            <w:tcW w:w="20" w:type="dxa"/>
            <w:vAlign w:val="bottom"/>
            <w:shd w:val="clear" w:color="auto" w:fill="CFF0FC"/>
          </w:tcPr>
          <w:p>
            <w:pPr>
              <w:spacing w:after="0"/>
              <w:rPr>
                <w:sz w:val="20"/>
                <w:szCs w:val="20"/>
                <w:color w:val="auto"/>
              </w:rPr>
            </w:pPr>
          </w:p>
        </w:tc>
        <w:tc>
          <w:tcPr>
            <w:tcW w:w="47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Gross margin</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15.5</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7.4</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94"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Gross profit increased by $10.2 million, or 134%, for the year ended December 31, 2022 as compared to the prior year. The gross margin percentage improved by 8.1 percentage points for the year ended December 31, 2022 as compared to the prior year. This improvement in gross margin was primarily driven by the impact of our console cost reduction activities and a higher average selling price for consoles. Such improvement was partially offset by the impact from the expiration of certain lease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8"/>
              </w:rPr>
              <w:t>Years Ended December 31,</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2"/>
              </w:rPr>
              <w:t>(dollars in thousands)</w:t>
            </w:r>
          </w:p>
        </w:tc>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460" w:type="dxa"/>
            <w:vAlign w:val="bottom"/>
            <w:gridSpan w:val="3"/>
            <w:vMerge w:val="restart"/>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18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48,855</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36,741</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12,114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tcPr>
          <w:p>
            <w:pPr>
              <w:ind w:left="18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89,482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65,070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24,412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44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40,515</w:t>
            </w:r>
          </w:p>
        </w:tc>
        <w:tc>
          <w:tcPr>
            <w:tcW w:w="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36,316</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4,199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gridSpan w:val="2"/>
          </w:tcPr>
          <w:p>
            <w:pPr>
              <w:ind w:left="360"/>
              <w:spacing w:after="0"/>
              <w:rPr>
                <w:sz w:val="20"/>
                <w:szCs w:val="20"/>
                <w:color w:val="auto"/>
              </w:rPr>
            </w:pPr>
            <w:r>
              <w:rPr>
                <w:rFonts w:ascii="Arial" w:cs="Arial" w:eastAsia="Arial" w:hAnsi="Arial"/>
                <w:sz w:val="16"/>
                <w:szCs w:val="16"/>
                <w:color w:val="auto"/>
              </w:rPr>
              <w:t>Total operating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178,852</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138,127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40,725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74" w:lineRule="exact"/>
        <w:rPr>
          <w:sz w:val="20"/>
          <w:szCs w:val="20"/>
          <w:color w:val="auto"/>
        </w:rPr>
      </w:pPr>
    </w:p>
    <w:p>
      <w:pPr>
        <w:ind w:right="240" w:firstLine="749"/>
        <w:spacing w:after="0" w:line="259" w:lineRule="auto"/>
        <w:rPr>
          <w:sz w:val="20"/>
          <w:szCs w:val="20"/>
          <w:color w:val="auto"/>
        </w:rPr>
      </w:pPr>
      <w:r>
        <w:rPr>
          <w:rFonts w:ascii="Arial" w:cs="Arial" w:eastAsia="Arial" w:hAnsi="Arial"/>
          <w:sz w:val="18"/>
          <w:szCs w:val="18"/>
          <w:color w:val="auto"/>
        </w:rPr>
        <w:t>Research and development expenses increased by $12.1 million, or 33%, for the year ended December 31, 2022 as compared to the prior year. These increases were primarily due to higher headcount, resulting in increased payroll-related and stock-based compensation expense and increased infrastructure costs to support our growth. In addition, there were higher consulting and travel expenses to support our product research and development activities.</w:t>
      </w:r>
    </w:p>
    <w:p>
      <w:pPr>
        <w:spacing w:after="0" w:line="79"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Sales and marketing expenses increased by $24.4 million, or 38% for the year ended December 31, 2022 as compared to the prior year. The increase was primarily driven by higher headcount, resulting in increased payroll-related and stock-based compensation expense and increased infrastructure costs to support our growth. In addition, there were higher freight, travel, consulting, and marketing expenses due to an increase in sales and marketing activities.</w:t>
      </w:r>
    </w:p>
    <w:p>
      <w:pPr>
        <w:spacing w:after="0" w:line="79"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General and administrative expenses increased by $4.2 million, or 12%, for the year ended December 31, 2022 as compared to the prior year. The increase was primarily driven by higher headcount, resulting in increased payroll-related and stock-based compensation expense and increased infrastructure costs to support the general expansion of our operation. In addition, there were higher supplies and materials costs and higher travel costs due to an increase in training related activities and in-person events. These increases were partially offset by lower consulting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Years Ended December 31,</w:t>
            </w:r>
          </w:p>
        </w:tc>
        <w:tc>
          <w:tcPr>
            <w:tcW w:w="380" w:type="dxa"/>
            <w:vAlign w:val="bottom"/>
          </w:tcPr>
          <w:p>
            <w:pPr>
              <w:spacing w:after="0"/>
              <w:rPr>
                <w:sz w:val="19"/>
                <w:szCs w:val="19"/>
                <w:color w:val="auto"/>
              </w:rPr>
            </w:pPr>
          </w:p>
        </w:tc>
        <w:tc>
          <w:tcPr>
            <w:tcW w:w="1600" w:type="dxa"/>
            <w:vAlign w:val="bottom"/>
            <w:gridSpan w:val="3"/>
          </w:tcPr>
          <w:p>
            <w:pPr>
              <w:ind w:left="86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80" w:type="dxa"/>
            <w:vAlign w:val="bottom"/>
            <w:gridSpan w:val="3"/>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(expenses), net: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Interest income and other income, net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3,291</w:t>
            </w:r>
          </w:p>
        </w:tc>
        <w:tc>
          <w:tcPr>
            <w:tcW w:w="2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498</w:t>
            </w:r>
          </w:p>
        </w:tc>
        <w:tc>
          <w:tcPr>
            <w:tcW w:w="2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561 %</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(3,566 )</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(1,715 )</w:t>
            </w:r>
          </w:p>
        </w:tc>
        <w:tc>
          <w:tcPr>
            <w:tcW w:w="3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(1,851 )</w:t>
            </w:r>
          </w:p>
        </w:tc>
        <w:tc>
          <w:tcPr>
            <w:tcW w:w="4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46"/>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Loss on extinguishment of term loan</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(1,367 )</w:t>
            </w:r>
          </w:p>
        </w:tc>
        <w:tc>
          <w:tcPr>
            <w:tcW w:w="32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(1,367 )</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4760" w:type="dxa"/>
            <w:vAlign w:val="bottom"/>
            <w:gridSpan w:val="2"/>
          </w:tcPr>
          <w:p>
            <w:pPr>
              <w:ind w:left="180"/>
              <w:spacing w:after="0"/>
              <w:rPr>
                <w:sz w:val="20"/>
                <w:szCs w:val="20"/>
                <w:color w:val="auto"/>
              </w:rPr>
            </w:pPr>
            <w:r>
              <w:rPr>
                <w:rFonts w:ascii="Arial" w:cs="Arial" w:eastAsia="Arial" w:hAnsi="Arial"/>
                <w:sz w:val="16"/>
                <w:szCs w:val="16"/>
                <w:color w:val="auto"/>
              </w:rPr>
              <w:t>Total other expenses, net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(1,642 )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(1,217 )</w:t>
            </w:r>
          </w:p>
        </w:tc>
        <w:tc>
          <w:tcPr>
            <w:tcW w:w="3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(425 )</w:t>
            </w:r>
          </w:p>
        </w:tc>
        <w:tc>
          <w:tcPr>
            <w:tcW w:w="4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 Not meaningful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increase in interest income and other income, net, for the year ended December 31, 2022 as compared to the prior year was driven by higher interest rates and higher average short-term investments balance in 2022.</w:t>
      </w:r>
    </w:p>
    <w:p>
      <w:pPr>
        <w:spacing w:after="0" w:line="62" w:lineRule="exact"/>
        <w:rPr>
          <w:sz w:val="20"/>
          <w:szCs w:val="20"/>
          <w:color w:val="auto"/>
        </w:rPr>
      </w:pPr>
    </w:p>
    <w:p>
      <w:pPr>
        <w:ind w:right="200" w:firstLine="749"/>
        <w:spacing w:after="0" w:line="342" w:lineRule="auto"/>
        <w:rPr>
          <w:sz w:val="20"/>
          <w:szCs w:val="20"/>
          <w:color w:val="auto"/>
        </w:rPr>
      </w:pPr>
      <w:r>
        <w:rPr>
          <w:rFonts w:ascii="Arial" w:cs="Arial" w:eastAsia="Arial" w:hAnsi="Arial"/>
          <w:sz w:val="16"/>
          <w:szCs w:val="16"/>
          <w:color w:val="auto"/>
        </w:rPr>
        <w:t>The increase in interest expense for the year ended December 31, 2022 as compared to the prior year was due to higher Prime Rate in 2022, which was the base interest rate used for the SVB Term Loan, and the higher interest expense and outstanding balance under the SLR Term Loan Facility.</w:t>
      </w:r>
    </w:p>
    <w:p>
      <w:pPr>
        <w:spacing w:after="0" w:line="16"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The loss on extinguishment of term loan of $1.4 million was recognized for the repayment of the SVB Term Loan in 2022, which included early prepayment and exit fees.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40" w:firstLine="749"/>
        <w:spacing w:after="0" w:line="342" w:lineRule="auto"/>
        <w:rPr>
          <w:sz w:val="20"/>
          <w:szCs w:val="20"/>
          <w:color w:val="auto"/>
        </w:rPr>
      </w:pPr>
      <w:r>
        <w:rPr>
          <w:rFonts w:ascii="Arial" w:cs="Arial" w:eastAsia="Arial" w:hAnsi="Arial"/>
          <w:sz w:val="16"/>
          <w:szCs w:val="16"/>
          <w:color w:val="auto"/>
        </w:rPr>
        <w:t>As of December 31, 2022, we had cash, cash equivalents, and short-term investments of $287.5 million, which are available to fund future operations, and restricted cash of $3.3 million, for a total cash, cash equivalents, restricted cash and short-term investments balance of $290.8 million.</w:t>
      </w:r>
    </w:p>
    <w:p>
      <w:pPr>
        <w:spacing w:after="0" w:line="1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financings, and proceeds from stock option exercises and employee stock purchases.</w:t>
      </w:r>
    </w:p>
    <w:p>
      <w:pPr>
        <w:spacing w:after="0" w:line="76" w:lineRule="exact"/>
        <w:rPr>
          <w:sz w:val="20"/>
          <w:szCs w:val="20"/>
          <w:color w:val="auto"/>
        </w:rPr>
      </w:pPr>
    </w:p>
    <w:p>
      <w:pPr>
        <w:ind w:right="100" w:firstLine="749"/>
        <w:spacing w:after="0" w:line="289" w:lineRule="auto"/>
        <w:rPr>
          <w:sz w:val="20"/>
          <w:szCs w:val="20"/>
          <w:color w:val="auto"/>
        </w:rPr>
      </w:pPr>
      <w:r>
        <w:rPr>
          <w:rFonts w:ascii="Arial" w:cs="Arial" w:eastAsia="Arial" w:hAnsi="Arial"/>
          <w:sz w:val="16"/>
          <w:szCs w:val="16"/>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We believe that our existing cash, cash equivalents and short-term investments, cash generated from sales, and proceeds received and currently available from the recent debt financing described below under “Debt Obligations ‒ SLR Debt Financing”, will be sufficient to meet our anticipated needs for at least the next 12 months from the issuance date of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cash flows for each of the periods indicated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w w:val="91"/>
              </w:rPr>
              <w:t>Years Ended 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56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99"/>
              <w:spacing w:after="0"/>
              <w:rPr>
                <w:sz w:val="20"/>
                <w:szCs w:val="20"/>
                <w:color w:val="auto"/>
              </w:rPr>
            </w:pPr>
            <w:r>
              <w:rPr>
                <w:rFonts w:ascii="Arial" w:cs="Arial" w:eastAsia="Arial" w:hAnsi="Arial"/>
                <w:sz w:val="16"/>
                <w:szCs w:val="16"/>
                <w:color w:val="auto"/>
              </w:rPr>
              <w:t>(145,729 )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(130,264 )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(99,015 )</w:t>
            </w:r>
          </w:p>
        </w:tc>
      </w:tr>
      <w:tr>
        <w:trPr>
          <w:trHeight w:val="239"/>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(66,295 )</w:t>
            </w:r>
          </w:p>
        </w:tc>
        <w:tc>
          <w:tcPr>
            <w:tcW w:w="2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(142,507 )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3,947</w:t>
            </w:r>
          </w:p>
        </w:tc>
        <w:tc>
          <w:tcPr>
            <w:tcW w:w="100" w:type="dxa"/>
            <w:vAlign w:val="bottom"/>
            <w:shd w:val="clear" w:color="auto" w:fill="CFF0FC"/>
          </w:tcPr>
          <w:p>
            <w:pPr>
              <w:spacing w:after="0"/>
              <w:rPr>
                <w:sz w:val="20"/>
                <w:szCs w:val="20"/>
                <w:color w:val="auto"/>
              </w:rPr>
            </w:pPr>
          </w:p>
        </w:tc>
      </w:tr>
      <w:tr>
        <w:trPr>
          <w:trHeight w:val="223"/>
        </w:trPr>
        <w:tc>
          <w:tcPr>
            <w:tcW w:w="6560" w:type="dxa"/>
            <w:vAlign w:val="bottom"/>
          </w:tcPr>
          <w:p>
            <w:pPr>
              <w:ind w:left="200"/>
              <w:spacing w:after="0"/>
              <w:rPr>
                <w:sz w:val="20"/>
                <w:szCs w:val="20"/>
                <w:color w:val="auto"/>
              </w:rPr>
            </w:pPr>
            <w:r>
              <w:rPr>
                <w:rFonts w:ascii="Arial" w:cs="Arial" w:eastAsia="Arial" w:hAnsi="Arial"/>
                <w:sz w:val="16"/>
                <w:szCs w:val="16"/>
                <w:color w:val="auto"/>
              </w:rPr>
              <w:t>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72,898</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160,147</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385,682</w:t>
            </w:r>
          </w:p>
        </w:tc>
        <w:tc>
          <w:tcPr>
            <w:tcW w:w="100" w:type="dxa"/>
            <w:vAlign w:val="bottom"/>
          </w:tcPr>
          <w:p>
            <w:pPr>
              <w:spacing w:after="0"/>
              <w:rPr>
                <w:sz w:val="19"/>
                <w:szCs w:val="19"/>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(139,126 )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(112,624 )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290,614</w:t>
            </w:r>
          </w:p>
        </w:tc>
        <w:tc>
          <w:tcPr>
            <w:tcW w:w="100" w:type="dxa"/>
            <w:vAlign w:val="bottom"/>
            <w:shd w:val="clear" w:color="auto" w:fill="CFF0FC"/>
          </w:tcPr>
          <w:p>
            <w:pPr>
              <w:spacing w:after="0"/>
              <w:rPr>
                <w:sz w:val="21"/>
                <w:szCs w:val="2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firstLine="749"/>
        <w:spacing w:after="0" w:line="289" w:lineRule="auto"/>
        <w:rPr>
          <w:sz w:val="20"/>
          <w:szCs w:val="20"/>
          <w:color w:val="auto"/>
        </w:rPr>
      </w:pPr>
      <w:r>
        <w:rPr>
          <w:rFonts w:ascii="Arial" w:cs="Arial" w:eastAsia="Arial" w:hAnsi="Arial"/>
          <w:sz w:val="16"/>
          <w:szCs w:val="16"/>
          <w:color w:val="auto"/>
        </w:rPr>
        <w:t>Net cash used in operating activities of $145.7 million for the year ended December 31, 2022 was due to a net loss of $163.0 million and a net cash outflow from the change in our operating assets and liabilities of $21.1 million, partially offset by the primary non-cash adjustments for stock-based compensation expense of $27.2 million, depreciation and amortization of $5.2 million, provision for inventories of $2.6 million, loss on extinguishment of term loan of $1.4 million, non-cash lease expense of $1.1 million, accretion of discount on investments of $0.4 million, and non-cash interest expense of $0.4 million. The net cash outflow from operating assets and liabilities was primarily due to an increase in inventories due to the timing of inventory purchases including advance purchases of inventory to mitigate supply chain disruptions, a decrease in accrued payroll and related benefits, an increase in accounts receivable due to timing of collections, a decrease in accounts payable due to timing of vendor payments, an increase in prepaid expenses and other assets, and a decrease in operating lease liabilities. The net cash outflow from operating assets and liabilities was partially offset by an increase in deferred revenue due to the growth of our business and an increase in accrued expenses and other current liabilities.</w:t>
      </w:r>
    </w:p>
    <w:p>
      <w:pPr>
        <w:spacing w:after="0" w:line="58"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Net cash used in operating activities of $130.3 million for the year ended December 31, 2021 was due to a net loss of $131.9 million and a net cash outflow from the change in our operating assets and liabilities of $25.6 million, partially offset by the primary non-cash adjustments for stock-based compensation expense of $17.4 million, depreciation and amortization of $5.2 million, accretion of discount on investments of $2.0 million, non-cash lease expense of $1.0 million, provision for inventories of $1.0 million, and non-cash interest expense of $0.6 million. The net cash outflow from operating assets and liabilities was primarily due to an increase in inventories due to the timing of inventory purchases including advance purchases of inventory to meet anticipated demand and to mitigate supply chain disruptions, an increase in accounts receivable due to timing of collections, a decrease in accounts payable due to timing of vendor payments and a decrease in operating lease liabilities. The net cash outflow from operating assets and liabilities was partially offset by an increase in accrued payroll and related benefits due to an increase in headcount, an increase in accrued expenses and other current liabilities, an increase in deferred revenue due to the growth of our business, a decrease in prepaid expenses and other assets and an increase in accrued warranty liability.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Net cash used in investing activities of $66.3 million for the year ended December 31, 2022 was due primarily to purchases of investment securities of $261.2 million and purchases of property and equipment of $8.3 million, partially offset by the sales and maturities of investment securities of $203.2 million.</w:t>
      </w:r>
    </w:p>
    <w:p>
      <w:pPr>
        <w:spacing w:after="0" w:line="76"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Net cash used in investing activities of $142.5 million for the year ended December 31, 2021 was due primarily to purchases of investment securities of $178.4 million and purchases of property and equipment of $3.1 million, partially offset by the sales and maturities of investment securities of $39.0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Net cash provided by financing activities of $72.9 million for the year ended December 31, 2022 was due primarily to the net proceeds of $96.1 million from borrowings under the SLR Term Loan Facility and the proceeds of $8.0 million from employee exercises of stock options and employee stock purchase plan purchases, partially offset by the cash outflow of $31.2 million in repayment of the SVB Term Loan which included early prepayment and exit fees.</w:t>
      </w:r>
    </w:p>
    <w:p>
      <w:pPr>
        <w:spacing w:after="0" w:line="79" w:lineRule="exact"/>
        <w:rPr>
          <w:sz w:val="20"/>
          <w:szCs w:val="20"/>
          <w:color w:val="auto"/>
        </w:rPr>
      </w:pPr>
    </w:p>
    <w:p>
      <w:pPr>
        <w:jc w:val="both"/>
        <w:ind w:right="460" w:firstLine="749"/>
        <w:spacing w:after="0" w:line="263" w:lineRule="auto"/>
        <w:rPr>
          <w:sz w:val="20"/>
          <w:szCs w:val="20"/>
          <w:color w:val="auto"/>
        </w:rPr>
      </w:pPr>
      <w:r>
        <w:rPr>
          <w:rFonts w:ascii="Arial" w:cs="Arial" w:eastAsia="Arial" w:hAnsi="Arial"/>
          <w:sz w:val="18"/>
          <w:szCs w:val="18"/>
          <w:color w:val="auto"/>
        </w:rPr>
        <w:t>Net cash provided by financing activities of $160.1 million for the year ended December 31, 2021 was due primarily to the net proceeds of $149.1 million from the issuance of our common stock in our follow-on offering and the proceeds of $11.1 million from employee exercises of stock options and employee stock purchase plan 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SLR Debt Financing</w:t>
      </w:r>
    </w:p>
    <w:p>
      <w:pPr>
        <w:spacing w:after="0" w:line="11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On November 3, 2022 (the Closing Date), we entered into two senior secured credit facilities, which collectively provide for borrowings of up to $300.0 million: (i) a term loan facility pursuant to a loan and security agreement (the SLR Loan Agreement) among SLR Investment Corp., as collateral agent (Agent), the lenders from time to time party thereto (the Term Loan Lenders) and us (the SLR Term Loan Facility), and (ii) an asset-based revolving credit facility pursuant to a credit agreement (the SLR Revolving Credit Agreement, together with the SLR Loan Agreement, the SLR Credit Facility Agreements) among Gemino Healthcare Finance, LLC d/b/a SLR Healthcare ABL, as lender (ABL Lender), and us (the SLR Revolver, together with the SLR Term Loan Facility, the SLR Credit Facilities).</w:t>
      </w:r>
    </w:p>
    <w:p>
      <w:pPr>
        <w:spacing w:after="0" w:line="84"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The maximum amount we are permitted to borrow under the SLR Credit Facilities is subject to certain overall borrowing limitations. We are permitted to borrow up to $200.0 million under the SLR Credit Facilities on the Closing Date. If we achieve a certain net revenue milestone, calculated on a trailing six-month basis (First Revenue Milestone), on or before June 30, 2024 and the Additional Tranche (as defined below) under the SLR Revolver has been approved, we will be permitted to borrow up to $250.0 million under the SLR Credit Facilities. If we achieve a subsequent additional net revenue milestone, calculated on a trailing six-month basis (Second Revenue Milestone), on or before June 30, 2025 and obtain lenders' credit approval, we will be permitted to borrow up to $300.0 million under the SLR Credit Facilities.</w:t>
      </w:r>
    </w:p>
    <w:p>
      <w:pPr>
        <w:spacing w:after="0" w:line="70"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Pursuant to the terms and conditions of the SLR Loan Agreement, the Term Loan Lenders agreed to extend term loans to us in an aggregate principal amount of up to $250.0 million, comprised of (i) a term loan of $100.0 million (the Term A Loan), (ii) one or more term loans (in minimum increments of $20.0 million each) in the aggregate of up to $100.0 million (each, a Term B Loan) and (iii) one or more term loans in the aggregate of up to $50.0 million (each, a Term C Loan). Each Term A Loan, Term B Loan and Term C Loan is referred to single as a Term Loan and are referred to collectively as the Term Loans. The Term A Loan was funded on the Closing Date. The Term B Loan(s) are available for funding until August 22, 2024. The Term C Loan(s) are available subject to the lenders’ credit approval and the achievement of the Second Revenue Milestone on or before June 30, 2025. The Term C Loan will remain available for funding until one business day prior to November 1, 2027.</w:t>
      </w:r>
    </w:p>
    <w:p>
      <w:pPr>
        <w:spacing w:after="0" w:line="69"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The SLR Revolving Credit Agreement provides for an asset-based revolving credit facility with aggregate revolving commitments of $25.0 million (the Initial Revolver Commitment). We may request to increase the aggregate revolving commitments by $25.0 million (the Additional Tranche) to an aggregate amount of $50.0 million, subject to ABL Lender’s approval. Amounts available to be drawn under the SLR Revolver are equal to the lesser of</w:t>
      </w:r>
    </w:p>
    <w:p>
      <w:pPr>
        <w:spacing w:after="0" w:line="2" w:lineRule="exact"/>
        <w:rPr>
          <w:sz w:val="20"/>
          <w:szCs w:val="20"/>
          <w:color w:val="auto"/>
        </w:rPr>
      </w:pPr>
    </w:p>
    <w:p>
      <w:pPr>
        <w:jc w:val="both"/>
        <w:ind w:right="20" w:firstLine="8"/>
        <w:spacing w:after="0" w:line="255"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outstanding revolving commitments under the SLR Revolving Credit Agreement and (ii) a borrowing base (the Borrowing Base) equal to the sum of (a) 85% of eligible accounts receivable, plus (b) 25% of eligible inventory (not to exceed the lesser of 50% of the Borrowing Base and $5.0 million), minus (c) customary reserves, minus (d) unposted cash.</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2022, we had $100.0 million outstanding under the SLR Term Loan Facility.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SVB Term Loan</w:t>
      </w:r>
    </w:p>
    <w:p>
      <w:pPr>
        <w:spacing w:after="0" w:line="333" w:lineRule="exact"/>
        <w:rPr>
          <w:sz w:val="20"/>
          <w:szCs w:val="20"/>
          <w:color w:val="auto"/>
        </w:rPr>
      </w:pPr>
    </w:p>
    <w:p>
      <w:pPr>
        <w:ind w:right="320" w:firstLine="749"/>
        <w:spacing w:after="0" w:line="263" w:lineRule="auto"/>
        <w:rPr>
          <w:sz w:val="20"/>
          <w:szCs w:val="20"/>
          <w:color w:val="auto"/>
        </w:rPr>
      </w:pPr>
      <w:r>
        <w:rPr>
          <w:rFonts w:ascii="Arial" w:cs="Arial" w:eastAsia="Arial" w:hAnsi="Arial"/>
          <w:sz w:val="18"/>
          <w:szCs w:val="18"/>
          <w:color w:val="auto"/>
        </w:rPr>
        <w:t>We entered into the SVB Loan and Security Agreement with SVB in July 2020, which provides for a $30.0 million term loan (the SVB Term Loan). We repaid in full all amounts due under the SVB Term Loan, including the early repayment fee of $0.3 million and the final payment of $2.0 million, using a portion of the proceeds of the SLR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70"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While the significant accounting policies are more fully described in Note 2 to our audited financial statements included elsewhere in this Annual Report, we believe that the following critical accounting policies are most important to understanding and evaluating our reported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We generate our revenue primarily from contracts with customers for the sale of products and services. Each customer contract defines our distinct performance obligations. Revenue is recognized when a performance obligation is satisfied. Revenue from product sales is recognized at a point in time when management has determined that control has transferred to the customer, which is generally when legal title has transferred to the customer. Certain contracts include variable consideration such as rebates, revenue for such contracts is recognized only to the extent that it is probable that a significant reversal in the amount of cumulative revenue recognized will not occur when the uncertainty associated with the variable consideration is subsequently resolved. Revenue from service contracts is recognized over time as the service is performed, typically evenly over the contract term. Revenue is recognized net of any taxes collected from customers, which are subsequently remitted to governmental authorities.</w:t>
      </w:r>
    </w:p>
    <w:p>
      <w:pPr>
        <w:spacing w:after="0" w:line="58"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Our contracts with customers often include multiple performance obligations. Determining whether the products and services are considered distinct performance obligations that should be accounted for separately may require significant judgment by management. For such contracts, we allocate the contracted transaction price to each distinct performance obligation based upon the relative standalone sale prices (SSP). We determine the SSP based upon the facts and circumstances of each performance obligation (product or services), which often requires management's judgement. We use an observable price to estimate SSP for items that are sold separately, including customer service agreements. In instances where SSP is not directly observable, such as when we do not sell the product or service separately, we determine the SSP using information that may include market conditions and other observable inputs. We may offer additional goods or services to customers at the inception of customer contracts at prices not at SSP. If such contracts result in a material right, we allocate part of the transaction price to that right and recognize the associated revenue when those future goods and services are transferred to the customer. SSP is assigned based on the estimated value of the material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60" w:firstLine="749"/>
        <w:spacing w:after="0" w:line="286" w:lineRule="auto"/>
        <w:rPr>
          <w:sz w:val="20"/>
          <w:szCs w:val="20"/>
          <w:color w:val="auto"/>
        </w:rPr>
      </w:pPr>
      <w:r>
        <w:rPr>
          <w:rFonts w:ascii="Arial" w:cs="Arial" w:eastAsia="Arial" w:hAnsi="Arial"/>
          <w:sz w:val="17"/>
          <w:szCs w:val="17"/>
          <w:color w:val="auto"/>
        </w:rPr>
        <w:t>Our stock-based compensation expense relates to stock options with a service-based vesting condition, stock options with performance and market-based vesting conditions, stock purchase rights under our Employee Stock Purchase Plan (ESPP), restricted stock units (RSUs) and performance stock units (PSUs). Stock-based compensation expense for our stock-based awards is based on their grant date fair value.</w:t>
      </w:r>
    </w:p>
    <w:p>
      <w:pPr>
        <w:spacing w:after="0" w:line="5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We estimate the fair value of stock options with a service condition and stock purchase rights under our ESPP on the grant date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76"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service-based stock options and stock purchase rights under our ESPP. These variables include the per share fair value of the underlying common stock, exercise price, expected term, risk-free interest rate, expected annual dividend yield and expected stock price volatility over the expected term. For all service-based stock options granted, we calculate the expected term using the simplified method for “plain vanilla” stock option awards. We had no publicly available stock price information prior to our IPO and limited available stock price information subsequent to our IPO; therefore, we have used the historical volatility of the stock price of similar publicly traded peer companies. The risk-free interest rate is based on the yield available on U.S. Treasury zero-coupon issues similar in duration to the expected term of the equity-settled award.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80" w:firstLine="749"/>
        <w:spacing w:after="0" w:line="273" w:lineRule="auto"/>
        <w:rPr>
          <w:sz w:val="20"/>
          <w:szCs w:val="20"/>
          <w:color w:val="auto"/>
        </w:rPr>
      </w:pPr>
      <w:r>
        <w:rPr>
          <w:rFonts w:ascii="Arial" w:cs="Arial" w:eastAsia="Arial" w:hAnsi="Arial"/>
          <w:sz w:val="17"/>
          <w:szCs w:val="17"/>
          <w:color w:val="auto"/>
        </w:rPr>
        <w:t>For stock options with performance- and market-based vesting conditions, stock-based compensation expense begins to be recognized over the remaining service period when it is considered probable that the performance vesting condition will be satisfied. Prior to our IPO in September 2020, we had not recognized any stock-based compensation expense as the satisfaction of the performance condition was not considered probable. Upon the closing of our IPO, we recorded a cumulative stock-based compensation expense using the accelerated attribution method as the performance condition was satisfied. Stock-based compensation expense related to these options is not reversed if the achievement of the market-based vesting condition does not occur. The fair value of these stock options is estimated using the Monte Carlo simulation model.</w:t>
      </w:r>
    </w:p>
    <w:p>
      <w:pPr>
        <w:spacing w:after="0" w:line="70"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The fair value of RSUs and PSUs with service- or performance-based vesting conditions is based on the market price of our common stock on the date of grant. The determination of the stock-based compensation expense related to PSUs with performance-based vesting conditions to be recognized requires the use of certain estimates and assumptions. At each reporting period, we reassess the probability of the achievement of corporate performance goals to estimate the number of shares to be released. Any increase or decrease in stock-based compensation expense resulting from an adjustment in the estimated shares to be released is treated as a cumulative catch-up in the period of adjustment. If any of the assumptions or estimates used change significantly, stock-based compensation expense may differ materially from what we have recorded in the current period. The fair value of PSUs with market-based vesting conditions is estimated using the Monte Carlo simulation model. Stock-based compensation expense related to these PSUs is recognized using the accelerated attribution method and not reversed if the achievement of the market conditions does not occur.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Inventory is stated at the lower of cost or net realizable value, with approximate costs determined on a first-in, first-out basis. Inventory costs include direct materials, direct labor, and normal manufacturing overhead. The carrying value of inventories is reduced for any products that are considered excessive or obsolete based upon assumptions about future demand and market conditions. Any write-down of inventory to net realizable value establishes a new cost basis and will be maintained even if certain circumstances suggest that the inventory is recoverable in subsequent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Refer to Note 2, “Summary of Significant Accounting Policies” in our audited financial statements included in Part II, Item 8 of this Annual Report for a discussion of recent accounting pronouncements that may impact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Our cash, cash equivalents, restricted cash and short-term investments are held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and short-term investments.</w:t>
      </w:r>
    </w:p>
    <w:p>
      <w:pPr>
        <w:spacing w:after="0" w:line="68"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As of December 31, 2022, we had $100.0 million in variable rate debt outstanding under the SLR Term Loan Facility. The SLR Term Loan Facility bears interest at a rate per annum equal to one-month term Secured Overnight Financing Rate (term SOFR (subject to a 2.75% floor), plus 5.15%. The SLR Term Loan Facility matures on November 1, 2027. An immediate 100 basis point change in the term SOFR rate would not have a material impact on our debt-related obligations,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Our expenses are generally denominated in USD. However, as certain of our Mexico-based manufacturing operations incur costs that are denominated in MXN, we are exposed to the risk of currency fluctuations between USD and MXN. To date, foreign currency transaction gains and losses have not been material to our financial statements.</w:t>
      </w:r>
    </w:p>
    <w:p>
      <w:pPr>
        <w:spacing w:after="0" w:line="76"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Unfavorable changes in foreign exchange rates versus USD could increase our product costs, thus reducing our gross profit. We have not engaged in the hedging of foreign currency transactions to date, although we may choose to do so in the future. We do not believe that an immediate 10% increase or decrease in the relative value of USD to other currencies would have a material effect on operating results or financial condition.</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38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92"/>
              </w:rPr>
              <w:t>Outset Medical, Inc.</w:t>
            </w:r>
          </w:p>
        </w:tc>
        <w:tc>
          <w:tcPr>
            <w:tcW w:w="6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8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89"/>
              </w:rPr>
              <w:t>Index to Financial Statements</w:t>
            </w:r>
          </w:p>
        </w:tc>
        <w:tc>
          <w:tcPr>
            <w:tcW w:w="6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10580" w:type="dxa"/>
            <w:vAlign w:val="bottom"/>
            <w:gridSpan w:val="8"/>
          </w:tcPr>
          <w:p>
            <w:pPr>
              <w:spacing w:after="0"/>
              <w:rPr>
                <w:sz w:val="20"/>
                <w:szCs w:val="20"/>
                <w:color w:val="auto"/>
              </w:rPr>
            </w:pPr>
            <w:r>
              <w:rPr>
                <w:rFonts w:ascii="Arial" w:cs="Arial" w:eastAsia="Arial" w:hAnsi="Arial"/>
                <w:sz w:val="18"/>
                <w:szCs w:val="18"/>
                <w:color w:val="0563C1"/>
              </w:rPr>
              <w:t>Report of Independent Registered Public Accounting Firm</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96"/>
        </w:trPr>
        <w:tc>
          <w:tcPr>
            <w:tcW w:w="20" w:type="dxa"/>
            <w:vAlign w:val="bottom"/>
          </w:tcPr>
          <w:p>
            <w:pPr>
              <w:spacing w:after="0"/>
              <w:rPr>
                <w:sz w:val="17"/>
                <w:szCs w:val="17"/>
                <w:color w:val="auto"/>
              </w:rPr>
            </w:pPr>
          </w:p>
        </w:tc>
        <w:tc>
          <w:tcPr>
            <w:tcW w:w="42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563C1"/>
              </w:rPr>
              <w:t>Balance Sheets</w:t>
            </w:r>
          </w:p>
        </w:tc>
        <w:tc>
          <w:tcPr>
            <w:tcW w:w="63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563C1"/>
                <w:w w:val="88"/>
              </w:rPr>
              <w:t>Statements of Operations</w:t>
            </w:r>
          </w:p>
        </w:tc>
        <w:tc>
          <w:tcPr>
            <w:tcW w:w="876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20" w:type="dxa"/>
            <w:vAlign w:val="bottom"/>
          </w:tcPr>
          <w:p>
            <w:pPr>
              <w:spacing w:after="0"/>
              <w:rPr>
                <w:sz w:val="17"/>
                <w:szCs w:val="17"/>
                <w:color w:val="auto"/>
              </w:rPr>
            </w:pPr>
          </w:p>
        </w:tc>
        <w:tc>
          <w:tcPr>
            <w:tcW w:w="25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563C1"/>
                <w:w w:val="88"/>
              </w:rPr>
              <w:t>Statements of Comprehensive Loss</w:t>
            </w:r>
          </w:p>
        </w:tc>
        <w:tc>
          <w:tcPr>
            <w:tcW w:w="804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20" w:type="dxa"/>
            <w:vAlign w:val="bottom"/>
          </w:tcPr>
          <w:p>
            <w:pPr>
              <w:spacing w:after="0"/>
              <w:rPr>
                <w:sz w:val="17"/>
                <w:szCs w:val="17"/>
                <w:color w:val="auto"/>
              </w:rPr>
            </w:pPr>
          </w:p>
        </w:tc>
        <w:tc>
          <w:tcPr>
            <w:tcW w:w="6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563C1"/>
                <w:w w:val="90"/>
              </w:rPr>
              <w:t>Statements of Redeemable Convertible Preferred Stock and Stockholders’ Equity (Deficit)</w:t>
            </w:r>
          </w:p>
        </w:tc>
        <w:tc>
          <w:tcPr>
            <w:tcW w:w="40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20" w:type="dxa"/>
            <w:vAlign w:val="bottom"/>
          </w:tcPr>
          <w:p>
            <w:pPr>
              <w:spacing w:after="0"/>
              <w:rPr>
                <w:sz w:val="17"/>
                <w:szCs w:val="17"/>
                <w:color w:val="auto"/>
              </w:rPr>
            </w:pPr>
          </w:p>
        </w:tc>
        <w:tc>
          <w:tcPr>
            <w:tcW w:w="10580" w:type="dxa"/>
            <w:vAlign w:val="bottom"/>
            <w:gridSpan w:val="8"/>
          </w:tcPr>
          <w:p>
            <w:pPr>
              <w:spacing w:after="0" w:line="196" w:lineRule="exact"/>
              <w:rPr>
                <w:sz w:val="20"/>
                <w:szCs w:val="20"/>
                <w:color w:val="auto"/>
              </w:rPr>
            </w:pPr>
            <w:r>
              <w:rPr>
                <w:rFonts w:ascii="Arial" w:cs="Arial" w:eastAsia="Arial" w:hAnsi="Arial"/>
                <w:sz w:val="18"/>
                <w:szCs w:val="18"/>
                <w:color w:val="0563C1"/>
              </w:rPr>
              <w:t>Statements of Cash Flows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8"/>
          </w:tcPr>
          <w:p>
            <w:pPr>
              <w:spacing w:after="0" w:line="196" w:lineRule="exact"/>
              <w:rPr>
                <w:sz w:val="20"/>
                <w:szCs w:val="20"/>
                <w:color w:val="auto"/>
              </w:rPr>
            </w:pPr>
            <w:r>
              <w:rPr>
                <w:rFonts w:ascii="Arial" w:cs="Arial" w:eastAsia="Arial" w:hAnsi="Arial"/>
                <w:sz w:val="18"/>
                <w:szCs w:val="18"/>
                <w:color w:val="0563C1"/>
              </w:rPr>
              <w:t>Notes to Financial Statements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668"/>
        </w:trPr>
        <w:tc>
          <w:tcPr>
            <w:tcW w:w="20" w:type="dxa"/>
            <w:vAlign w:val="bottom"/>
          </w:tcPr>
          <w:p>
            <w:pPr>
              <w:spacing w:after="0"/>
              <w:rPr>
                <w:sz w:val="24"/>
                <w:szCs w:val="24"/>
                <w:color w:val="auto"/>
              </w:rPr>
            </w:pPr>
          </w:p>
        </w:tc>
        <w:tc>
          <w:tcPr>
            <w:tcW w:w="2140" w:type="dxa"/>
            <w:vAlign w:val="bottom"/>
            <w:tcBorders>
              <w:top w:val="single" w:sz="8" w:color="0000EE"/>
            </w:tcBorders>
            <w:gridSpan w:val="4"/>
          </w:tcPr>
          <w:p>
            <w:pPr>
              <w:spacing w:after="0"/>
              <w:rPr>
                <w:sz w:val="24"/>
                <w:szCs w:val="24"/>
                <w:color w:val="auto"/>
              </w:rPr>
            </w:pPr>
          </w:p>
        </w:tc>
        <w:tc>
          <w:tcPr>
            <w:tcW w:w="4380" w:type="dxa"/>
            <w:vAlign w:val="bottom"/>
            <w:gridSpan w:val="3"/>
          </w:tcPr>
          <w:p>
            <w:pPr>
              <w:jc w:val="right"/>
              <w:ind w:right="730"/>
              <w:spacing w:after="0"/>
              <w:rPr>
                <w:sz w:val="20"/>
                <w:szCs w:val="20"/>
                <w:color w:val="auto"/>
              </w:rPr>
            </w:pPr>
            <w:r>
              <w:rPr>
                <w:rFonts w:ascii="Arial" w:cs="Arial" w:eastAsia="Arial" w:hAnsi="Arial"/>
                <w:sz w:val="18"/>
                <w:szCs w:val="18"/>
                <w:color w:val="auto"/>
              </w:rPr>
              <w:t>75</w:t>
            </w:r>
          </w:p>
        </w:tc>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Outset Medical,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Financial Statements and Internal Control Over Financial Reporting</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audited the accompanying balance sheets of Outset Medical, Inc. (the Company) as of December 31, 2022 and 2021, the related statements of operations, comprehensive loss, redeemable convertible preferred stock and stockholders’ equity (deficit), and cash flows for each of the years in the three-year period ended December 31, 2022, and the related notes (collectively, the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Identification of performance obligations in certain revenue contracts</w:t>
      </w:r>
    </w:p>
    <w:p>
      <w:pPr>
        <w:spacing w:after="0" w:line="117" w:lineRule="exact"/>
        <w:rPr>
          <w:sz w:val="20"/>
          <w:szCs w:val="20"/>
          <w:color w:val="auto"/>
        </w:rPr>
      </w:pPr>
    </w:p>
    <w:p>
      <w:pPr>
        <w:ind w:left="1020"/>
        <w:spacing w:after="0" w:line="271" w:lineRule="auto"/>
        <w:rPr>
          <w:sz w:val="20"/>
          <w:szCs w:val="20"/>
          <w:color w:val="auto"/>
        </w:rPr>
      </w:pPr>
      <w:r>
        <w:rPr>
          <w:rFonts w:ascii="Arial" w:cs="Arial" w:eastAsia="Arial" w:hAnsi="Arial"/>
          <w:sz w:val="17"/>
          <w:szCs w:val="17"/>
          <w:color w:val="auto"/>
        </w:rPr>
        <w:t>As discussed in Note 3 to the financial statements, the Company recorded $115.4 million of total revenues for the year ended December 31, 2022, of which $93.4 million related to product revenue, and $22.0 million related to service and other revenue. As discussed in Note 2 to the financial statements, the Company’s revenue is generated primarily from the sale of its products and services and contracts often include multiple performance obligations. Product revenue consists primarily of sales of the Tablo console and related consumables, including Tablo cartridges, used in treatment delivery. Service and other revenue consists primarily of revenue generated from console service contracts and other revenue from shipping and handling charged to customers. When a contract includes multiple performance obligations, determining whether the products and services are considered distinct performance obligations that should be accounted for separately may require significant judgment by management.</w:t>
      </w:r>
    </w:p>
    <w:p>
      <w:pPr>
        <w:spacing w:after="0" w:line="286" w:lineRule="exact"/>
        <w:rPr>
          <w:sz w:val="20"/>
          <w:szCs w:val="20"/>
          <w:color w:val="auto"/>
        </w:rPr>
      </w:pPr>
    </w:p>
    <w:p>
      <w:pPr>
        <w:ind w:left="1020" w:right="260"/>
        <w:spacing w:after="0" w:line="259" w:lineRule="auto"/>
        <w:rPr>
          <w:sz w:val="20"/>
          <w:szCs w:val="20"/>
          <w:color w:val="auto"/>
        </w:rPr>
      </w:pPr>
      <w:r>
        <w:rPr>
          <w:rFonts w:ascii="Arial" w:cs="Arial" w:eastAsia="Arial" w:hAnsi="Arial"/>
          <w:sz w:val="18"/>
          <w:szCs w:val="18"/>
          <w:color w:val="auto"/>
        </w:rPr>
        <w:t>We identified the evaluation of the Company’s identification of performance obligations in certain revenue contracts with customers as a critical audit matter. Evaluating whether the Company’s promises to transfer products or services are distinct performance obligations that should be accounted for separately required subjective auditor judgment due to the varying nature of the underlying promises and the associated contract terms.</w:t>
      </w:r>
    </w:p>
    <w:p>
      <w:pPr>
        <w:spacing w:after="0" w:line="295" w:lineRule="exact"/>
        <w:rPr>
          <w:sz w:val="20"/>
          <w:szCs w:val="20"/>
          <w:color w:val="auto"/>
        </w:rPr>
      </w:pPr>
    </w:p>
    <w:p>
      <w:pPr>
        <w:ind w:left="1020" w:right="60"/>
        <w:spacing w:after="0" w:line="296" w:lineRule="auto"/>
        <w:rPr>
          <w:sz w:val="20"/>
          <w:szCs w:val="20"/>
          <w:color w:val="auto"/>
        </w:rPr>
      </w:pPr>
      <w:r>
        <w:rPr>
          <w:rFonts w:ascii="Arial" w:cs="Arial" w:eastAsia="Arial" w:hAnsi="Arial"/>
          <w:sz w:val="16"/>
          <w:szCs w:val="16"/>
          <w:color w:val="auto"/>
        </w:rPr>
        <w:t>The following are the primary procedures we performed to address the critical audit matter. We evaluated the design and tested the operating effectiveness of certain internal controls related to the Company’s revenue recognition process, including a control related to the Company’s review of customer contracts for the identification of performance obligations. In addition, for a sample of the Company’s recorded revenue, we evaluated the identification of performance obligations by reading the underlying contracts to understand the terms and conditions and considering the nature of the promises within the contract, and whether the promises were distinct from other promised goods and services.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73,222</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182,348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214,280</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157,140</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28,070</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51,476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39,185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6,597</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373,645</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409,802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15,876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400,115</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463,464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21,519</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16,227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13,789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warranty liability</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Deferred revenue, current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8,662</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26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21"/>
                <w:szCs w:val="21"/>
                <w:color w:val="auto"/>
              </w:rPr>
            </w:pPr>
          </w:p>
        </w:tc>
      </w:tr>
      <w:tr>
        <w:trPr>
          <w:trHeight w:val="230"/>
        </w:trPr>
        <w:tc>
          <w:tcPr>
            <w:tcW w:w="77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51,949</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51,695</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96,336</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29,762</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154,125</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8"/>
                <w:szCs w:val="18"/>
                <w:color w:val="auto"/>
                <w:w w:val="90"/>
              </w:rPr>
              <w:t>Preferred stock, $0.001 par value; 5,000 shares authorized, and no shares issued and outstanding as of</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December 31, 2022 and December 31, 2021</w:t>
            </w:r>
          </w:p>
        </w:tc>
        <w:tc>
          <w:tcPr>
            <w:tcW w:w="3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Common stock, $0.001 par value; 300,000 shares authorized as of December 31, 2022 and December</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31, 2021; 48,465 and 47,241 shares issued and outstanding as of December 31, 2022 and December</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31, 2021, respectively</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1,035,456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1,000,212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(564 )</w:t>
            </w:r>
          </w:p>
        </w:tc>
        <w:tc>
          <w:tcPr>
            <w:tcW w:w="5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(184 )</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(788,950 )</w:t>
            </w:r>
          </w:p>
        </w:tc>
        <w:tc>
          <w:tcPr>
            <w:tcW w:w="5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(625,994 )</w:t>
            </w:r>
          </w:p>
        </w:tc>
      </w:tr>
      <w:tr>
        <w:trPr>
          <w:trHeight w:val="237"/>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245,990</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400,115</w:t>
            </w:r>
          </w:p>
        </w:tc>
        <w:tc>
          <w:tcPr>
            <w:tcW w:w="26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463,464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-4996815</wp:posOffset>
            </wp:positionV>
            <wp:extent cx="6858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-4053840</wp:posOffset>
            </wp:positionV>
            <wp:extent cx="123444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444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93,388</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84,312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 and other revenue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115,375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82,510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84,639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Cost of service and other revenue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89,482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40,515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(161,019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(130,519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(117,467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Interest income and other income,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(3,566 )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(1,715 )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(2,891 )</w:t>
            </w: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Loss on extinguishment of term loan</w:t>
            </w:r>
          </w:p>
        </w:tc>
        <w:tc>
          <w:tcPr>
            <w:tcW w:w="30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(1,367 )</w:t>
            </w:r>
          </w:p>
        </w:tc>
        <w:tc>
          <w:tcPr>
            <w:tcW w:w="30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(1,567 )</w:t>
            </w:r>
          </w:p>
        </w:tc>
        <w:tc>
          <w:tcPr>
            <w:tcW w:w="0" w:type="dxa"/>
            <w:vAlign w:val="bottom"/>
          </w:tcPr>
          <w:p>
            <w:pPr>
              <w:spacing w:after="0"/>
              <w:rPr>
                <w:sz w:val="1"/>
                <w:szCs w:val="1"/>
                <w:color w:val="auto"/>
              </w:rPr>
            </w:pPr>
          </w:p>
        </w:tc>
      </w:tr>
      <w:tr>
        <w:trPr>
          <w:trHeight w:val="221"/>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redeemable convertible preferred stock</w:t>
            </w:r>
          </w:p>
        </w:tc>
        <w:tc>
          <w:tcPr>
            <w:tcW w:w="300" w:type="dxa"/>
            <w:vAlign w:val="bottom"/>
            <w:shd w:val="clear" w:color="auto" w:fill="CFF0FC"/>
          </w:tcPr>
          <w:p>
            <w:pPr>
              <w:spacing w:after="0"/>
              <w:rPr>
                <w:sz w:val="19"/>
                <w:szCs w:val="19"/>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warrant liability</w:t>
            </w:r>
          </w:p>
        </w:tc>
        <w:tc>
          <w:tcPr>
            <w:tcW w:w="30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4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(162,661 )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(131,736 )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(121,492 )</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(162,956 )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(131,935 )</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(121,492 )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 basic and diluted</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(162,956 )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(131,935 )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(79,324 )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(3.38 )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(2.89 )</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used in computing net loss per share, basic and diluted</w:t>
            </w: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48,161</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45,589</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-3839845</wp:posOffset>
            </wp:positionV>
            <wp:extent cx="7747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-3839845</wp:posOffset>
            </wp:positionV>
            <wp:extent cx="6858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-3213735</wp:posOffset>
            </wp:positionV>
            <wp:extent cx="7747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-3213735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-2270760</wp:posOffset>
            </wp:positionV>
            <wp:extent cx="7747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-2270760</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-1199515</wp:posOffset>
            </wp:positionV>
            <wp:extent cx="7747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-1199515</wp:posOffset>
            </wp:positionV>
            <wp:extent cx="6858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-882015</wp:posOffset>
            </wp:positionV>
            <wp:extent cx="77470" cy="3429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-882015</wp:posOffset>
            </wp:positionV>
            <wp:extent cx="68580" cy="3429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3429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-385445</wp:posOffset>
            </wp:positionV>
            <wp:extent cx="2065655"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65655" cy="20574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(162,956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(121,492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(380 )</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(185 )</w:t>
            </w:r>
          </w:p>
        </w:tc>
        <w:tc>
          <w:tcPr>
            <w:tcW w:w="3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6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8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(163,336 )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(132,120 )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(121,513 )</w:t>
            </w:r>
          </w:p>
        </w:tc>
      </w:tr>
      <w:tr>
        <w:trPr>
          <w:trHeight w:val="20"/>
        </w:trPr>
        <w:tc>
          <w:tcPr>
            <w:tcW w:w="6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-187960</wp:posOffset>
            </wp:positionV>
            <wp:extent cx="685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177"/>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860" w:type="dxa"/>
            <w:vAlign w:val="bottom"/>
            <w:tcBorders>
              <w:right w:val="single" w:sz="8" w:color="auto"/>
            </w:tcBorders>
            <w:gridSpan w:val="5"/>
            <w:vMerge w:val="restart"/>
          </w:tcPr>
          <w:p>
            <w:pPr>
              <w:jc w:val="right"/>
              <w:ind w:right="400"/>
              <w:spacing w:after="0"/>
              <w:rPr>
                <w:sz w:val="20"/>
                <w:szCs w:val="20"/>
                <w:color w:val="auto"/>
              </w:rPr>
            </w:pPr>
            <w:r>
              <w:rPr>
                <w:rFonts w:ascii="Arial" w:cs="Arial" w:eastAsia="Arial" w:hAnsi="Arial"/>
                <w:sz w:val="13"/>
                <w:szCs w:val="13"/>
                <w:b w:val="1"/>
                <w:bCs w:val="1"/>
                <w:color w:val="auto"/>
                <w:w w:val="94"/>
              </w:rPr>
              <w:t>Redeemable Convertible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97"/>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540" w:type="dxa"/>
            <w:vAlign w:val="bottom"/>
          </w:tcPr>
          <w:p>
            <w:pPr>
              <w:spacing w:after="0"/>
              <w:rPr>
                <w:sz w:val="10"/>
                <w:szCs w:val="10"/>
                <w:color w:val="auto"/>
              </w:rPr>
            </w:pPr>
          </w:p>
        </w:tc>
        <w:tc>
          <w:tcPr>
            <w:tcW w:w="1860" w:type="dxa"/>
            <w:vAlign w:val="bottom"/>
            <w:tcBorders>
              <w:right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w w:val="88"/>
              </w:rPr>
              <w:t>Additional</w:t>
            </w:r>
          </w:p>
        </w:tc>
        <w:tc>
          <w:tcPr>
            <w:tcW w:w="1000" w:type="dxa"/>
            <w:vAlign w:val="bottom"/>
            <w:gridSpan w:val="3"/>
          </w:tcPr>
          <w:p>
            <w:pPr>
              <w:jc w:val="center"/>
              <w:ind w:right="177"/>
              <w:spacing w:after="0" w:line="126" w:lineRule="exact"/>
              <w:rPr>
                <w:sz w:val="20"/>
                <w:szCs w:val="20"/>
                <w:color w:val="auto"/>
              </w:rPr>
            </w:pPr>
            <w:r>
              <w:rPr>
                <w:rFonts w:ascii="Arial" w:cs="Arial" w:eastAsia="Arial" w:hAnsi="Arial"/>
                <w:sz w:val="13"/>
                <w:szCs w:val="13"/>
                <w:b w:val="1"/>
                <w:bCs w:val="1"/>
                <w:color w:val="auto"/>
                <w:w w:val="86"/>
              </w:rPr>
              <w:t>Comprehensi</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98"/>
              <w:spacing w:after="0" w:line="126"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860" w:type="dxa"/>
            <w:vAlign w:val="bottom"/>
            <w:tcBorders>
              <w:right w:val="single" w:sz="8" w:color="auto"/>
            </w:tcBorders>
            <w:gridSpan w:val="5"/>
          </w:tcPr>
          <w:p>
            <w:pPr>
              <w:jc w:val="right"/>
              <w:ind w:right="62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4"/>
                <w:szCs w:val="14"/>
                <w:color w:val="auto"/>
              </w:rPr>
            </w:pPr>
          </w:p>
        </w:tc>
        <w:tc>
          <w:tcPr>
            <w:tcW w:w="1540" w:type="dxa"/>
            <w:vAlign w:val="bottom"/>
            <w:gridSpan w:val="3"/>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4"/>
                <w:szCs w:val="14"/>
                <w:color w:val="auto"/>
              </w:rPr>
            </w:pPr>
          </w:p>
        </w:tc>
        <w:tc>
          <w:tcPr>
            <w:tcW w:w="880" w:type="dxa"/>
            <w:vAlign w:val="bottom"/>
            <w:gridSpan w:val="2"/>
          </w:tcPr>
          <w:p>
            <w:pPr>
              <w:jc w:val="center"/>
              <w:ind w:right="297"/>
              <w:spacing w:after="0"/>
              <w:rPr>
                <w:sz w:val="20"/>
                <w:szCs w:val="20"/>
                <w:color w:val="auto"/>
              </w:rPr>
            </w:pPr>
            <w:r>
              <w:rPr>
                <w:rFonts w:ascii="Arial" w:cs="Arial" w:eastAsia="Arial" w:hAnsi="Arial"/>
                <w:sz w:val="13"/>
                <w:szCs w:val="13"/>
                <w:b w:val="1"/>
                <w:bCs w:val="1"/>
                <w:color w:val="auto"/>
                <w:w w:val="82"/>
              </w:rPr>
              <w:t>ve</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900" w:type="dxa"/>
            <w:vAlign w:val="bottom"/>
            <w:gridSpan w:val="3"/>
          </w:tcPr>
          <w:p>
            <w:pPr>
              <w:jc w:val="center"/>
              <w:ind w:right="38"/>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24"/>
        </w:trPr>
        <w:tc>
          <w:tcPr>
            <w:tcW w:w="35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337"/>
              <w:spacing w:after="0" w:line="12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38"/>
              <w:spacing w:after="0" w:line="12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880" w:type="dxa"/>
            <w:vAlign w:val="bottom"/>
            <w:gridSpan w:val="2"/>
          </w:tcPr>
          <w:p>
            <w:pPr>
              <w:jc w:val="center"/>
              <w:ind w:right="297"/>
              <w:spacing w:after="0"/>
              <w:rPr>
                <w:sz w:val="20"/>
                <w:szCs w:val="20"/>
                <w:color w:val="auto"/>
              </w:rPr>
            </w:pPr>
            <w:r>
              <w:rPr>
                <w:rFonts w:ascii="Arial" w:cs="Arial" w:eastAsia="Arial" w:hAnsi="Arial"/>
                <w:sz w:val="13"/>
                <w:szCs w:val="13"/>
                <w:b w:val="1"/>
                <w:bCs w:val="1"/>
                <w:color w:val="auto"/>
                <w:w w:val="81"/>
              </w:rPr>
              <w:t>(Loss)</w:t>
            </w:r>
          </w:p>
        </w:tc>
        <w:tc>
          <w:tcPr>
            <w:tcW w:w="120" w:type="dxa"/>
            <w:vAlign w:val="bottom"/>
          </w:tcPr>
          <w:p>
            <w:pPr>
              <w:spacing w:after="0"/>
              <w:rPr>
                <w:sz w:val="14"/>
                <w:szCs w:val="14"/>
                <w:color w:val="auto"/>
              </w:rPr>
            </w:pPr>
          </w:p>
        </w:tc>
        <w:tc>
          <w:tcPr>
            <w:tcW w:w="820" w:type="dxa"/>
            <w:vAlign w:val="bottom"/>
            <w:gridSpan w:val="2"/>
          </w:tcPr>
          <w:p>
            <w:pPr>
              <w:jc w:val="right"/>
              <w:ind w:right="358"/>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7"/>
        </w:trPr>
        <w:tc>
          <w:tcPr>
            <w:tcW w:w="35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147,214</w:t>
            </w:r>
          </w:p>
        </w:tc>
        <w:tc>
          <w:tcPr>
            <w:tcW w:w="26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409,446</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922</w:t>
            </w:r>
          </w:p>
        </w:tc>
        <w:tc>
          <w:tcPr>
            <w:tcW w:w="240" w:type="dxa"/>
            <w:vAlign w:val="bottom"/>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(372,567</w:t>
            </w:r>
          </w:p>
        </w:tc>
        <w:tc>
          <w:tcPr>
            <w:tcW w:w="200" w:type="dxa"/>
            <w:vAlign w:val="bottom"/>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(372,187</w:t>
            </w:r>
          </w:p>
        </w:tc>
        <w:tc>
          <w:tcPr>
            <w:tcW w:w="10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34"/>
        </w:trPr>
        <w:tc>
          <w:tcPr>
            <w:tcW w:w="3540" w:type="dxa"/>
            <w:vAlign w:val="bottom"/>
          </w:tcPr>
          <w:p>
            <w:pPr>
              <w:ind w:left="200"/>
              <w:spacing w:after="0" w:line="134" w:lineRule="exact"/>
              <w:rPr>
                <w:sz w:val="20"/>
                <w:szCs w:val="20"/>
                <w:color w:val="auto"/>
              </w:rPr>
            </w:pPr>
            <w:r>
              <w:rPr>
                <w:rFonts w:ascii="Arial" w:cs="Arial" w:eastAsia="Arial" w:hAnsi="Arial"/>
                <w:sz w:val="13"/>
                <w:szCs w:val="13"/>
                <w:color w:val="auto"/>
                <w:w w:val="94"/>
              </w:rPr>
              <w:t>Issuance of Series E redeemable convertible preferred stock,</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60"/>
              <w:spacing w:after="0"/>
              <w:rPr>
                <w:sz w:val="20"/>
                <w:szCs w:val="20"/>
                <w:color w:val="auto"/>
              </w:rPr>
            </w:pPr>
            <w:r>
              <w:rPr>
                <w:rFonts w:ascii="Arial" w:cs="Arial" w:eastAsia="Arial" w:hAnsi="Arial"/>
                <w:sz w:val="13"/>
                <w:szCs w:val="13"/>
                <w:color w:val="auto"/>
              </w:rPr>
              <w:t>net of issuance costs</w:t>
            </w:r>
          </w:p>
        </w:tc>
        <w:tc>
          <w:tcPr>
            <w:tcW w:w="740" w:type="dxa"/>
            <w:vAlign w:val="bottom"/>
          </w:tcPr>
          <w:p>
            <w:pPr>
              <w:jc w:val="right"/>
              <w:spacing w:after="0"/>
              <w:rPr>
                <w:sz w:val="20"/>
                <w:szCs w:val="20"/>
                <w:color w:val="auto"/>
              </w:rPr>
            </w:pPr>
            <w:r>
              <w:rPr>
                <w:rFonts w:ascii="Arial" w:cs="Arial" w:eastAsia="Arial" w:hAnsi="Arial"/>
                <w:sz w:val="13"/>
                <w:szCs w:val="13"/>
                <w:color w:val="auto"/>
              </w:rPr>
              <w:t>57,782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126,758</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4"/>
              </w:rPr>
              <w:t>Issuance of common stock on settlement of accrued dividend</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(41,763 )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4,850</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41,758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Deemed dividend on settlement of accrued dividend</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(42,530 )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42,530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42,530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7"/>
              </w:rPr>
              <w:t>Adjustment to redemption value on redeemable convertible</w:t>
            </w: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preferred stock</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(362 )</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(362 )</w:t>
            </w:r>
          </w:p>
        </w:tc>
        <w:tc>
          <w:tcPr>
            <w:tcW w:w="0" w:type="dxa"/>
            <w:vAlign w:val="bottom"/>
          </w:tcPr>
          <w:p>
            <w:pPr>
              <w:spacing w:after="0"/>
              <w:rPr>
                <w:sz w:val="1"/>
                <w:szCs w:val="1"/>
                <w:color w:val="auto"/>
              </w:rPr>
            </w:pPr>
          </w:p>
        </w:tc>
      </w:tr>
      <w:tr>
        <w:trPr>
          <w:trHeight w:val="134"/>
        </w:trPr>
        <w:tc>
          <w:tcPr>
            <w:tcW w:w="3540" w:type="dxa"/>
            <w:vAlign w:val="bottom"/>
          </w:tcPr>
          <w:p>
            <w:pPr>
              <w:ind w:left="200"/>
              <w:spacing w:after="0" w:line="134" w:lineRule="exact"/>
              <w:rPr>
                <w:sz w:val="20"/>
                <w:szCs w:val="20"/>
                <w:color w:val="auto"/>
              </w:rPr>
            </w:pPr>
            <w:r>
              <w:rPr>
                <w:rFonts w:ascii="Arial" w:cs="Arial" w:eastAsia="Arial" w:hAnsi="Arial"/>
                <w:sz w:val="13"/>
                <w:szCs w:val="13"/>
                <w:color w:val="auto"/>
                <w:w w:val="99"/>
              </w:rPr>
              <w:t>Issuance of common stock upon net exercises of Series B</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60"/>
              <w:spacing w:after="0"/>
              <w:rPr>
                <w:sz w:val="20"/>
                <w:szCs w:val="20"/>
                <w:color w:val="auto"/>
              </w:rPr>
            </w:pPr>
            <w:r>
              <w:rPr>
                <w:rFonts w:ascii="Arial" w:cs="Arial" w:eastAsia="Arial" w:hAnsi="Arial"/>
                <w:sz w:val="13"/>
                <w:szCs w:val="13"/>
                <w:color w:val="auto"/>
              </w:rPr>
              <w:t>redeemable convertible preferred stock warrants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354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w w:val="94"/>
              </w:rPr>
              <w:t>Cash exercises of Series C redeemable convertible preferred</w:t>
            </w: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warrants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4,288</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540" w:type="dxa"/>
            <w:vAlign w:val="bottom"/>
          </w:tcPr>
          <w:p>
            <w:pPr>
              <w:ind w:left="200"/>
              <w:spacing w:after="0" w:line="134" w:lineRule="exact"/>
              <w:rPr>
                <w:sz w:val="20"/>
                <w:szCs w:val="20"/>
                <w:color w:val="auto"/>
              </w:rPr>
            </w:pPr>
            <w:r>
              <w:rPr>
                <w:rFonts w:ascii="Arial" w:cs="Arial" w:eastAsia="Arial" w:hAnsi="Arial"/>
                <w:sz w:val="13"/>
                <w:szCs w:val="13"/>
                <w:color w:val="auto"/>
              </w:rPr>
              <w:t>Conversion of Series A redeemable convertible preferred</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60"/>
              <w:spacing w:after="0"/>
              <w:rPr>
                <w:sz w:val="20"/>
                <w:szCs w:val="20"/>
                <w:color w:val="auto"/>
              </w:rPr>
            </w:pPr>
            <w:r>
              <w:rPr>
                <w:rFonts w:ascii="Arial" w:cs="Arial" w:eastAsia="Arial" w:hAnsi="Arial"/>
                <w:sz w:val="13"/>
                <w:szCs w:val="13"/>
                <w:color w:val="auto"/>
              </w:rPr>
              <w:t>stock warrants to common stock warrants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rPr>
              <w:t>Conversion of redeemable convertible preferred stock to</w:t>
            </w: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common</w:t>
            </w: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upon initial public offering</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(206,651 )</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4"/>
              </w:rPr>
              <w:t>(456,561 )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26,167</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26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456,535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456,561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40" w:type="dxa"/>
            <w:vAlign w:val="bottom"/>
          </w:tcPr>
          <w:p>
            <w:pPr>
              <w:ind w:left="200"/>
              <w:spacing w:after="0" w:line="134" w:lineRule="exact"/>
              <w:rPr>
                <w:sz w:val="20"/>
                <w:szCs w:val="20"/>
                <w:color w:val="auto"/>
              </w:rPr>
            </w:pPr>
            <w:r>
              <w:rPr>
                <w:rFonts w:ascii="Arial" w:cs="Arial" w:eastAsia="Arial" w:hAnsi="Arial"/>
                <w:sz w:val="13"/>
                <w:szCs w:val="13"/>
                <w:color w:val="auto"/>
              </w:rPr>
              <w:t>Issuance of common stock upon initial public offering,</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60"/>
              <w:spacing w:after="0"/>
              <w:rPr>
                <w:sz w:val="20"/>
                <w:szCs w:val="20"/>
                <w:color w:val="auto"/>
              </w:rPr>
            </w:pPr>
            <w:r>
              <w:rPr>
                <w:rFonts w:ascii="Arial" w:cs="Arial" w:eastAsia="Arial" w:hAnsi="Arial"/>
                <w:sz w:val="13"/>
                <w:szCs w:val="13"/>
                <w:color w:val="auto"/>
              </w:rPr>
              <w:t>net of issuance costs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10,294</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82"/>
              </w:rPr>
              <w:t>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254,795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254,805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rPr>
              <w:t>Reclassification of redeemable convertible preferred</w:t>
            </w: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warrant liability to equity</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Issuance of common stock for settlement of RSUs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option exercises</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21,439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21,439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loss on available-for-sale securities</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(21 )</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18"/>
              <w:spacing w:after="0"/>
              <w:rPr>
                <w:sz w:val="20"/>
                <w:szCs w:val="20"/>
                <w:color w:val="auto"/>
              </w:rPr>
            </w:pPr>
            <w:r>
              <w:rPr>
                <w:rFonts w:ascii="Arial" w:cs="Arial" w:eastAsia="Arial" w:hAnsi="Arial"/>
                <w:sz w:val="13"/>
                <w:szCs w:val="13"/>
                <w:color w:val="auto"/>
              </w:rPr>
              <w:t>(121,492 )</w:t>
            </w:r>
          </w:p>
        </w:tc>
        <w:tc>
          <w:tcPr>
            <w:tcW w:w="140" w:type="dxa"/>
            <w:vAlign w:val="bottom"/>
          </w:tcPr>
          <w:p>
            <w:pPr>
              <w:spacing w:after="0"/>
              <w:rPr>
                <w:sz w:val="14"/>
                <w:szCs w:val="14"/>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(121,492 )</w:t>
            </w:r>
          </w:p>
        </w:tc>
        <w:tc>
          <w:tcPr>
            <w:tcW w:w="0" w:type="dxa"/>
            <w:vAlign w:val="bottom"/>
          </w:tcPr>
          <w:p>
            <w:pPr>
              <w:spacing w:after="0"/>
              <w:rPr>
                <w:sz w:val="1"/>
                <w:szCs w:val="1"/>
                <w:color w:val="auto"/>
              </w:rPr>
            </w:pPr>
          </w:p>
        </w:tc>
      </w:tr>
      <w:tr>
        <w:trPr>
          <w:trHeight w:val="156"/>
        </w:trPr>
        <w:tc>
          <w:tcPr>
            <w:tcW w:w="35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42,722</w:t>
            </w:r>
          </w:p>
        </w:tc>
        <w:tc>
          <w:tcPr>
            <w:tcW w:w="240" w:type="dxa"/>
            <w:vAlign w:val="bottom"/>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ind w:right="457"/>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43</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822,624</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(494,059</w:t>
            </w:r>
          </w:p>
        </w:tc>
        <w:tc>
          <w:tcPr>
            <w:tcW w:w="200" w:type="dxa"/>
            <w:vAlign w:val="bottom"/>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328,609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40" w:type="dxa"/>
            <w:vAlign w:val="bottom"/>
          </w:tcPr>
          <w:p>
            <w:pPr>
              <w:ind w:left="200"/>
              <w:spacing w:after="0" w:line="134" w:lineRule="exact"/>
              <w:rPr>
                <w:sz w:val="20"/>
                <w:szCs w:val="20"/>
                <w:color w:val="auto"/>
              </w:rPr>
            </w:pPr>
            <w:r>
              <w:rPr>
                <w:rFonts w:ascii="Arial" w:cs="Arial" w:eastAsia="Arial" w:hAnsi="Arial"/>
                <w:sz w:val="13"/>
                <w:szCs w:val="13"/>
                <w:color w:val="auto"/>
              </w:rPr>
              <w:t>Issuance of common stock upon follow-on public offering,</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60"/>
              <w:spacing w:after="0"/>
              <w:rPr>
                <w:sz w:val="20"/>
                <w:szCs w:val="20"/>
                <w:color w:val="auto"/>
              </w:rPr>
            </w:pPr>
            <w:r>
              <w:rPr>
                <w:rFonts w:ascii="Arial" w:cs="Arial" w:eastAsia="Arial" w:hAnsi="Arial"/>
                <w:sz w:val="13"/>
                <w:szCs w:val="13"/>
                <w:color w:val="auto"/>
              </w:rPr>
              <w:t>net of issuance costs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2,946</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149,082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w w:val="94"/>
              </w:rPr>
              <w:t>Issuance of common stock through employee stock purchase</w:t>
            </w: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plan</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Issuance of common stock for settlement of RSUs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option exercises</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1,438</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17,445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loss on available-for-sale securities</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(185 )</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(185 )</w:t>
            </w: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18"/>
              <w:spacing w:after="0"/>
              <w:rPr>
                <w:sz w:val="20"/>
                <w:szCs w:val="20"/>
                <w:color w:val="auto"/>
              </w:rPr>
            </w:pPr>
            <w:r>
              <w:rPr>
                <w:rFonts w:ascii="Arial" w:cs="Arial" w:eastAsia="Arial" w:hAnsi="Arial"/>
                <w:sz w:val="13"/>
                <w:szCs w:val="13"/>
                <w:color w:val="auto"/>
              </w:rPr>
              <w:t>(131,935 )</w:t>
            </w:r>
          </w:p>
        </w:tc>
        <w:tc>
          <w:tcPr>
            <w:tcW w:w="140" w:type="dxa"/>
            <w:vAlign w:val="bottom"/>
          </w:tcPr>
          <w:p>
            <w:pPr>
              <w:spacing w:after="0"/>
              <w:rPr>
                <w:sz w:val="14"/>
                <w:szCs w:val="14"/>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(131,935 )</w:t>
            </w:r>
          </w:p>
        </w:tc>
        <w:tc>
          <w:tcPr>
            <w:tcW w:w="0" w:type="dxa"/>
            <w:vAlign w:val="bottom"/>
          </w:tcPr>
          <w:p>
            <w:pPr>
              <w:spacing w:after="0"/>
              <w:rPr>
                <w:sz w:val="1"/>
                <w:szCs w:val="1"/>
                <w:color w:val="auto"/>
              </w:rPr>
            </w:pPr>
          </w:p>
        </w:tc>
      </w:tr>
      <w:tr>
        <w:trPr>
          <w:trHeight w:val="156"/>
        </w:trPr>
        <w:tc>
          <w:tcPr>
            <w:tcW w:w="35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December 31, 2021</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47,241</w:t>
            </w:r>
          </w:p>
        </w:tc>
        <w:tc>
          <w:tcPr>
            <w:tcW w:w="240" w:type="dxa"/>
            <w:vAlign w:val="bottom"/>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ind w:right="457"/>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47</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1,000,212</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(184</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(625,994</w:t>
            </w:r>
          </w:p>
        </w:tc>
        <w:tc>
          <w:tcPr>
            <w:tcW w:w="200" w:type="dxa"/>
            <w:vAlign w:val="bottom"/>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374,081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40" w:type="dxa"/>
            <w:vAlign w:val="bottom"/>
          </w:tcPr>
          <w:p>
            <w:pPr>
              <w:ind w:left="200"/>
              <w:spacing w:after="0" w:line="134" w:lineRule="exact"/>
              <w:rPr>
                <w:sz w:val="20"/>
                <w:szCs w:val="20"/>
                <w:color w:val="auto"/>
              </w:rPr>
            </w:pPr>
            <w:r>
              <w:rPr>
                <w:rFonts w:ascii="Arial" w:cs="Arial" w:eastAsia="Arial" w:hAnsi="Arial"/>
                <w:sz w:val="13"/>
                <w:szCs w:val="13"/>
                <w:color w:val="auto"/>
                <w:w w:val="94"/>
              </w:rPr>
              <w:t>Issuance of common stock through employee stock purchase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plan</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for settlement of RSUs</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Stock option exercises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790</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27,203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tcPr>
          <w:p>
            <w:pPr>
              <w:ind w:left="200"/>
              <w:spacing w:after="0"/>
              <w:rPr>
                <w:sz w:val="20"/>
                <w:szCs w:val="20"/>
                <w:color w:val="auto"/>
              </w:rPr>
            </w:pPr>
            <w:r>
              <w:rPr>
                <w:rFonts w:ascii="Arial" w:cs="Arial" w:eastAsia="Arial" w:hAnsi="Arial"/>
                <w:sz w:val="13"/>
                <w:szCs w:val="13"/>
                <w:color w:val="auto"/>
              </w:rPr>
              <w:t>Unrealized loss on available-for-sale securities</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(380 )</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(380 )</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(162,956 )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(162,956 )</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2022</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48,465</w:t>
            </w:r>
          </w:p>
        </w:tc>
        <w:tc>
          <w:tcPr>
            <w:tcW w:w="240" w:type="dxa"/>
            <w:vAlign w:val="bottom"/>
          </w:tcPr>
          <w:p>
            <w:pPr>
              <w:spacing w:after="0"/>
              <w:rPr>
                <w:sz w:val="13"/>
                <w:szCs w:val="13"/>
                <w:color w:val="auto"/>
              </w:rPr>
            </w:pP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2"/>
              </w:rPr>
              <w:t>48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1,035,456</w:t>
            </w:r>
          </w:p>
        </w:tc>
        <w:tc>
          <w:tcPr>
            <w:tcW w:w="22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(564 )</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18"/>
              <w:spacing w:after="0"/>
              <w:rPr>
                <w:sz w:val="20"/>
                <w:szCs w:val="20"/>
                <w:color w:val="auto"/>
              </w:rPr>
            </w:pPr>
            <w:r>
              <w:rPr>
                <w:rFonts w:ascii="Arial" w:cs="Arial" w:eastAsia="Arial" w:hAnsi="Arial"/>
                <w:sz w:val="13"/>
                <w:szCs w:val="13"/>
                <w:color w:val="auto"/>
              </w:rPr>
              <w:t>(788,950 )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245,990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-136525</wp:posOffset>
            </wp:positionV>
            <wp:extent cx="7683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-136525</wp:posOffset>
            </wp:positionV>
            <wp:extent cx="7683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-136525</wp:posOffset>
            </wp:positionV>
            <wp:extent cx="7747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-136525</wp:posOffset>
            </wp:positionV>
            <wp:extent cx="6858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-136525</wp:posOffset>
            </wp:positionV>
            <wp:extent cx="6858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-136525</wp:posOffset>
            </wp:positionV>
            <wp:extent cx="6858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-136525</wp:posOffset>
            </wp:positionV>
            <wp:extent cx="6858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ind w:left="4840"/>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(162,956 )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(131,935 )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(121,492 )</w:t>
            </w: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21,439</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3,159</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interest expense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Accretion of discount on investments,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for inventories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 non-cash items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extinguishment of term loan</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(2,506 )</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(19,137 )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(2,566 )</w:t>
            </w:r>
          </w:p>
        </w:tc>
      </w:tr>
      <w:tr>
        <w:trPr>
          <w:trHeight w:val="220"/>
        </w:trPr>
        <w:tc>
          <w:tcPr>
            <w:tcW w:w="666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(14,730 )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(22,042 )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(16,287 )</w:t>
            </w:r>
          </w:p>
        </w:tc>
      </w:tr>
      <w:tr>
        <w:trPr>
          <w:trHeight w:val="23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(1,215 )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(6,245 )</w:t>
            </w:r>
          </w:p>
        </w:tc>
      </w:tr>
      <w:tr>
        <w:trPr>
          <w:trHeight w:val="220"/>
        </w:trPr>
        <w:tc>
          <w:tcPr>
            <w:tcW w:w="6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(1,281 )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(3,066 )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payroll and related benefits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(3,428 )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9,889</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4,798</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warranty liability</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(1,150 )</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(882 )</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(721 )</w:t>
            </w: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(217 )</w:t>
            </w:r>
          </w:p>
        </w:tc>
      </w:tr>
      <w:tr>
        <w:trPr>
          <w:trHeight w:val="23"/>
        </w:trPr>
        <w:tc>
          <w:tcPr>
            <w:tcW w:w="6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(145,729 )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(130,264 )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(99,015 )</w:t>
            </w:r>
          </w:p>
        </w:tc>
      </w:tr>
      <w:tr>
        <w:trPr>
          <w:trHeight w:val="220"/>
        </w:trPr>
        <w:tc>
          <w:tcPr>
            <w:tcW w:w="66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(8,325 )</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(3,108 )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(9,077 )</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Purchases of investment securities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(261,154 )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(178,432 )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(32,884 )</w:t>
            </w: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and maturities of investment securities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203,184</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39,033</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45,908</w:t>
            </w:r>
          </w:p>
        </w:tc>
        <w:tc>
          <w:tcPr>
            <w:tcW w:w="100" w:type="dxa"/>
            <w:vAlign w:val="bottom"/>
            <w:shd w:val="clear" w:color="auto" w:fill="CFF0FC"/>
          </w:tcPr>
          <w:p>
            <w:pPr>
              <w:spacing w:after="0"/>
              <w:rPr>
                <w:sz w:val="20"/>
                <w:szCs w:val="20"/>
                <w:color w:val="auto"/>
              </w:rPr>
            </w:pPr>
          </w:p>
        </w:tc>
      </w:tr>
      <w:tr>
        <w:trPr>
          <w:trHeight w:val="217"/>
        </w:trPr>
        <w:tc>
          <w:tcPr>
            <w:tcW w:w="666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(66,295 )</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(142,507 )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8"/>
                <w:szCs w:val="18"/>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Proceeds from stock option exercises and employee stock purchase plan purchases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8,042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term loan, net of issuance costs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96,059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29,630</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Repayment of term loan and extinguishment costs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(31,203 )</w:t>
            </w: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(30,985 )</w:t>
            </w:r>
          </w:p>
        </w:tc>
      </w:tr>
      <w:tr>
        <w:trPr>
          <w:trHeight w:val="216"/>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common stock upon initial and</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66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follow-on public offerings, net of issuance costs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149,085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254,805</w:t>
            </w:r>
          </w:p>
        </w:tc>
        <w:tc>
          <w:tcPr>
            <w:tcW w:w="100" w:type="dxa"/>
            <w:vAlign w:val="bottom"/>
            <w:shd w:val="clear" w:color="auto" w:fill="CFF0FC"/>
          </w:tcPr>
          <w:p>
            <w:pPr>
              <w:spacing w:after="0"/>
              <w:rPr>
                <w:sz w:val="19"/>
                <w:szCs w:val="19"/>
                <w:color w:val="auto"/>
              </w:rPr>
            </w:pPr>
          </w:p>
        </w:tc>
      </w:tr>
      <w:tr>
        <w:trPr>
          <w:trHeight w:val="206"/>
        </w:trPr>
        <w:tc>
          <w:tcPr>
            <w:tcW w:w="6660" w:type="dxa"/>
            <w:vAlign w:val="bottom"/>
          </w:tcPr>
          <w:p>
            <w:pPr>
              <w:ind w:left="200"/>
              <w:spacing w:after="0"/>
              <w:rPr>
                <w:sz w:val="20"/>
                <w:szCs w:val="20"/>
                <w:color w:val="auto"/>
              </w:rPr>
            </w:pPr>
            <w:r>
              <w:rPr>
                <w:rFonts w:ascii="Arial" w:cs="Arial" w:eastAsia="Arial" w:hAnsi="Arial"/>
                <w:sz w:val="16"/>
                <w:szCs w:val="16"/>
                <w:color w:val="auto"/>
              </w:rPr>
              <w:t>Proceeds from issuance of redeemable convertible preferred stock,</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tcPr>
          <w:p>
            <w:pPr>
              <w:ind w:left="320"/>
              <w:spacing w:after="0"/>
              <w:rPr>
                <w:sz w:val="20"/>
                <w:szCs w:val="20"/>
                <w:color w:val="auto"/>
              </w:rPr>
            </w:pPr>
            <w:r>
              <w:rPr>
                <w:rFonts w:ascii="Arial" w:cs="Arial" w:eastAsia="Arial" w:hAnsi="Arial"/>
                <w:sz w:val="16"/>
                <w:szCs w:val="16"/>
                <w:color w:val="auto"/>
              </w:rPr>
              <w:t>net of issuance costs</w:t>
            </w: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126,758</w:t>
            </w:r>
          </w:p>
        </w:tc>
        <w:tc>
          <w:tcPr>
            <w:tcW w:w="100" w:type="dxa"/>
            <w:vAlign w:val="bottom"/>
          </w:tcPr>
          <w:p>
            <w:pPr>
              <w:spacing w:after="0"/>
              <w:rPr>
                <w:sz w:val="18"/>
                <w:szCs w:val="18"/>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cash exercise of redeemable convertible preferred stock warrants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4,288</w:t>
            </w:r>
          </w:p>
        </w:tc>
        <w:tc>
          <w:tcPr>
            <w:tcW w:w="100" w:type="dxa"/>
            <w:vAlign w:val="bottom"/>
            <w:shd w:val="clear" w:color="auto" w:fill="CFF0FC"/>
          </w:tcPr>
          <w:p>
            <w:pPr>
              <w:spacing w:after="0"/>
              <w:rPr>
                <w:sz w:val="20"/>
                <w:szCs w:val="20"/>
                <w:color w:val="auto"/>
              </w:rPr>
            </w:pPr>
          </w:p>
        </w:tc>
      </w:tr>
      <w:tr>
        <w:trPr>
          <w:trHeight w:val="217"/>
        </w:trPr>
        <w:tc>
          <w:tcPr>
            <w:tcW w:w="666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72,898</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160,147</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385,682</w:t>
            </w:r>
          </w:p>
        </w:tc>
        <w:tc>
          <w:tcPr>
            <w:tcW w:w="100" w:type="dxa"/>
            <w:vAlign w:val="bottom"/>
          </w:tcPr>
          <w:p>
            <w:pPr>
              <w:spacing w:after="0"/>
              <w:rPr>
                <w:sz w:val="18"/>
                <w:szCs w:val="18"/>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(139,126 )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(112,624 )</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290,614</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as of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215,659</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328,283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37,669</w:t>
            </w:r>
          </w:p>
        </w:tc>
        <w:tc>
          <w:tcPr>
            <w:tcW w:w="100" w:type="dxa"/>
            <w:vAlign w:val="bottom"/>
          </w:tcPr>
          <w:p>
            <w:pPr>
              <w:spacing w:after="0"/>
              <w:rPr>
                <w:sz w:val="19"/>
                <w:szCs w:val="19"/>
                <w:color w:val="auto"/>
              </w:rPr>
            </w:pPr>
          </w:p>
        </w:tc>
      </w:tr>
      <w:tr>
        <w:trPr>
          <w:trHeight w:val="26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as of end of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76,533</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215,659</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328,283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6"/>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1,150</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882</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-3470910</wp:posOffset>
            </wp:positionV>
            <wp:extent cx="6858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-3470910</wp:posOffset>
            </wp:positionV>
            <wp:extent cx="6858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-2892425</wp:posOffset>
            </wp:positionV>
            <wp:extent cx="208280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82800" cy="18859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-1452245</wp:posOffset>
            </wp:positionV>
            <wp:extent cx="208280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8280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-831215</wp:posOffset>
            </wp:positionV>
            <wp:extent cx="205740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5740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-196215</wp:posOffset>
            </wp:positionV>
            <wp:extent cx="2057400" cy="196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0" cy="196850"/>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w w:val="99"/>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Capital expenditures included in accounts payable and accrued expenses</w:t>
            </w: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Deferred financing costs included in accrued expenses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Transfer of inventories to property and equipment</w:t>
            </w:r>
          </w:p>
        </w:tc>
        <w:tc>
          <w:tcPr>
            <w:tcW w:w="96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Transfer of property and equipment to inventories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96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Deemed dividend on settlement of accrued dividend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Adjustment to redemption value on redeemable convertible preferred stock</w:t>
            </w:r>
          </w:p>
        </w:tc>
        <w:tc>
          <w:tcPr>
            <w:tcW w:w="96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Conversion of redeemable convertible preferred stock into common stock</w:t>
            </w:r>
          </w:p>
        </w:tc>
        <w:tc>
          <w:tcPr>
            <w:tcW w:w="960" w:type="dxa"/>
            <w:vAlign w:val="bottom"/>
            <w:vMerge w:val="restart"/>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456,561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line="203" w:lineRule="exact"/>
              <w:rPr>
                <w:sz w:val="20"/>
                <w:szCs w:val="20"/>
                <w:color w:val="auto"/>
              </w:rPr>
            </w:pPr>
            <w:r>
              <w:rPr>
                <w:rFonts w:ascii="Arial" w:cs="Arial" w:eastAsia="Arial" w:hAnsi="Arial"/>
                <w:sz w:val="18"/>
                <w:szCs w:val="18"/>
                <w:color w:val="auto"/>
              </w:rPr>
              <w:t>upon initial public offering</w:t>
            </w:r>
          </w:p>
        </w:tc>
        <w:tc>
          <w:tcPr>
            <w:tcW w:w="9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Reclassification of redeemable convertible preferred stock warrant liability</w:t>
            </w: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 conversion of Series A redeemable preferred stock warrants</w:t>
            </w:r>
          </w:p>
        </w:tc>
        <w:tc>
          <w:tcPr>
            <w:tcW w:w="960" w:type="dxa"/>
            <w:vAlign w:val="bottom"/>
            <w:vMerge w:val="restart"/>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8"/>
                <w:szCs w:val="18"/>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8"/>
                <w:szCs w:val="18"/>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120"/>
              <w:spacing w:after="0" w:line="203" w:lineRule="exact"/>
              <w:rPr>
                <w:sz w:val="20"/>
                <w:szCs w:val="20"/>
                <w:color w:val="auto"/>
              </w:rPr>
            </w:pPr>
            <w:r>
              <w:rPr>
                <w:rFonts w:ascii="Arial" w:cs="Arial" w:eastAsia="Arial" w:hAnsi="Arial"/>
                <w:sz w:val="18"/>
                <w:szCs w:val="18"/>
                <w:color w:val="auto"/>
              </w:rPr>
              <w:t>into common stock warrants</w:t>
            </w: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line="195" w:lineRule="exact"/>
              <w:rPr>
                <w:sz w:val="20"/>
                <w:szCs w:val="20"/>
                <w:color w:val="auto"/>
              </w:rPr>
            </w:pPr>
            <w:r>
              <w:rPr>
                <w:rFonts w:ascii="Arial" w:cs="Arial" w:eastAsia="Arial" w:hAnsi="Arial"/>
                <w:sz w:val="18"/>
                <w:szCs w:val="18"/>
                <w:color w:val="auto"/>
              </w:rPr>
              <w:t>Reclassification of redeemable convertible preferred stock warrant liability</w:t>
            </w:r>
          </w:p>
        </w:tc>
        <w:tc>
          <w:tcPr>
            <w:tcW w:w="960" w:type="dxa"/>
            <w:vAlign w:val="bottom"/>
            <w:vMerge w:val="restart"/>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40" w:type="dxa"/>
            <w:vAlign w:val="bottom"/>
          </w:tcPr>
          <w:p>
            <w:pPr>
              <w:ind w:left="120"/>
              <w:spacing w:after="0" w:line="203" w:lineRule="exact"/>
              <w:rPr>
                <w:sz w:val="20"/>
                <w:szCs w:val="20"/>
                <w:color w:val="auto"/>
              </w:rPr>
            </w:pPr>
            <w:r>
              <w:rPr>
                <w:rFonts w:ascii="Arial" w:cs="Arial" w:eastAsia="Arial" w:hAnsi="Arial"/>
                <w:sz w:val="18"/>
                <w:szCs w:val="18"/>
                <w:color w:val="auto"/>
              </w:rPr>
              <w:t>to additional paid-in capital</w:t>
            </w:r>
          </w:p>
        </w:tc>
        <w:tc>
          <w:tcPr>
            <w:tcW w:w="9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common stock on settlement of accrued dividend</w:t>
            </w:r>
          </w:p>
        </w:tc>
        <w:tc>
          <w:tcPr>
            <w:tcW w:w="96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41,763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-2296795</wp:posOffset>
            </wp:positionV>
            <wp:extent cx="207454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74545" cy="2057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-1936750</wp:posOffset>
            </wp:positionV>
            <wp:extent cx="2074545"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74545" cy="2057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-1576705</wp:posOffset>
            </wp:positionV>
            <wp:extent cx="2074545"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74545" cy="2057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-1216660</wp:posOffset>
            </wp:positionV>
            <wp:extent cx="2074545" cy="3175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74545" cy="31750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-496570</wp:posOffset>
            </wp:positionV>
            <wp:extent cx="2074545" cy="316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74545" cy="31686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Outset Medical, Inc. (the Company) is a medical technology company pioneering a first-of-its-kind technology to reduce the cost and complexity of dialysis. The Tablo® Hemodialysis System, cleared by the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Since inception, the Company has incurred net losses and negative cash flows from operations. The Company incurred net losses of $163.0 million, $131.9 million and $121.5 million for the years ended December 31, 2022, 2021, and 2020, respectively. As of December 31, 2022, the Company had an accumulated deficit of $789.0 million.</w:t>
      </w:r>
    </w:p>
    <w:p>
      <w:pPr>
        <w:spacing w:after="0" w:line="76"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As of December 31, 2022, the Company had cash, cash equivalents, and short-term investments of $287.5 million, which are available to fund future operations, and restricted cash of $3.3 million, for a total cash, cash equivalents, restricted cash, and short-term investments balance of $290.8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cash generated from sales, and proceeds received and currently available from the recent debt financing described in Note 7, will be sufficient to meet its anticipated needs for at least the next 12 months from the issuance date of the accompanying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financial statements have been prepared in accordance with U.S. GAAP. All share amounts disclosed in the notes to the financial statements are rounded to the nearest thousand except for per share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judgments, estimates, and assumptions that affect the reported amounts of assets and liabilities and disclosure of contingent assets and liabilities as of the date of the financial statements and the reported amounts of revenue and expenses. These judgments, estimates and assumptions are used for, but not limited to, revenue recognition, allowance for doubtful accounts, inventory valuation and write-downs, warranty obligations, the fair value of equity awards, the valuation of investments, recoverability of the Company’s net deferred tax assets, and certain accrued expenses. The Company evaluates its estimates and assumptions on an ongoing basis using historical experience and other factors and adjusts those estimates and assumptions when facts and circumstances dictate. Actual results may differ from those estimates under different assumptions or conditions and the differences may be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restricted cash, short-term investments, and accounts receivable. Substantially all the Company’s cash and cash equivalents, restricted cash, and investments are held at one financial institution in the United States that management believes is of high credit quality. Such investments may, at times, exceed federally insured limits or may not be covered by deposit insurance at all. The Company has not experienced any credit losses on its cash and cash equivalents, restricted cash or short-term investments through December 31, 2022.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right="40" w:firstLine="749"/>
        <w:spacing w:after="0" w:line="288" w:lineRule="auto"/>
        <w:rPr>
          <w:sz w:val="20"/>
          <w:szCs w:val="20"/>
          <w:color w:val="auto"/>
        </w:rPr>
      </w:pPr>
      <w:r>
        <w:rPr>
          <w:rFonts w:ascii="Arial" w:cs="Arial" w:eastAsia="Arial" w:hAnsi="Arial"/>
          <w:sz w:val="16"/>
          <w:szCs w:val="16"/>
          <w:color w:val="auto"/>
        </w:rPr>
        <w:t>For the year ended December 31, 2022, the Company's largest customer accounted for 14% of revenues. For the year ended December 31, 2021, two customers accounted for 30% and 15% of revenues, respectively. For the year ended December 31, 2020, three customers accounted for 22%, 19% and 16% of revenues, respectively. Accounts receivable are unsecured; however, the Company does assess the collectability of accounts receivable based on a number of factors, including past transaction history with, and the creditworthiness of, the customer. Accordingly, the Company is exposed to credit risk associated with accounts receivable. One customer accounted for 13% of accounts receivable as of December 31, 2022. One customer accounted for 10% of accounts receivable as of December 31, 2021. To reduce risk, the Company closely monitors the amounts due from its customers and assesses the financial strength of its customers through a variety of methods that include, but are not limited to, engaging directly with customer operations and leadership personnel, visiting customer locations to observe operating activities, and assessing customer longevity and reputation in the marketplace. As a result, the Company believes that its accounts receivable credit risk exposure is limited. A material default in payment or a material reduction in purchases from these or any other large customers could have a material adverse impact on the Company’s financial condition, results of operations, and liquidity.</w:t>
      </w:r>
    </w:p>
    <w:p>
      <w:pPr>
        <w:spacing w:after="0" w:line="60"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The Company has a manufacturing facility in Tijuana, Mexico which it operates in collaboration with its outsourced business administration service provider, TACNA. The Company is subject to a number of risks associated with operating its Mexico-based manufacturing facility. The manufacturing operations at the facility may suffer disruptions from global or regional public health crises such as the recent COVID-19 pandemic, natural disasters, cyber security attacks, vandalism, terrorism or other political hostilities. Any such occurrences could negatively impact the Company’s ability to produce its products. The Company is also subject to a variety of foreign laws and regulations, including trade and labor restrictions and laws relating to importation, exportation and taxation of goods, and U.S. laws and regulations relating to foreign operations. In addition, because certain of its Mexico-based manufacturing operations incur costs that are denominated in MXN, the Company is exposed to additional risk of currency fluctuations between USD and MXN, which could increase its product and labor costs, thus reducing its gross profit. To date, foreign currency transaction gains and losses have not been material to the Company’s financial statements.</w:t>
      </w:r>
    </w:p>
    <w:p>
      <w:pPr>
        <w:spacing w:after="0" w:line="73"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During the year ended December 31, 2022, financial results of the Company were not significantly affected by the COVID-19 pandemic, which continues to have global impact. The Company has considered all information available as of the date of issuance of these financial statements and the Company is not aware of any specific events or circumstances that would require an update to its estimates or judgments, or a revision to the carrying value of its assets or liabilities. These estimates may change as new events occur and additional information becomes available. The extent to which the pandemic affects the Company’s future financial results and operations will depend on future developments which continue to evolve and are difficult to predict, including but not limited to any resurgences of the virus including emerging variant strains, actions taken to contain or mitigate its impact, as well as the direct and indirect economic effects of the pandemic and related containment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Company determines the fair value of an asset or liability based on the assumptions that market participants would use in pricing the asset or liability in an orderly transaction between market participants at the measurement date. The identification of market participant assumptions provides a basis for determining what inputs are to be used for pricing each asset or liability.</w:t>
      </w:r>
    </w:p>
    <w:p>
      <w:pPr>
        <w:spacing w:after="0" w:line="76"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Company classifies financial instruments using a three-tiered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9"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color w:val="auto"/>
        </w:rPr>
        <w:t>The Company’s cash and cash equivalents, restricted cash, accounts receivable, accounts payable and accrued liabilities approximate their fair value due to their short maturities. Management believes that its term loan bears interest at the prevailing market rates for instruments with similar characteristics; accordingly, the carrying value of this instrument approximates its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117" w:lineRule="exact"/>
        <w:rPr>
          <w:sz w:val="20"/>
          <w:szCs w:val="20"/>
          <w:color w:val="auto"/>
        </w:rPr>
      </w:pPr>
    </w:p>
    <w:p>
      <w:pPr>
        <w:ind w:right="340" w:firstLine="749"/>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from the date of purchase to be cash equivalents. Cash equivalents are stated at fair value and consist primarily of amounts invested in money market funds and U.S. government-sponsored enterprises debt securities.</w:t>
      </w:r>
    </w:p>
    <w:p>
      <w:pPr>
        <w:spacing w:after="0" w:line="76"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The Company primarily holds U.S. government-sponsored enterprises debt securities, corporate debt securities, commercial paper, and U.S. Treasury securities, and has the ability, if necessary, to liquidate any of its investments to meet its liquidity needs in the next 12 months, without significant penalty. Accordingly, those investments with contractual maturities greater than one year from the date of purchase are classified as short-term investments on the accompanying balance sheets. Short-term investments have been classified as available-for-sale at the time of purchase. The Company evaluates the appropriate classification of its investments as of each balance sheet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ind w:right="20" w:firstLine="749"/>
        <w:spacing w:after="0" w:line="286" w:lineRule="auto"/>
        <w:rPr>
          <w:sz w:val="20"/>
          <w:szCs w:val="20"/>
          <w:color w:val="auto"/>
        </w:rPr>
      </w:pPr>
      <w:r>
        <w:rPr>
          <w:rFonts w:ascii="Arial" w:cs="Arial" w:eastAsia="Arial" w:hAnsi="Arial"/>
          <w:sz w:val="17"/>
          <w:szCs w:val="17"/>
          <w:color w:val="auto"/>
        </w:rPr>
        <w:t>The Company’s investment securities are recorded at fair value based on the fair value hierarchy. Money market funds and U.S. Treasury securities are classified within Level 1 of the fair value hierarchy. Other securities are classified within Level 2 of the fair value hierarchy. Unrealized gains and losses, deemed temporary in nature, are reported as a separate component of accumulated other comprehensive income (loss).</w:t>
      </w:r>
    </w:p>
    <w:p>
      <w:pPr>
        <w:spacing w:after="0" w:line="57"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A decline in the fair value of any security below cost that is deemed other than temporary results in a charge to earnings and the corresponding establishment of a new cost basis for the security. Premiums (discounts) are amortized (accreted) over the life of the related security as an adjustment to yield using the straight-line interest method. Dividend and interest income are recognized when earned. Realized gains and losses are included in earnings and are derived using the specific identification method for determining the cost of securities sold.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Accounts receivable are recorded at invoice value, net of any allowance for doubtful accounts. Estimates of the allowance for doubtful accounts are determined based on existing contractual payment terms, historical payment patterns of customers and individual customer circumstances. The allowance for doubtful accounts was not significant as of December 31, 2022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Inventory is stated at the lower of cost or net realizable value, with approximate costs determined on a first-in, first-out basis. Inventory costs include direct materials, direct labor, and normal manufacturing overhead. The carrying value of inventories is reduced for any products that are considered excessive or obsolete based upon assumptions about future demand and market conditions.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Property and equipment, net is stated at cost, net of accumulated depreciation. Depreciation is generally computed using the straight-line method based on the estimated useful lives of the assets, which is generally two to five years. Certain Tablo consoles under operating leases are depreciated using the accelerated method. Leasehold improvements are amortized using the straight-line method over the shorter of the assets estimated useful lives or the remaining term of the lease. Maintenance and repairs are charged to expense as incurred. Significant improvements that substantially enhance the useful life of an asset are capitalized and depreciated. When assets are retired or disposed of, the cost together with related accumulated depreciation is removed from the balance sheet and any resulting gain or loss is reflected in the Company’s statements of operations in the period realized.</w:t>
      </w:r>
    </w:p>
    <w:p>
      <w:pPr>
        <w:spacing w:after="0" w:line="56" w:lineRule="exact"/>
        <w:rPr>
          <w:sz w:val="20"/>
          <w:szCs w:val="20"/>
          <w:color w:val="auto"/>
        </w:rPr>
      </w:pPr>
    </w:p>
    <w:p>
      <w:pPr>
        <w:ind w:right="140" w:firstLine="749"/>
        <w:spacing w:after="0" w:line="293"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as of December 31, 2022 and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Company determines if an arrangement is a lease at inception by assessing whether the arrangement contains an identified asset and whether it has the right to control the identified asset. Right-of-use (ROU) assets represent the Company’s right to use an underlying asset for the lease term. Operating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spacing w:after="0" w:line="84" w:lineRule="exact"/>
        <w:rPr>
          <w:sz w:val="20"/>
          <w:szCs w:val="20"/>
          <w:color w:val="auto"/>
        </w:rPr>
      </w:pPr>
    </w:p>
    <w:p>
      <w:pPr>
        <w:jc w:val="both"/>
        <w:ind w:right="200" w:firstLine="749"/>
        <w:spacing w:after="0" w:line="301" w:lineRule="auto"/>
        <w:rPr>
          <w:sz w:val="20"/>
          <w:szCs w:val="20"/>
          <w:color w:val="auto"/>
        </w:rPr>
      </w:pPr>
      <w:r>
        <w:rPr>
          <w:rFonts w:ascii="Arial" w:cs="Arial" w:eastAsia="Arial" w:hAnsi="Arial"/>
          <w:sz w:val="16"/>
          <w:szCs w:val="16"/>
          <w:color w:val="auto"/>
        </w:rPr>
        <w:t>As the implicit rate in the Company’s leases is generally unknown, the Company uses its incremental borrowing rate based on the information available at the commencement date in determining the present value of lease payments. The lease terms may include options to extend or terminate the lease when the Company is reasonably certain it will exercise such options. Lease costs for the Company’s operating leases are recognized on a straight-line basis over the reasonably assured lease term. Variable lease payments include lease operating expenses.</w:t>
      </w:r>
    </w:p>
    <w:p>
      <w:pPr>
        <w:spacing w:after="0" w:line="49"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The Company has elected to not separate lease and non-lease components for any leases within its existing classes of assets and, as a result, accounts for any lease and non-lease components as a single lease component. The Company has also elected to not apply the recognition requirement to any leases within its existing classes of assets with a term of 12 months or less and does not include an option to purchase the underlying asset that the Company is reasonably certain to exercise.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Accrued Warranty Liability</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Company generally provides a one-year warranty for defective parts and workmanship on its Tablo consoles, commencing upon the transfer of title and risk of loss to the customer. The Company accrues the estimated cost of product warranties when it invoices the customer, based on historical experience and expected results. Should actual product failure rates and material usage costs differ from these estimates, revisions to the estimated warranty liability would be required. The Company periodically assesses the adequacy of its recorded product warranty liabilities and adjusts the balance as required. Warranty expense is recorded as a component of cost of product revenue in the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records deferred revenue when revenue is recognized subsequent to invoicing. For multi-year service agreements, the Company generally invoices customers annually at the beginning of each annual coverage period. Deferred revenue that will be recognized during the 12 months following the balance sheet date is recorded as the current portion of deferred revenue and the remaining portion is recorded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The Company generates revenue primarily from contracts with customers for the sale of its products and services. Product revenue consists primarily of sales of the Tablo console and related consumables, including Tablo cartridges, used in treatment delivery. Service and other revenue consists primarily of revenue generated from console service contracts and other revenue from shipping and handling charged to customers.</w:t>
      </w:r>
    </w:p>
    <w:p>
      <w:pPr>
        <w:spacing w:after="0" w:line="41"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Each customer contract defines our distinct performance obligations and the associated transaction price for each obligation. Tablo consoles and consumables are generally sold without the right of return. Revenue is recognized when a performance obligation is satisfied. Revenue from product sales is recognized at a point in time when management has determined that control has transferred to the customer, which is generally when legal title has transferred to the customer. Revenue from service contracts is recognized over time as the service is performed, typically evenly over the contract term. Certain contracts include variable consideration such as rebates, revenue for such contracts is recognized only to the extent that it is probable that a significant reversal in the amount of cumulative revenue recognized will not occur when the uncertainty associated with the variable consideration is subsequently resolved. Revenue is recognized net of any taxes collected from customers, which are subsequently remitted to governmental authorities.</w:t>
      </w:r>
    </w:p>
    <w:p>
      <w:pPr>
        <w:spacing w:after="0" w:line="58"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The Company’s contracts with customers often include multiple performance obligations. Determining whether the products and services are considered distinct performance obligations that should be accounted for separately may require significant judgment by management. For such contracts, the Company allocates the contracted transaction price to each distinct performance obligation based upon the relative SSP. The Company determines the SSP based upon the facts and circumstances of each performance obligation (product or services), which often requires management's judgement. The Company uses an observable price to estimate SSP for items that are sold separately, including customer service agreements. In instances where SSP is not directly observable, such as when the Company does not sell the product or service separately, the Company determines the SSP using information that may include market conditions and other observable inputs. The Company may offer additional goods or services to customers at the inception of customer contracts at prices not at SSP. If such contracts result in a material right, the Company allocates part of the transaction price to that right and recognizes the associated revenue when those future goods and services are transferred to the customer. SSP is assigned based on the estimated value of the material right.</w:t>
      </w:r>
    </w:p>
    <w:p>
      <w:pPr>
        <w:spacing w:after="0" w:line="58" w:lineRule="exact"/>
        <w:rPr>
          <w:sz w:val="20"/>
          <w:szCs w:val="20"/>
          <w:color w:val="auto"/>
        </w:rPr>
      </w:pPr>
    </w:p>
    <w:p>
      <w:pPr>
        <w:ind w:right="140" w:firstLine="749"/>
        <w:spacing w:after="0" w:line="342" w:lineRule="auto"/>
        <w:rPr>
          <w:sz w:val="20"/>
          <w:szCs w:val="20"/>
          <w:color w:val="auto"/>
        </w:rPr>
      </w:pPr>
      <w:r>
        <w:rPr>
          <w:rFonts w:ascii="Arial" w:cs="Arial" w:eastAsia="Arial" w:hAnsi="Arial"/>
          <w:sz w:val="16"/>
          <w:szCs w:val="16"/>
          <w:color w:val="auto"/>
        </w:rPr>
        <w:t>Costs associated with product sales include commissions. The Company applies the practical expedient to expense the commissions as incurred as the expected amortization period is one year or less. Commissions are recorded as sales and marketing expenses in the statements of operations.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Operating Lease Arrangements</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Company enters into operating lease arrangements that contain both lease and non-lease elements. The lease element includes Tablo consoles, while non-lease elements include consumables, services and training. Revenue related to such arrangements is allocated to lease and non-lease elements based on their relative SSP. Revenue for the lease element, net of any taxes collected from customers, is recognized on a straight-line basis as product revenue over the lease term, generally one month to one year, in the statements of operations. The costs of the leased Tablo consoles are included in property and equipment, net in the balance sheets and amortized to cost of product revenue.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Shipping and handling charged to customers are recorded as revenue. Shipping and handling costs are expensed as incurred and are included in sales and marketing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Stock-based compensation expense relates to stock options with a service-based vesting condition, stock options with performance and market-based vesting conditions, stock purchase rights under the ESPP, RSUs and PSUs with performance or market-based vesting conditions. Stock-based compensation expense for the Company’s stock-based awards is based on their grant date fair value.</w:t>
      </w:r>
    </w:p>
    <w:p>
      <w:pPr>
        <w:spacing w:after="0" w:line="5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76" w:lineRule="exact"/>
        <w:rPr>
          <w:sz w:val="20"/>
          <w:szCs w:val="20"/>
          <w:color w:val="auto"/>
        </w:rPr>
      </w:pPr>
    </w:p>
    <w:p>
      <w:pPr>
        <w:ind w:right="120" w:firstLine="749"/>
        <w:spacing w:after="0" w:line="272" w:lineRule="auto"/>
        <w:rPr>
          <w:sz w:val="20"/>
          <w:szCs w:val="20"/>
          <w:color w:val="auto"/>
        </w:rPr>
      </w:pPr>
      <w:r>
        <w:rPr>
          <w:rFonts w:ascii="Arial" w:cs="Arial" w:eastAsia="Arial" w:hAnsi="Arial"/>
          <w:sz w:val="17"/>
          <w:szCs w:val="17"/>
          <w:color w:val="auto"/>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For all service-based stock options granted, the Company calculates the expected term using the simplified method for “plain vanilla” stock option awards. The Company had no publicly available stock price information prior to the IPO and limited available stock price information subsequent to the IPO; therefore, the Company has used the historical volatility of the stock price of similar publicly traded peer companies. The risk-free interest rate is based on the yield available on U.S. Treasury zero-coupon issues similar in duration to the expected term on the equity settled award.</w:t>
      </w:r>
    </w:p>
    <w:p>
      <w:pPr>
        <w:spacing w:after="0" w:line="69"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For stock options with performance- and market-based vesting conditions, stock-based compensation expense begins to be recognized over the remaining service period when it is considered probable that the performance vesting condition will be satisfied. Prior to the IPO in September 2020, the Company had not recognized any stock-based compensation expense as the satisfaction of the performance condition was not considered probable. Upon the closing of the IPO, the Company recorded a cumulative stock-based compensation expense using the accelerated attribution method as the performance condition was satisfied. Stock-based compensation expense related to these options is recognized using the accelerated attribution method as the performance-based vesting condition and not reversed if the achievement of the market condition does not occur. The fair value of these stock options is estimated using the Monte Carlo simulation model.</w:t>
      </w:r>
    </w:p>
    <w:p>
      <w:pPr>
        <w:spacing w:after="0" w:line="69" w:lineRule="exact"/>
        <w:rPr>
          <w:sz w:val="20"/>
          <w:szCs w:val="20"/>
          <w:color w:val="auto"/>
        </w:rPr>
      </w:pPr>
    </w:p>
    <w:p>
      <w:pPr>
        <w:ind w:right="140" w:firstLine="749"/>
        <w:spacing w:after="0" w:line="253" w:lineRule="auto"/>
        <w:rPr>
          <w:sz w:val="20"/>
          <w:szCs w:val="20"/>
          <w:color w:val="auto"/>
        </w:rPr>
      </w:pPr>
      <w:r>
        <w:rPr>
          <w:rFonts w:ascii="Arial" w:cs="Arial" w:eastAsia="Arial" w:hAnsi="Arial"/>
          <w:sz w:val="18"/>
          <w:szCs w:val="18"/>
          <w:color w:val="auto"/>
        </w:rPr>
        <w:t>The fair value of RSUs and PSUs with a service- or performance-based vesting condition is based on the market price of the Company’s common stock on the date of grant. The determination of the stock-based compensation expense related to PSUs to be recognized in the Company’s statements of operations requires the use of certain estimates and assumptions. At each reported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 cumulative catch-up in the period of adjustment. If any of the assumptions or estimates used change significantly, stock-based compensation expense may differ materially from what the Company has recorded in the current period. The fair value of PSUs with a market-based vesting condition is estimated using the Monte Carlo simulation model. Stock-based compensation expense related to these PSUs is recognized using the accelerated attribution method and not reversed if the achievement of the market conditions does not occur.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Company expenses all research and development costs as incurred. These expenses include the costs of proprietary research and development efforts, quality engineering, clinical studies and trials, and regulatory affairs. Costs primarily consist of compensation and personnel costs, regulatory fees, consulting services, laboratory supplies and materials expenses, and infrastructure costs including facilities, depreciation, and information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Advertising costs are expensed as incurred. The advertising costs for years ended December 31, 2022, 2021 and 2020 were not 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differences between financial reporting and tax reporting bases of assets and liabilities and remeasured using enacted tax rates and laws that are expected to be in effect when the differences are expected to reverse. Realization of deferred tax assets is dependent upon future earnings, the timing and amount of which are uncertain.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0" w:name="page91"/>
    <w:bookmarkEnd w:id="90"/>
    <w:p>
      <w:pPr>
        <w:ind w:firstLine="749"/>
        <w:spacing w:after="0" w:line="259" w:lineRule="auto"/>
        <w:rPr>
          <w:sz w:val="20"/>
          <w:szCs w:val="20"/>
          <w:color w:val="auto"/>
        </w:rPr>
      </w:pPr>
      <w:r>
        <w:rPr>
          <w:rFonts w:ascii="Arial" w:cs="Arial" w:eastAsia="Arial" w:hAnsi="Arial"/>
          <w:sz w:val="18"/>
          <w:szCs w:val="18"/>
          <w:color w:val="auto"/>
        </w:rPr>
        <w:t>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includes any penalties and interest expense related to income taxes as a component of other expense, net, as necessary.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260" w:firstLine="749"/>
        <w:spacing w:after="0" w:line="308"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for the period, without consideration for potential dilutive securities.</w:t>
      </w:r>
    </w:p>
    <w:p>
      <w:pPr>
        <w:spacing w:after="0" w:line="38"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Diluted net loss per share is computed by dividing the net loss by the weighted-average number of common shares and common share equivalents of potentially dilutive securities outstanding for the period. For purposes of the diluted net loss per share calculation, redeemable convertible preferred stock, awards under the Company’s equity compensation plan and warrants are considered to be potentially dilutive securities. For periods in which the Company reports net losses, basic net loss per share attributable to common stockholders is the same as diluted net loss per share attributable to common stockholders because the effects of potentially dilutive securities are antidilutive.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17"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The Company has a defined contribution retirement savings plan under Section 401(k) of the Internal Revenue Code. This plan allows eligible employees to defer a portion of their eligible compensation on a pre- or post-tax basis. The Company is authorized to make matching contributions but did not make such contributions for the years ended December 31, 2021 and 2020. Effective January 1, 2022, the Company began to match 100% of each employee’s contributions up to a maximum matching contribution equal to 2% of such employee’s eligible compensation, subject to the terms and limitations of the 401(k) plan and applicable law. The Company's matching contributions were $1.4 million for the year ended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117"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Company operates as a single operating segment. The Company’s chief operating decision maker, its Chief Executive Officer, reviews financial information on an aggregate basis for the purposes of allocating resources and evaluating financial performance. The Company operates a manufacturing facility in Mexico. The Company's long-lived tangible assets, net, as well as the Company's operating lease right-of-use assets recognized on the balance sheets, located in Mexico were $9.8 million as of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requires an entity to utilize a new impairment model known as the current expected credit loss (CECL) model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Arial" w:cs="Arial" w:eastAsia="Arial" w:hAnsi="Arial"/>
          <w:sz w:val="17"/>
          <w:szCs w:val="17"/>
          <w:i w:val="1"/>
          <w:iCs w:val="1"/>
          <w:color w:val="auto"/>
        </w:rPr>
        <w:t>Financial Instruments—Credit Losses (Topic 326), Derivatives and Hedging (Topic 815) and Leases (Topic 842): Effective Dates</w:t>
      </w:r>
      <w:r>
        <w:rPr>
          <w:rFonts w:ascii="Arial" w:cs="Arial" w:eastAsia="Arial" w:hAnsi="Arial"/>
          <w:sz w:val="17"/>
          <w:szCs w:val="17"/>
          <w:color w:val="auto"/>
        </w:rPr>
        <w:t>, which defers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of ASU 2016-13 to fiscal years beginning after December 15, 2022 for all entities except SEC reporting companies that are not smaller reporting companies. ASU 2016-13 became effective for the Company beginning January 1, 2023. The adoption of ASU 2016-13 is not expected to have a material impact on the Company's financial position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Revenue by source consisted of the following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1" w:name="page92"/>
    <w:bookmarkEnd w:id="91"/>
    <w:tbl>
      <w:tblPr>
        <w:tblLayout w:type="fixed"/>
        <w:tblInd w:w="58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Consoles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65,133</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32,871</w:t>
            </w:r>
          </w:p>
        </w:tc>
        <w:tc>
          <w:tcPr>
            <w:tcW w:w="100" w:type="dxa"/>
            <w:vAlign w:val="bottom"/>
            <w:shd w:val="clear" w:color="auto" w:fill="CFF0FC"/>
          </w:tcPr>
          <w:p>
            <w:pPr>
              <w:spacing w:after="0"/>
              <w:rPr>
                <w:sz w:val="20"/>
                <w:szCs w:val="20"/>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Consumables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100" w:type="dxa"/>
            <w:vAlign w:val="bottom"/>
          </w:tcPr>
          <w:p>
            <w:pPr>
              <w:spacing w:after="0"/>
              <w:rPr>
                <w:sz w:val="20"/>
                <w:szCs w:val="20"/>
                <w:color w:val="auto"/>
              </w:rPr>
            </w:pPr>
          </w:p>
        </w:tc>
      </w:tr>
      <w:tr>
        <w:trPr>
          <w:trHeight w:val="243"/>
        </w:trPr>
        <w:tc>
          <w:tcPr>
            <w:tcW w:w="5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product revenue</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84,312</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39,612</w:t>
            </w:r>
          </w:p>
        </w:tc>
        <w:tc>
          <w:tcPr>
            <w:tcW w:w="100" w:type="dxa"/>
            <w:vAlign w:val="bottom"/>
            <w:shd w:val="clear" w:color="auto" w:fill="CFF0FC"/>
          </w:tcPr>
          <w:p>
            <w:pPr>
              <w:spacing w:after="0"/>
              <w:rPr>
                <w:sz w:val="21"/>
                <w:szCs w:val="2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0"/>
                <w:szCs w:val="20"/>
                <w:color w:val="auto"/>
              </w:rPr>
            </w:pPr>
          </w:p>
        </w:tc>
      </w:tr>
      <w:tr>
        <w:trPr>
          <w:trHeight w:val="276"/>
        </w:trPr>
        <w:tc>
          <w:tcPr>
            <w:tcW w:w="5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115,375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102,602</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59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For the years ended December 31, 2022, 2021 and 2020, $2.0 million, $4.7 million and $3.1 million, respectively, of consoles revenue were from console operating lease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Contract Liabilities</w:t>
      </w:r>
    </w:p>
    <w:p>
      <w:pPr>
        <w:spacing w:after="0" w:line="117"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As of December 31, 2022, the aggregate amount of the transaction price allocated to the remaining performance obligations related to customer service contracts that are unsatisfied or partially unsatisfied was $8.8 million, which is recorded as deferred revenue on the Company’s balance sheet. Of that amount, $8.7 million will be recognized as revenue during the year ended December 31, 2023 and $0.1 million thereafter.</w:t>
      </w:r>
    </w:p>
    <w:p>
      <w:pPr>
        <w:spacing w:after="0" w:line="5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contract liabilities consist of deferred revenue which represents payments received in advance of revenue recognition. Revenue under these agreements is recognized over the related service period. During the years ended December 31, 2022, 2021 and 2020, the Company recognized $6.3 million, $3.2 million, and $0.9 million, respectively, of previously deferred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following tables summarize the Company’s financial assets and liabilities measured at fair value on a recurring basis by level within the fair value hierarchy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Valuation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Aggregate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Hierarchy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020" w:type="dxa"/>
            <w:vAlign w:val="bottom"/>
            <w:shd w:val="clear" w:color="auto" w:fill="CFF0FC"/>
          </w:tcPr>
          <w:p>
            <w:pPr>
              <w:jc w:val="center"/>
              <w:ind w:left="110"/>
              <w:spacing w:after="0"/>
              <w:rPr>
                <w:sz w:val="20"/>
                <w:szCs w:val="20"/>
                <w:color w:val="auto"/>
              </w:rPr>
            </w:pPr>
            <w:r>
              <w:rPr>
                <w:rFonts w:ascii="Arial" w:cs="Arial" w:eastAsia="Arial" w:hAnsi="Arial"/>
                <w:sz w:val="18"/>
                <w:szCs w:val="18"/>
                <w:color w:val="auto"/>
                <w:w w:val="92"/>
              </w:rPr>
              <w:t>Level 1</w:t>
            </w:r>
          </w:p>
        </w:tc>
        <w:tc>
          <w:tcPr>
            <w:tcW w:w="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00"/>
              <w:spacing w:after="0"/>
              <w:rPr>
                <w:sz w:val="20"/>
                <w:szCs w:val="20"/>
                <w:color w:val="auto"/>
              </w:rPr>
            </w:pPr>
            <w:r>
              <w:rPr>
                <w:rFonts w:ascii="Arial" w:cs="Arial" w:eastAsia="Arial" w:hAnsi="Arial"/>
                <w:sz w:val="18"/>
                <w:szCs w:val="18"/>
                <w:color w:val="auto"/>
              </w:rPr>
              <w:t>U.S. government-sponsored enterprises</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Level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340"/>
              <w:spacing w:after="0"/>
              <w:rPr>
                <w:sz w:val="20"/>
                <w:szCs w:val="20"/>
                <w:color w:val="auto"/>
              </w:rPr>
            </w:pPr>
            <w:r>
              <w:rPr>
                <w:rFonts w:ascii="Arial" w:cs="Arial" w:eastAsia="Arial" w:hAnsi="Arial"/>
                <w:sz w:val="18"/>
                <w:szCs w:val="18"/>
                <w:color w:val="auto"/>
              </w:rPr>
              <w:t>debt securities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133,473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(447 )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government-sponsored enterprises</w:t>
            </w:r>
          </w:p>
        </w:tc>
        <w:tc>
          <w:tcPr>
            <w:tcW w:w="1020" w:type="dxa"/>
            <w:vAlign w:val="bottom"/>
            <w:shd w:val="clear" w:color="auto" w:fill="CFF0FC"/>
          </w:tcPr>
          <w:p>
            <w:pPr>
              <w:jc w:val="center"/>
              <w:ind w:left="110"/>
              <w:spacing w:after="0"/>
              <w:rPr>
                <w:sz w:val="20"/>
                <w:szCs w:val="20"/>
                <w:color w:val="auto"/>
              </w:rPr>
            </w:pPr>
            <w:r>
              <w:rPr>
                <w:rFonts w:ascii="Arial" w:cs="Arial" w:eastAsia="Arial" w:hAnsi="Arial"/>
                <w:sz w:val="18"/>
                <w:szCs w:val="18"/>
                <w:color w:val="auto"/>
                <w:w w:val="92"/>
              </w:rPr>
              <w:t>Level 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debt securities</w:t>
            </w: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Level 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(154 )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020" w:type="dxa"/>
            <w:vAlign w:val="bottom"/>
            <w:tcBorders>
              <w:bottom w:val="single" w:sz="8" w:color="CFF0FC"/>
            </w:tcBorders>
            <w:shd w:val="clear" w:color="auto" w:fill="CFF0FC"/>
          </w:tcPr>
          <w:p>
            <w:pPr>
              <w:jc w:val="center"/>
              <w:ind w:left="110"/>
              <w:spacing w:after="0"/>
              <w:rPr>
                <w:sz w:val="20"/>
                <w:szCs w:val="20"/>
                <w:color w:val="auto"/>
              </w:rPr>
            </w:pPr>
            <w:r>
              <w:rPr>
                <w:rFonts w:ascii="Arial" w:cs="Arial" w:eastAsia="Arial" w:hAnsi="Arial"/>
                <w:sz w:val="18"/>
                <w:szCs w:val="18"/>
                <w:color w:val="auto"/>
                <w:w w:val="92"/>
              </w:rPr>
              <w:t>Level 2</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300"/>
              <w:spacing w:after="0"/>
              <w:rPr>
                <w:sz w:val="20"/>
                <w:szCs w:val="20"/>
                <w:color w:val="auto"/>
              </w:rPr>
            </w:pPr>
            <w:r>
              <w:rPr>
                <w:rFonts w:ascii="Arial" w:cs="Arial" w:eastAsia="Arial" w:hAnsi="Arial"/>
                <w:sz w:val="18"/>
                <w:szCs w:val="18"/>
                <w:color w:val="auto"/>
              </w:rPr>
              <w:t>Total cash equivalents and</w:t>
            </w:r>
          </w:p>
        </w:tc>
        <w:tc>
          <w:tcPr>
            <w:tcW w:w="1020" w:type="dxa"/>
            <w:vAlign w:val="bottom"/>
          </w:tcPr>
          <w:p>
            <w:pPr>
              <w:spacing w:after="0"/>
              <w:rPr>
                <w:sz w:val="18"/>
                <w:szCs w:val="18"/>
                <w:color w:val="auto"/>
              </w:rPr>
            </w:pPr>
          </w:p>
        </w:tc>
        <w:tc>
          <w:tcPr>
            <w:tcW w:w="4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265,643</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(615 )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265,079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420"/>
              <w:spacing w:after="0" w:line="203" w:lineRule="exact"/>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-796290</wp:posOffset>
            </wp:positionV>
            <wp:extent cx="7747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-796290</wp:posOffset>
            </wp:positionV>
            <wp:extent cx="68580" cy="300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-796290</wp:posOffset>
            </wp:positionV>
            <wp:extent cx="68580" cy="300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3003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Valuation</w:t>
            </w:r>
          </w:p>
        </w:tc>
        <w:tc>
          <w:tcPr>
            <w:tcW w:w="14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Amortized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Holding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Aggregate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Hierarchy</w:t>
            </w:r>
          </w:p>
        </w:tc>
        <w:tc>
          <w:tcPr>
            <w:tcW w:w="14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2"/>
              </w:rPr>
              <w:t>Level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2"/>
              </w:rPr>
              <w:t>Level 1</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124,178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(125 )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34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2"/>
              </w:rPr>
              <w:t>Level 2</w:t>
            </w: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300"/>
              <w:spacing w:after="0"/>
              <w:rPr>
                <w:sz w:val="20"/>
                <w:szCs w:val="20"/>
                <w:color w:val="auto"/>
              </w:rPr>
            </w:pPr>
            <w:r>
              <w:rPr>
                <w:rFonts w:ascii="Arial" w:cs="Arial" w:eastAsia="Arial" w:hAnsi="Arial"/>
                <w:sz w:val="18"/>
                <w:szCs w:val="18"/>
                <w:color w:val="auto"/>
              </w:rPr>
              <w:t>Total cash equivalents and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218,167</w:t>
            </w: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(185 )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217,984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420"/>
              <w:spacing w:after="0" w:line="203" w:lineRule="exact"/>
              <w:rPr>
                <w:sz w:val="20"/>
                <w:szCs w:val="20"/>
                <w:color w:val="auto"/>
              </w:rPr>
            </w:pPr>
            <w:r>
              <w:rPr>
                <w:rFonts w:ascii="Arial" w:cs="Arial" w:eastAsia="Arial" w:hAnsi="Arial"/>
                <w:sz w:val="18"/>
                <w:szCs w:val="18"/>
                <w:color w:val="auto"/>
              </w:rPr>
              <w:t>short-term investments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-299720</wp:posOffset>
            </wp:positionV>
            <wp:extent cx="77470" cy="300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-299720</wp:posOffset>
            </wp:positionV>
            <wp:extent cx="68580" cy="300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-299720</wp:posOffset>
            </wp:positionV>
            <wp:extent cx="68580" cy="3003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300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2022, the remaining contractual maturities for short-term investments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Aggregate Fair Value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within one year</w:t>
            </w:r>
          </w:p>
        </w:tc>
        <w:tc>
          <w:tcPr>
            <w:tcW w:w="44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188,368</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r>
      <w:tr>
        <w:trPr>
          <w:trHeight w:val="237"/>
        </w:trPr>
        <w:tc>
          <w:tcPr>
            <w:tcW w:w="62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After one but within five years</w:t>
            </w:r>
          </w:p>
        </w:tc>
        <w:tc>
          <w:tcPr>
            <w:tcW w:w="44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6"/>
        </w:trPr>
        <w:tc>
          <w:tcPr>
            <w:tcW w:w="620" w:type="dxa"/>
            <w:vAlign w:val="bottom"/>
          </w:tcPr>
          <w:p>
            <w:pPr>
              <w:spacing w:after="0"/>
              <w:rPr>
                <w:sz w:val="24"/>
                <w:szCs w:val="24"/>
                <w:color w:val="auto"/>
              </w:rPr>
            </w:pPr>
          </w:p>
        </w:tc>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4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214,280</w:t>
            </w:r>
          </w:p>
        </w:tc>
        <w:tc>
          <w:tcPr>
            <w:tcW w:w="100" w:type="dxa"/>
            <w:vAlign w:val="bottom"/>
            <w:tcBorders>
              <w:bottom w:val="single" w:sz="8" w:color="CFF0FC"/>
            </w:tcBorders>
            <w:shd w:val="clear" w:color="auto" w:fill="CFF0FC"/>
          </w:tcPr>
          <w:p>
            <w:pPr>
              <w:spacing w:after="0"/>
              <w:rPr>
                <w:sz w:val="24"/>
                <w:szCs w:val="24"/>
                <w:color w:val="auto"/>
              </w:rPr>
            </w:pPr>
          </w:p>
        </w:tc>
        <w:tc>
          <w:tcPr>
            <w:tcW w:w="620" w:type="dxa"/>
            <w:vAlign w:val="bottom"/>
          </w:tcPr>
          <w:p>
            <w:pPr>
              <w:spacing w:after="0"/>
              <w:rPr>
                <w:sz w:val="24"/>
                <w:szCs w:val="24"/>
                <w:color w:val="auto"/>
              </w:rPr>
            </w:pPr>
          </w:p>
        </w:tc>
      </w:tr>
      <w:tr>
        <w:trPr>
          <w:trHeight w:val="635"/>
        </w:trPr>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00" w:type="dxa"/>
            <w:vAlign w:val="bottom"/>
          </w:tcPr>
          <w:p>
            <w:pPr>
              <w:jc w:val="right"/>
              <w:ind w:right="2870"/>
              <w:spacing w:after="0"/>
              <w:rPr>
                <w:sz w:val="20"/>
                <w:szCs w:val="20"/>
                <w:color w:val="auto"/>
              </w:rPr>
            </w:pPr>
            <w:r>
              <w:rPr>
                <w:rFonts w:ascii="Arial" w:cs="Arial" w:eastAsia="Arial" w:hAnsi="Arial"/>
                <w:sz w:val="18"/>
                <w:szCs w:val="18"/>
                <w:color w:val="auto"/>
              </w:rPr>
              <w:t>91</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-522605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-505460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3" w:name="page94"/>
    <w:bookmarkEnd w:id="93"/>
    <w:p>
      <w:pPr>
        <w:ind w:right="180" w:firstLine="749"/>
        <w:spacing w:after="0" w:line="296" w:lineRule="auto"/>
        <w:rPr>
          <w:sz w:val="20"/>
          <w:szCs w:val="20"/>
          <w:color w:val="auto"/>
        </w:rPr>
      </w:pPr>
      <w:r>
        <w:rPr>
          <w:rFonts w:ascii="Arial" w:cs="Arial" w:eastAsia="Arial" w:hAnsi="Arial"/>
          <w:sz w:val="16"/>
          <w:szCs w:val="16"/>
          <w:color w:val="auto"/>
        </w:rPr>
        <w:t>The Company’s Level 2 securities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 Company validates the prices provided by its third-party pricing services by understanding the models used, obtaining market values from other pricing sources and confirming those securities traded in active markets.</w:t>
      </w:r>
    </w:p>
    <w:p>
      <w:pPr>
        <w:spacing w:after="0" w:line="53"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Impairment assessments are made at the individual security level at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As of December 31, 2022, there were four securities with a total fair value of $21.1 million in an unrealized loss position for more than 12 months. The unrealized losses totaling $0.1 million as of December 31, 2022 were caused by changes in market interest rates or the widening of market spreads subsequent to the initial purchase of these securities, and not related to the underlying credit of the issuers or the underlying collateral. These securities were issued by public reporting companies with an investment-grade rating by at least one bond credit rating agency. As a result, the Company did not consider these investments to be other-than-temporarily impaired as of December 31, 2022. During the years ended December 31, 2022, 2021 and 2020, the Company did not recognize other-than-temporary impairment losses related to its investment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As of December 31, 2022, the restricted cash balance of $3.3 million was related to collateral for the Company's building leases in San Jose, CA and Tijuana, Mexico (see Note 6). As of December, 31, 2021, the restricted cash balance of $33.3 million included the contractual obligations under the SVB Loan and Security Agreement (see Note 7) in addition to the collateral for the building leases.</w:t>
      </w:r>
    </w:p>
    <w:p>
      <w:pPr>
        <w:spacing w:after="0" w:line="76"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that sum to the total of the amounts shown in the statements of cash flows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73,222</w:t>
            </w:r>
          </w:p>
        </w:tc>
        <w:tc>
          <w:tcPr>
            <w:tcW w:w="26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182,348</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294,972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3,311</w:t>
            </w:r>
          </w:p>
        </w:tc>
        <w:tc>
          <w:tcPr>
            <w:tcW w:w="2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33,311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33,311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44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5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76,533</w:t>
            </w:r>
          </w:p>
        </w:tc>
        <w:tc>
          <w:tcPr>
            <w:tcW w:w="2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215,659</w:t>
            </w:r>
          </w:p>
        </w:tc>
        <w:tc>
          <w:tcPr>
            <w:tcW w:w="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328,283</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Inventories consist of the following (in thousands):</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20,623</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18,114</w:t>
            </w:r>
          </w:p>
        </w:tc>
        <w:tc>
          <w:tcPr>
            <w:tcW w:w="8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Work in process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9,086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6,054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5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21,767</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15,017</w:t>
            </w: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51,476</w:t>
            </w:r>
          </w:p>
        </w:tc>
        <w:tc>
          <w:tcPr>
            <w:tcW w:w="6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39,185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vMerge w:val="restart"/>
          </w:tcPr>
          <w:p>
            <w:pPr>
              <w:jc w:val="right"/>
              <w:ind w:right="71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-2039620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-2022475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-2039620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-2022475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-2039620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-2022475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-676275</wp:posOffset>
            </wp:positionV>
            <wp:extent cx="6032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-676275</wp:posOffset>
            </wp:positionV>
            <wp:extent cx="5143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460" w:type="dxa"/>
            <w:vAlign w:val="bottom"/>
            <w:gridSpan w:val="2"/>
          </w:tcPr>
          <w:p>
            <w:pPr>
              <w:jc w:val="right"/>
              <w:ind w:right="1290"/>
              <w:spacing w:after="0"/>
              <w:rPr>
                <w:sz w:val="20"/>
                <w:szCs w:val="20"/>
                <w:color w:val="auto"/>
              </w:rPr>
            </w:pPr>
            <w:r>
              <w:rPr>
                <w:rFonts w:ascii="Arial" w:cs="Arial" w:eastAsia="Arial" w:hAnsi="Arial"/>
                <w:sz w:val="18"/>
                <w:szCs w:val="18"/>
                <w:color w:val="auto"/>
                <w:w w:val="90"/>
              </w:rPr>
              <w:t>Property and equipment, net consisted of the following (in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87"/>
        </w:trPr>
        <w:tc>
          <w:tcPr>
            <w:tcW w:w="3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3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Tablos under operating leases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80" w:type="dxa"/>
            <w:vAlign w:val="bottom"/>
            <w:shd w:val="clear" w:color="auto" w:fill="CFF0FC"/>
          </w:tcPr>
          <w:p>
            <w:pPr>
              <w:spacing w:after="0"/>
              <w:rPr>
                <w:sz w:val="20"/>
                <w:szCs w:val="20"/>
                <w:color w:val="auto"/>
              </w:rPr>
            </w:pPr>
          </w:p>
        </w:tc>
      </w:tr>
      <w:tr>
        <w:trPr>
          <w:trHeight w:val="237"/>
        </w:trPr>
        <w:tc>
          <w:tcPr>
            <w:tcW w:w="3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4,021</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3,777</w:t>
            </w:r>
          </w:p>
        </w:tc>
        <w:tc>
          <w:tcPr>
            <w:tcW w:w="80" w:type="dxa"/>
            <w:vAlign w:val="bottom"/>
          </w:tcPr>
          <w:p>
            <w:pPr>
              <w:spacing w:after="0"/>
              <w:rPr>
                <w:sz w:val="20"/>
                <w:szCs w:val="20"/>
                <w:color w:val="auto"/>
              </w:rPr>
            </w:pPr>
          </w:p>
        </w:tc>
      </w:tr>
      <w:tr>
        <w:trPr>
          <w:trHeight w:val="249"/>
        </w:trPr>
        <w:tc>
          <w:tcPr>
            <w:tcW w:w="380" w:type="dxa"/>
            <w:vAlign w:val="bottom"/>
          </w:tcPr>
          <w:p>
            <w:pPr>
              <w:spacing w:after="0"/>
              <w:rPr>
                <w:sz w:val="21"/>
                <w:szCs w:val="21"/>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FF0FC"/>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10,367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7,197</w:t>
            </w:r>
          </w:p>
        </w:tc>
        <w:tc>
          <w:tcPr>
            <w:tcW w:w="80" w:type="dxa"/>
            <w:vAlign w:val="bottom"/>
          </w:tcPr>
          <w:p>
            <w:pPr>
              <w:spacing w:after="0"/>
              <w:rPr>
                <w:sz w:val="20"/>
                <w:szCs w:val="20"/>
                <w:color w:val="auto"/>
              </w:rPr>
            </w:pPr>
          </w:p>
        </w:tc>
      </w:tr>
      <w:tr>
        <w:trPr>
          <w:trHeight w:val="249"/>
        </w:trPr>
        <w:tc>
          <w:tcPr>
            <w:tcW w:w="380" w:type="dxa"/>
            <w:vAlign w:val="bottom"/>
          </w:tcPr>
          <w:p>
            <w:pPr>
              <w:spacing w:after="0"/>
              <w:rPr>
                <w:sz w:val="21"/>
                <w:szCs w:val="21"/>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80" w:type="dxa"/>
            <w:vAlign w:val="bottom"/>
            <w:shd w:val="clear" w:color="auto" w:fill="CFF0FC"/>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20"/>
                <w:szCs w:val="20"/>
                <w:color w:val="auto"/>
              </w:rPr>
            </w:pPr>
          </w:p>
        </w:tc>
      </w:tr>
      <w:tr>
        <w:trPr>
          <w:trHeight w:val="243"/>
        </w:trPr>
        <w:tc>
          <w:tcPr>
            <w:tcW w:w="380" w:type="dxa"/>
            <w:vAlign w:val="bottom"/>
          </w:tcPr>
          <w:p>
            <w:pPr>
              <w:spacing w:after="0"/>
              <w:rPr>
                <w:sz w:val="21"/>
                <w:szCs w:val="21"/>
                <w:color w:val="auto"/>
              </w:rPr>
            </w:pPr>
          </w:p>
        </w:tc>
        <w:tc>
          <w:tcPr>
            <w:tcW w:w="6080" w:type="dxa"/>
            <w:vAlign w:val="bottom"/>
            <w:shd w:val="clear" w:color="auto" w:fill="CFF0FC"/>
          </w:tcPr>
          <w:p>
            <w:pPr>
              <w:jc w:val="right"/>
              <w:ind w:right="3670"/>
              <w:spacing w:after="0"/>
              <w:rPr>
                <w:sz w:val="20"/>
                <w:szCs w:val="20"/>
                <w:color w:val="auto"/>
              </w:rPr>
            </w:pPr>
            <w:r>
              <w:rPr>
                <w:rFonts w:ascii="Arial" w:cs="Arial" w:eastAsia="Arial" w:hAnsi="Arial"/>
                <w:sz w:val="18"/>
                <w:szCs w:val="18"/>
                <w:color w:val="auto"/>
                <w:w w:val="97"/>
              </w:rPr>
              <w:t>Total property and equipment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26,683</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20,618</w:t>
            </w:r>
          </w:p>
        </w:tc>
        <w:tc>
          <w:tcPr>
            <w:tcW w:w="80" w:type="dxa"/>
            <w:vAlign w:val="bottom"/>
            <w:shd w:val="clear" w:color="auto" w:fill="CFF0FC"/>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(10,807 )</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(7,654 )</w:t>
            </w:r>
          </w:p>
        </w:tc>
      </w:tr>
      <w:tr>
        <w:trPr>
          <w:trHeight w:val="276"/>
        </w:trPr>
        <w:tc>
          <w:tcPr>
            <w:tcW w:w="380" w:type="dxa"/>
            <w:vAlign w:val="bottom"/>
          </w:tcPr>
          <w:p>
            <w:pPr>
              <w:spacing w:after="0"/>
              <w:rPr>
                <w:sz w:val="24"/>
                <w:szCs w:val="24"/>
                <w:color w:val="auto"/>
              </w:rPr>
            </w:pPr>
          </w:p>
        </w:tc>
        <w:tc>
          <w:tcPr>
            <w:tcW w:w="6080" w:type="dxa"/>
            <w:vAlign w:val="bottom"/>
            <w:tcBorders>
              <w:bottom w:val="single" w:sz="8" w:color="CFF0FC"/>
            </w:tcBorders>
            <w:shd w:val="clear" w:color="auto" w:fill="CFF0FC"/>
          </w:tcPr>
          <w:p>
            <w:pPr>
              <w:jc w:val="right"/>
              <w:ind w:right="367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15,876</w:t>
            </w:r>
          </w:p>
        </w:tc>
        <w:tc>
          <w:tcPr>
            <w:tcW w:w="2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Total depreciation and amortization expense for the years ended December 31, 2022, 2021, and 2020 was $5.2 million, $5.2 million, and $3.2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280" w:type="dxa"/>
            <w:vAlign w:val="bottom"/>
            <w:gridSpan w:val="2"/>
          </w:tcPr>
          <w:p>
            <w:pPr>
              <w:ind w:left="760"/>
              <w:spacing w:after="0"/>
              <w:rPr>
                <w:sz w:val="20"/>
                <w:szCs w:val="20"/>
                <w:color w:val="auto"/>
              </w:rPr>
            </w:pPr>
            <w:r>
              <w:rPr>
                <w:rFonts w:ascii="Arial" w:cs="Arial" w:eastAsia="Arial" w:hAnsi="Arial"/>
                <w:sz w:val="18"/>
                <w:szCs w:val="18"/>
                <w:color w:val="auto"/>
                <w:w w:val="93"/>
              </w:rPr>
              <w:t>Accrued expenses and other current liabilities consisted of the following (in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41"/>
        </w:trPr>
        <w:tc>
          <w:tcPr>
            <w:tcW w:w="1140" w:type="dxa"/>
            <w:vAlign w:val="bottom"/>
          </w:tcPr>
          <w:p>
            <w:pPr>
              <w:spacing w:after="0"/>
              <w:rPr>
                <w:sz w:val="20"/>
                <w:szCs w:val="20"/>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5,585</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4,808</w:t>
            </w:r>
          </w:p>
        </w:tc>
        <w:tc>
          <w:tcPr>
            <w:tcW w:w="80" w:type="dxa"/>
            <w:vAlign w:val="bottom"/>
            <w:shd w:val="clear" w:color="auto" w:fill="CFF0FC"/>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FF0FC"/>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Customer rebates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3,121</w:t>
            </w:r>
          </w:p>
        </w:tc>
        <w:tc>
          <w:tcPr>
            <w:tcW w:w="8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Total accrued expenses and other current liabilities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16,227</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13,789</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Warranty Liability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change in accrued warranty liability is presented in the following table (in thousands):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41"/>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80" w:type="dxa"/>
            <w:vAlign w:val="bottom"/>
            <w:shd w:val="clear" w:color="auto" w:fill="CFF0FC"/>
          </w:tcPr>
          <w:p>
            <w:pPr>
              <w:spacing w:after="0"/>
              <w:rPr>
                <w:sz w:val="20"/>
                <w:szCs w:val="20"/>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Additions charged to cost of product revenue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7,310</w:t>
            </w:r>
          </w:p>
        </w:tc>
        <w:tc>
          <w:tcPr>
            <w:tcW w:w="80" w:type="dxa"/>
            <w:vAlign w:val="bottom"/>
          </w:tcPr>
          <w:p>
            <w:pPr>
              <w:spacing w:after="0"/>
              <w:rPr>
                <w:sz w:val="20"/>
                <w:szCs w:val="20"/>
                <w:color w:val="auto"/>
              </w:rPr>
            </w:pPr>
          </w:p>
        </w:tc>
      </w:tr>
      <w:tr>
        <w:trPr>
          <w:trHeight w:val="24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Consumption</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(5,832 )</w:t>
            </w: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(6,519 )</w:t>
            </w:r>
          </w:p>
        </w:tc>
      </w:tr>
      <w:tr>
        <w:trPr>
          <w:trHeight w:val="237"/>
        </w:trPr>
        <w:tc>
          <w:tcPr>
            <w:tcW w:w="61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as of December 31, 2022</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80" w:type="dxa"/>
            <w:vAlign w:val="bottom"/>
            <w:tcBorders>
              <w:top w:val="single" w:sz="8" w:color="CFF0FC"/>
            </w:tcBorders>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In September 2019, the Company entered into an operating lease agreement for its facility and office space in San Jose, CA that commenced in April 2020 and expires in March 2027. This operating lease contains a free rent period and an escalation clause. The landlord provided the Company with a tenant improvement allowance of up to $2.0 million. The Company issued an irrevocable standby letter of credit in the amount of $0.3 million in lieu of a cash security deposit. The letter of credit is fully secured by cash held at the bank in a restricted account.</w:t>
      </w:r>
    </w:p>
    <w:p>
      <w:pPr>
        <w:spacing w:after="0" w:line="63"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In May 2020, the Company entered into an operating lease agreement for its manufacturing facility in Tijuana, Mexico that commenced in May 2020 and will expire in August 2026. The Company took initial possession of the building with 48,437 square feet in May 2020 and subsequently took possession of the second space with 38,750 square feet in June 2021. This operating lease contains a free rent period and an escalation clause. The Company issued an irrevocable standby letter of credit in the amount of $3.0 million, in lieu of a cash security deposit. The letter of credit is fully secured by cash held at the bank in a restricted account.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5" w:name="page96"/>
    <w:bookmarkEnd w:id="95"/>
    <w:p>
      <w:pPr>
        <w:ind w:right="200" w:firstLine="749"/>
        <w:spacing w:after="0" w:line="263" w:lineRule="auto"/>
        <w:rPr>
          <w:sz w:val="20"/>
          <w:szCs w:val="20"/>
          <w:color w:val="auto"/>
        </w:rPr>
      </w:pPr>
      <w:r>
        <w:rPr>
          <w:rFonts w:ascii="Arial" w:cs="Arial" w:eastAsia="Arial" w:hAnsi="Arial"/>
          <w:sz w:val="18"/>
          <w:szCs w:val="18"/>
          <w:color w:val="auto"/>
        </w:rPr>
        <w:t>Both leases include renewal options at the election of the Company to renew or extend the lease. The Company evaluates renewal options at lease inception and on an ongoing basis and includes renewal options that it is reasonably certain to exercise in its expected lease terms when classifying leases and measuring lease liabilities.</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The components of lease costs were as follows (in thousands):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5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1"/>
          </w:tcPr>
          <w:p>
            <w:pPr>
              <w:jc w:val="right"/>
              <w:ind w:right="860"/>
              <w:spacing w:after="0"/>
              <w:rPr>
                <w:sz w:val="20"/>
                <w:szCs w:val="20"/>
                <w:color w:val="auto"/>
              </w:rPr>
            </w:pPr>
            <w:r>
              <w:rPr>
                <w:rFonts w:ascii="Arial" w:cs="Arial" w:eastAsia="Arial" w:hAnsi="Arial"/>
                <w:sz w:val="18"/>
                <w:szCs w:val="18"/>
                <w:b w:val="1"/>
                <w:bCs w:val="1"/>
                <w:color w:val="auto"/>
                <w:w w:val="93"/>
              </w:rPr>
              <w:t>Years ended 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gridSpan w:val="2"/>
          </w:tcPr>
          <w:p>
            <w:pPr>
              <w:spacing w:after="0"/>
              <w:rPr>
                <w:sz w:val="20"/>
                <w:szCs w:val="20"/>
                <w:color w:val="auto"/>
              </w:rPr>
            </w:pPr>
            <w:r>
              <w:rPr>
                <w:rFonts w:ascii="Arial" w:cs="Arial" w:eastAsia="Arial" w:hAnsi="Arial"/>
                <w:sz w:val="18"/>
                <w:szCs w:val="18"/>
                <w:color w:val="auto"/>
              </w:rPr>
              <w:t>Variable lease costs</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Total lease costs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180"/>
              <w:spacing w:after="0"/>
              <w:rPr>
                <w:sz w:val="20"/>
                <w:szCs w:val="20"/>
                <w:color w:val="auto"/>
              </w:rPr>
            </w:pPr>
            <w:r>
              <w:rPr>
                <w:rFonts w:ascii="Arial" w:cs="Arial" w:eastAsia="Arial" w:hAnsi="Arial"/>
                <w:sz w:val="18"/>
                <w:szCs w:val="18"/>
                <w:color w:val="auto"/>
                <w:w w:val="96"/>
              </w:rPr>
              <w:t>The weighted-average remaining lease term and discount rate were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2022</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0" w:type="dxa"/>
            <w:vAlign w:val="bottom"/>
          </w:tcPr>
          <w:p>
            <w:pPr>
              <w:spacing w:after="0"/>
              <w:rPr>
                <w:sz w:val="20"/>
                <w:szCs w:val="20"/>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7"/>
              </w:rPr>
              <w:t>8.7%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7"/>
              </w:rPr>
              <w:t>8.7%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-1088390</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-1088390</wp:posOffset>
            </wp:positionV>
            <wp:extent cx="6032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-1088390</wp:posOffset>
            </wp:positionV>
            <wp:extent cx="60325"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maturity of the Company’s operating lease liabilities as of December 31, 2022 were as follows (in thousands):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FF0FC"/>
          </w:tcPr>
          <w:p>
            <w:pPr>
              <w:spacing w:after="0"/>
              <w:rPr>
                <w:sz w:val="21"/>
                <w:szCs w:val="2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20"/>
                <w:szCs w:val="20"/>
                <w:color w:val="auto"/>
              </w:rPr>
            </w:pPr>
          </w:p>
        </w:tc>
      </w:tr>
      <w:tr>
        <w:trPr>
          <w:trHeight w:val="24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80" w:type="dxa"/>
            <w:vAlign w:val="bottom"/>
            <w:shd w:val="clear" w:color="auto" w:fill="CFF0FC"/>
          </w:tcPr>
          <w:p>
            <w:pPr>
              <w:spacing w:after="0"/>
              <w:rPr>
                <w:sz w:val="21"/>
                <w:szCs w:val="2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80" w:type="dxa"/>
            <w:vAlign w:val="bottom"/>
          </w:tcPr>
          <w:p>
            <w:pPr>
              <w:spacing w:after="0"/>
              <w:rPr>
                <w:sz w:val="20"/>
                <w:szCs w:val="20"/>
                <w:color w:val="auto"/>
              </w:rPr>
            </w:pPr>
          </w:p>
        </w:tc>
      </w:tr>
      <w:tr>
        <w:trPr>
          <w:trHeight w:val="243"/>
        </w:trPr>
        <w:tc>
          <w:tcPr>
            <w:tcW w:w="7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8,259</w:t>
            </w:r>
          </w:p>
        </w:tc>
        <w:tc>
          <w:tcPr>
            <w:tcW w:w="80" w:type="dxa"/>
            <w:vAlign w:val="bottom"/>
            <w:shd w:val="clear" w:color="auto" w:fill="CFF0FC"/>
          </w:tcPr>
          <w:p>
            <w:pPr>
              <w:spacing w:after="0"/>
              <w:rPr>
                <w:sz w:val="21"/>
                <w:szCs w:val="2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(1,365 )</w:t>
            </w:r>
          </w:p>
        </w:tc>
      </w:tr>
      <w:tr>
        <w:trPr>
          <w:trHeight w:val="277"/>
        </w:trPr>
        <w:tc>
          <w:tcPr>
            <w:tcW w:w="7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operating lease liabilities</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6,894</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4"/>
        </w:trPr>
        <w:tc>
          <w:tcPr>
            <w:tcW w:w="754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r>
      <w:tr>
        <w:trPr>
          <w:trHeight w:val="24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-333375</wp:posOffset>
            </wp:positionV>
            <wp:extent cx="51435"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Company's commitments as of December 31, 2022 were $66.5 million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consulting activities for which the Company has not received the services, and subscription of software services. Although open purchase orders are considered enforceable and legally binding, the terms generally allow the Company the option to cancel within a reasonable period, reschedule, and adjust its requirements based on its business needs prior to the delivery of goods or performance of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On July 8, 2022, a purported stockholder class action lawsuit was filed in the U.S. District Court for the Northern District of California, naming the Company, its Chief Executive Officer, Chief Financial Officer, and former Chief Financial Officer as defendants. The complaint alleged that between September 15, 2020 and June 13, 2022, the defendants violated Sections 10(b) and 20(a) of the Securities Exchange Act of 1934, as amended (Exchange Act), by making false or misleading statements regarding the Company’s regulatory studies of the Tablo Hemodialysis System for at home use and the Company’s prospects related to the sale of the system for at home use. The complaint sought relief including damages, attorney fees, and costs in unspecified amounts. On September 7, 2022, the plaintiff filed a notice of voluntary dismissal of this action without prejudice. This action is now concluded.</w:t>
      </w:r>
    </w:p>
    <w:p>
      <w:pPr>
        <w:spacing w:after="0" w:line="87" w:lineRule="exact"/>
        <w:rPr>
          <w:sz w:val="20"/>
          <w:szCs w:val="20"/>
          <w:color w:val="auto"/>
        </w:rPr>
      </w:pPr>
    </w:p>
    <w:p>
      <w:pPr>
        <w:jc w:val="both"/>
        <w:ind w:right="300" w:firstLine="749"/>
        <w:spacing w:after="0" w:line="263" w:lineRule="auto"/>
        <w:rPr>
          <w:sz w:val="20"/>
          <w:szCs w:val="20"/>
          <w:color w:val="auto"/>
        </w:rPr>
      </w:pPr>
      <w:r>
        <w:rPr>
          <w:rFonts w:ascii="Arial" w:cs="Arial" w:eastAsia="Arial" w:hAnsi="Arial"/>
          <w:sz w:val="18"/>
          <w:szCs w:val="18"/>
          <w:color w:val="auto"/>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7. Term Loans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280" w:type="dxa"/>
            <w:vAlign w:val="bottom"/>
            <w:gridSpan w:val="2"/>
          </w:tcPr>
          <w:p>
            <w:pPr>
              <w:ind w:left="760"/>
              <w:spacing w:after="0"/>
              <w:rPr>
                <w:sz w:val="20"/>
                <w:szCs w:val="20"/>
                <w:color w:val="auto"/>
              </w:rPr>
            </w:pPr>
            <w:r>
              <w:rPr>
                <w:rFonts w:ascii="Arial" w:cs="Arial" w:eastAsia="Arial" w:hAnsi="Arial"/>
                <w:sz w:val="18"/>
                <w:szCs w:val="18"/>
                <w:color w:val="auto"/>
              </w:rPr>
              <w:t>Term loans consist of the following (in thousands):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41"/>
        </w:trPr>
        <w:tc>
          <w:tcPr>
            <w:tcW w:w="1140" w:type="dxa"/>
            <w:vAlign w:val="bottom"/>
          </w:tcPr>
          <w:p>
            <w:pPr>
              <w:spacing w:after="0"/>
              <w:rPr>
                <w:sz w:val="20"/>
                <w:szCs w:val="20"/>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Principal of term loan</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2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(3,664 )</w:t>
            </w:r>
          </w:p>
        </w:tc>
        <w:tc>
          <w:tcPr>
            <w:tcW w:w="4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(238 )</w:t>
            </w:r>
          </w:p>
        </w:tc>
      </w:tr>
      <w:tr>
        <w:trPr>
          <w:trHeight w:val="276"/>
        </w:trPr>
        <w:tc>
          <w:tcPr>
            <w:tcW w:w="1140" w:type="dxa"/>
            <w:vAlign w:val="bottom"/>
          </w:tcPr>
          <w:p>
            <w:pPr>
              <w:spacing w:after="0"/>
              <w:rPr>
                <w:sz w:val="24"/>
                <w:szCs w:val="24"/>
                <w:color w:val="auto"/>
              </w:rPr>
            </w:pPr>
          </w:p>
        </w:tc>
        <w:tc>
          <w:tcPr>
            <w:tcW w:w="61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Term loan, noncurrent</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96,336</w:t>
            </w:r>
          </w:p>
        </w:tc>
        <w:tc>
          <w:tcPr>
            <w:tcW w:w="2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Loan and Security Agreement</w:t>
      </w:r>
    </w:p>
    <w:p>
      <w:pPr>
        <w:spacing w:after="0" w:line="117"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On July 2, 2020, the Company entered into a senior secured term loan facility with Silicon Valley Bank (SVB) (the SVB Loan and Security Agreement), which provided for a $30.0 million term loan (the SVB Term Loan).</w:t>
      </w:r>
    </w:p>
    <w:p>
      <w:pPr>
        <w:spacing w:after="0" w:line="62"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 SVB Term Loan was scheduled to mature on November 1, 2025. Payments under the SVB Term Loan were for interest only through May 2023, and then 30 monthly principal and interest payments from June 2023 until maturity. The SVB Term Loan bore interest at the greater of (A) 0.50% above the Prime Rate as reported in the Wall Street Journal and (B) 3.75%. The Company was obligated to maintain a restricted cash balance greater or equal to the outstanding principal balance of $30.0 million of the SVB Term Loan.</w:t>
      </w:r>
    </w:p>
    <w:p>
      <w:pPr>
        <w:spacing w:after="0" w:line="79"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In November 2022, the Company entered into new senior secured credit facilities (the SLR Credit Facilities, as described below) and repaid in full all amounts due under the SVB Loan and Security Agreement, including the early repayment fee of $0.3 million and the final payment of $2.0 million, using a portion of the proceeds of the SLR Credit Facilities. The repayment of the SVB Term Loan was accounted for as a debt extinguishment, which resulted in a loss on extinguishment of $1.4 million recorded in the statement of operations for the year ended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Credit Facilities</w:t>
      </w:r>
    </w:p>
    <w:p>
      <w:pPr>
        <w:spacing w:after="0" w:line="117"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On November 3, 2022 (the Closing Date), the Company entered into two senior secured credit facilities, which collectively provide for borrowings of up to $300.0 million: (i) a term loan facility pursuant to a loan and security agreement (the SLR Loan Agreement) among SLR Investment Corp., as collateral agent (Agent), the lenders from time to time party thereto (the Term Loan Lenders) and the Company (the SLR Term Loan Facility), and (ii) an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spacing w:after="0" w:line="70"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The maximum amount the Company is permitted to borrow under the SLR Credit Facilities is subject to certain overall borrowing limitations. The Company is permitted to borrow up to $200.0 million under the SLR Credit Facilities on the Closing Date. If the Company achieves a certain net revenue milestone, calculated on a trailing six-month basis (First Revenue Milestone), on or before June 30, 2024 and the Additional Tranche (as defined below) under the SLR Revolver has been approved, the Company will be permitted to borrow up to $250.0 million under the SLR Credit Facilities. If the Company achieves a subsequent additional net revenue milestone, calculated on a trailing six-month basis (Second Revenue Milestone), on or before June 30, 2025 and obtains lenders' credit approval, the Company will be permitted to borrow up to $300.0 million under the SLR Credit Facilities.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SLR Term Loan Facility</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Pursuant to the terms and conditions of the SLR Loan Agreement, the Term Loan Lenders agreed to extend term loans to the Company in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up to $250.0 million, comprised of (i) a term loan of $100.0 million (the Term A Loan), (ii) one or more term loans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minimum increments of $20.0 million each) in the aggregate of up to $100.0 million (each, a Term B Loan) and (iii) one or more term loans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of up to $50.0 million (each, a Term C Loan). Each Term A Loan, Term B Loan and Term C Loan is referred to single as a Term Loan and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collectively as the Term Loans. The Term A Loan was funded on the Closing Date. The Term B Loan(s) are available for funding until August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2024. The Term C Loan(s) are available subject to the lenders’ credit approval and the achievement of the Second Revenue Milestone on or before June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2025. The Term C Loan will remain available for funding until one business day prior to November 1, 2027.</w:t>
      </w:r>
    </w:p>
    <w:p>
      <w:pPr>
        <w:spacing w:after="0" w:line="319" w:lineRule="exact"/>
        <w:rPr>
          <w:sz w:val="20"/>
          <w:szCs w:val="20"/>
          <w:color w:val="auto"/>
        </w:rPr>
      </w:pPr>
    </w:p>
    <w:p>
      <w:pPr>
        <w:ind w:right="120" w:firstLine="749"/>
        <w:spacing w:after="0" w:line="268" w:lineRule="auto"/>
        <w:rPr>
          <w:sz w:val="20"/>
          <w:szCs w:val="20"/>
          <w:color w:val="auto"/>
        </w:rPr>
      </w:pPr>
      <w:r>
        <w:rPr>
          <w:rFonts w:ascii="Arial" w:cs="Arial" w:eastAsia="Arial" w:hAnsi="Arial"/>
          <w:sz w:val="17"/>
          <w:szCs w:val="17"/>
          <w:color w:val="auto"/>
        </w:rPr>
        <w:t>Any principal amount outstanding under the Term Loans will accrue interest at a rate per annum equal to one-month term Secured Overnight Financing Rate (term SOFR) (subject to a 2.75% floor), plus 5.15% (9.33% as of December 31, 2022), payable monthly in arrears. The Company is permitted to make interest-only payments on the Term Loans through November 30, 2026, which may be extended at the Company's option to May 31, 2027; provided that the Company meets the First Revenue Milestone. Any principal amounts outstanding under the Term Loans, if not repaid sooner, are due and payable on November 1, 2027 (the Maturity Date). The Company is obligated to pay Agent (i) a non-refundable facility fee in the amount of $750,000 in respect of the Term A Loan, (ii) a non-refundable facility fee in the amount of $750,000 in respect of the Term B Loan(s), to be due and payable upon the earliest to occur of (a) the funding of the first Term B Loan, (b) December 20, 2023 and (c) the prepayment of the Term Loans and (iii) a non-refundable facility fee in the amount of $375,000 in respect of the Term C Loan, to be due and payable upon the earliest to occur of (a) the funding of the first Term C Loan, (b) one day prior to the Maturity Date and (c) the prepayment of the Term Loans. In addition, the Company is obligated to pay a final fee equal to 4.75% of the aggregate amount of the Term Loans funded, such final fee to be due and payable upon the earliest to occur of (i) the Maturity Date, (ii) the acceleration of the Term Loans and (iii) the prepayment of the Term Loans. The Company may voluntarily prepay the outstanding Term Loans, subject to a prepayment premium of (i) 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SLR Revolver</w:t>
      </w:r>
    </w:p>
    <w:p>
      <w:pPr>
        <w:spacing w:after="0" w:line="333" w:lineRule="exact"/>
        <w:rPr>
          <w:sz w:val="20"/>
          <w:szCs w:val="20"/>
          <w:color w:val="auto"/>
        </w:rPr>
      </w:pPr>
    </w:p>
    <w:p>
      <w:pPr>
        <w:ind w:right="80" w:firstLine="749"/>
        <w:spacing w:after="0" w:line="253" w:lineRule="auto"/>
        <w:rPr>
          <w:sz w:val="20"/>
          <w:szCs w:val="20"/>
          <w:color w:val="auto"/>
        </w:rPr>
      </w:pPr>
      <w:r>
        <w:rPr>
          <w:rFonts w:ascii="Arial" w:cs="Arial" w:eastAsia="Arial" w:hAnsi="Arial"/>
          <w:sz w:val="18"/>
          <w:szCs w:val="18"/>
          <w:color w:val="auto"/>
        </w:rPr>
        <w:t>The SLR Revolving Credit Agreement provides for an asset-based revolving credit facility with aggregate revolving commitments of $25.0 million (the Initial Revolver Commitment). The Company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 (a) 85% of eligible accounts receivable, plus (b) 25% of eligible inventory (not to exceed the lesser of 50% of the Borrowing Base and $5.0 million), minus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customary reserves, minus (d) unposted cash.</w:t>
      </w:r>
    </w:p>
    <w:p>
      <w:pPr>
        <w:spacing w:after="0" w:line="103"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 in respect of the Initial Revolver Commitment, (ii) a non-refundable facility fee in the amount of $187,500 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 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Closing Date through and including the second anniversary of the Closing Date, or (iii) 0.5% of the aggregate revolving commitments then in effect, if terminated after the second anniversary of the Closing Date through and including the third anniversary of the Closing Date. Such termination fee is waived if the SLR Revolver is terminated after the third anniversary of the Closing Date and prior to the Maturity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ind w:right="20" w:firstLine="749"/>
        <w:spacing w:after="0" w:line="286" w:lineRule="auto"/>
        <w:rPr>
          <w:sz w:val="20"/>
          <w:szCs w:val="20"/>
          <w:color w:val="auto"/>
        </w:rPr>
      </w:pPr>
      <w:r>
        <w:rPr>
          <w:rFonts w:ascii="Arial" w:cs="Arial" w:eastAsia="Arial" w:hAnsi="Arial"/>
          <w:sz w:val="17"/>
          <w:szCs w:val="17"/>
          <w:color w:val="auto"/>
        </w:rPr>
        <w:t>Subject to customary exceptions and restrictions, the Company may borrow, repay and reborrow varying amounts under the SLR Revolver at any time. If at any time the outstanding amount under the SLR Revolver exceeds the lesser of (i) the aggregate revolving commitments then in effect and (ii) the Borrowing Base then in effect, the Company will be required to prepay outstanding amounts under the SLR Revolver.</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SLR Revolver shall expire on November 1, 2027.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 of the SLR Credit Facilities</w:t>
      </w:r>
    </w:p>
    <w:p>
      <w:pPr>
        <w:spacing w:after="0" w:line="333"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As security for its obligations under the SLR Credit Facilities, the Company granted Agent, for the benefit of the Term Loan Lenders, and ABL Lender a continuing security interest in substantially all of the assets of the Company, including the Company’s intellectual property, subject to certain exceptions.</w:t>
      </w:r>
    </w:p>
    <w:p>
      <w:pPr>
        <w:spacing w:after="0" w:line="76"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a financial covenant whereby, beginning with the fiscal quarter ending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(or maintain gross profit margins) in excess of specified amounts (or percentages) for applicable measuring periods.</w:t>
      </w:r>
    </w:p>
    <w:p>
      <w:pPr>
        <w:spacing w:after="0" w:line="86"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certain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spacing w:after="0" w:line="58"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In November 2022, the Company borrowed $100.0 million under the Term A Loan on the Closing Date and incurred debt issuance costs of $3.8 million which were recorded as a direct deduction from the Term A Loan on our balance sheets and are being recognized as non-cash interest expense over the term of the loan using the effective interest method, along with the final payment fee. The facility fees of $0.9 million related to the Term B Loan and the Initial Revolver Commitment were recorded as deferred financing costs and are being recognized as non-cash interest expense over their respective commitment period using straight-line method.</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annual payments due on the Term A Loan as of December 31, 2022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3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2024</w:t>
            </w:r>
          </w:p>
        </w:tc>
        <w:tc>
          <w:tcPr>
            <w:tcW w:w="3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9,093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8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2026</w:t>
            </w:r>
          </w:p>
        </w:tc>
        <w:tc>
          <w:tcPr>
            <w:tcW w:w="3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17,401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2027</w:t>
            </w:r>
          </w:p>
        </w:tc>
        <w:tc>
          <w:tcPr>
            <w:tcW w:w="38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100,568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Total future payments</w:t>
            </w:r>
          </w:p>
        </w:tc>
        <w:tc>
          <w:tcPr>
            <w:tcW w:w="3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144,428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38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(39,678 )</w:t>
            </w: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Less: final payment</w:t>
            </w:r>
          </w:p>
        </w:tc>
        <w:tc>
          <w:tcPr>
            <w:tcW w:w="3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(4,750 )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term loan</w:t>
            </w:r>
          </w:p>
        </w:tc>
        <w:tc>
          <w:tcPr>
            <w:tcW w:w="3800" w:type="dxa"/>
            <w:vAlign w:val="bottom"/>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Less: unamortized debt discount</w:t>
            </w:r>
          </w:p>
        </w:tc>
        <w:tc>
          <w:tcPr>
            <w:tcW w:w="3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(3,664 )</w:t>
            </w: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35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term loan, net of debt discount</w:t>
            </w:r>
          </w:p>
        </w:tc>
        <w:tc>
          <w:tcPr>
            <w:tcW w:w="38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96,336</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5"/>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jc w:val="right"/>
              <w:ind w:right="2690"/>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-1464945</wp:posOffset>
            </wp:positionV>
            <wp:extent cx="51435" cy="163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In 2019, the Company terminated the 2010 Stock Incentive Plan (the 2010 Plan) and adopted the 2019 Equity Incentive Plan (the 2019 Plan, and together with 2010 Plan, the Prior Plans) for the purpose of providing incentive and non-statutory stock options to employees, directors and certain non-employees.</w:t>
      </w:r>
    </w:p>
    <w:p>
      <w:pPr>
        <w:spacing w:after="0" w:line="76"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In 2020, the Company adopted the 2020 Equity Incentive Plan (the 2020 Plan, and together with the Prior Plans, the Plans), which became effective in connection with the IPO. As a result, the Company may not grant any additional awards under the Prior Plans. The Prior Plans will continue to govern outstanding equity awards previously granted thereunder. The Company initially reserved 3,665,000 shares of common stock for the issuance of awards under the 2020 Plan. In addition, the number of shares of common stock available under the 2020 Plan automatically increases on the first day of each fiscal year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Company’s board of directors. As of December 31, 2022, 4,879,000 shares were reserved for future issuance under the 2020 Plan.</w:t>
      </w:r>
    </w:p>
    <w:p>
      <w:pPr>
        <w:spacing w:after="0" w:line="58"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Options under the 2020 Plan have a contractual term of 10 years. The exercise price of an option shall not be less than 100% of the fair market value of the shares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Service-based options granted to a grantee generally vest at a rate of 25% on the first anniversary of the original vesting date, with the balance vesting monthly over the remaining three years. A summary of the Company’s stock option activity under the Plans is set forth below (in thousands, except exercise price and remaining contractual life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Aggregate</w:t>
            </w:r>
          </w:p>
        </w:tc>
        <w:tc>
          <w:tcPr>
            <w:tcW w:w="1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Terms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r>
      <w:tr>
        <w:trPr>
          <w:trHeight w:val="241"/>
        </w:trPr>
        <w:tc>
          <w:tcPr>
            <w:tcW w:w="606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2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35.14</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Forfeited and expired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31.47</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42,161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Exercisable as of December 31, 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38,984</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-205105</wp:posOffset>
            </wp:positionV>
            <wp:extent cx="76835" cy="2057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205740"/>
                    </a:xfrm>
                    <a:prstGeom prst="rect">
                      <a:avLst/>
                    </a:prstGeom>
                    <a:noFill/>
                  </pic:spPr>
                </pic:pic>
              </a:graphicData>
            </a:graphic>
          </wp:anchor>
        </w:drawing>
      </w:r>
    </w:p>
    <w:p>
      <w:pPr>
        <w:spacing w:after="0" w:line="74"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The weighted average grant date fair value of options granted to employees was $18.56, $24.74, and $7.97 per share during the years ended December 31, 2022, 2021 and 2020, respectively. The total intrinsic value of options exercised during the years ended December 31, 2022, 2021 and 2020 was $22.2 million, $61.0 million, and $8.2 million, respectively. The intrinsic value is the difference between the fair value of the Company’s common stock at the time of exercise and the exercise price of the stock option.</w:t>
      </w:r>
    </w:p>
    <w:p>
      <w:pPr>
        <w:spacing w:after="0" w:line="79" w:lineRule="exact"/>
        <w:rPr>
          <w:sz w:val="20"/>
          <w:szCs w:val="20"/>
          <w:color w:val="auto"/>
        </w:rPr>
      </w:pPr>
    </w:p>
    <w:p>
      <w:pPr>
        <w:jc w:val="both"/>
        <w:ind w:right="240" w:firstLine="749"/>
        <w:spacing w:after="0" w:line="263" w:lineRule="auto"/>
        <w:rPr>
          <w:sz w:val="20"/>
          <w:szCs w:val="20"/>
          <w:color w:val="auto"/>
        </w:rPr>
      </w:pPr>
      <w:r>
        <w:rPr>
          <w:rFonts w:ascii="Arial" w:cs="Arial" w:eastAsia="Arial" w:hAnsi="Arial"/>
          <w:sz w:val="18"/>
          <w:szCs w:val="18"/>
          <w:color w:val="auto"/>
        </w:rPr>
        <w:t>The total fair value of options that vested during the years ended December 31, 2022, 2021 and 2020 was $6.1 million, $24.5 million and $3.3 million, respectively. As of December 31, 2022, the total unrecognized stock-based compensation expense related to the stock options was $8.0 million, which will be recognized over a weighted-average period of 1.89 years.</w:t>
      </w:r>
    </w:p>
    <w:p>
      <w:pPr>
        <w:spacing w:after="0" w:line="76"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As of December 31, 2020, the Company had 1,933,000 shares of outstanding stock options with performance- and market-based vesting conditions. The options were scheduled to vest over the requisite service period if the Company achieved both (i) a performance condition tied to a liquidity event, which included the effectiveness of an IPO, and (ii) certain market conditions, provided the grantee was providing services on the date of the event. For the years ended December 31, 2021 and 2020, the Company recorded stock-based compensation expense of $4.3 million and $18.5 million, respectively, related to these stock options. No such expense was recorded for the year ended December 31, 2022 as all outstanding options with these conditions were fully vested and related stock-based compensation was recognized in full in 2021.</w:t>
      </w:r>
    </w:p>
    <w:p>
      <w:pPr>
        <w:spacing w:after="0" w:line="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fair value of each stock option grant is estimated on the date of grant using the following assumptions for the periods indicated: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Years Ended December 31,</w:t>
            </w:r>
          </w:p>
        </w:tc>
      </w:tr>
      <w:tr>
        <w:trPr>
          <w:trHeight w:val="239"/>
        </w:trPr>
        <w:tc>
          <w:tcPr>
            <w:tcW w:w="6980" w:type="dxa"/>
            <w:vAlign w:val="bottom"/>
          </w:tcPr>
          <w:p>
            <w:pPr>
              <w:spacing w:after="0"/>
              <w:rPr>
                <w:sz w:val="20"/>
                <w:szCs w:val="20"/>
                <w:color w:val="auto"/>
              </w:rPr>
            </w:pPr>
          </w:p>
        </w:tc>
        <w:tc>
          <w:tcPr>
            <w:tcW w:w="100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2022</w:t>
            </w:r>
          </w:p>
        </w:tc>
        <w:tc>
          <w:tcPr>
            <w:tcW w:w="18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2020</w:t>
            </w:r>
          </w:p>
        </w:tc>
      </w:tr>
      <w:tr>
        <w:trPr>
          <w:trHeight w:val="241"/>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000" w:type="dxa"/>
            <w:vAlign w:val="bottom"/>
            <w:tcBorders>
              <w:top w:val="single" w:sz="8" w:color="auto"/>
            </w:tcBorders>
            <w:shd w:val="clear" w:color="auto" w:fill="CFF0FC"/>
          </w:tcPr>
          <w:p>
            <w:pPr>
              <w:jc w:val="center"/>
              <w:ind w:left="250"/>
              <w:spacing w:after="0"/>
              <w:rPr>
                <w:sz w:val="20"/>
                <w:szCs w:val="20"/>
                <w:color w:val="auto"/>
              </w:rPr>
            </w:pPr>
            <w:r>
              <w:rPr>
                <w:rFonts w:ascii="Arial" w:cs="Arial" w:eastAsia="Arial" w:hAnsi="Arial"/>
                <w:sz w:val="18"/>
                <w:szCs w:val="18"/>
                <w:color w:val="auto"/>
                <w:w w:val="85"/>
              </w:rPr>
              <w:t>6.08</w:t>
            </w:r>
          </w:p>
        </w:tc>
        <w:tc>
          <w:tcPr>
            <w:tcW w:w="3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6.08</w:t>
            </w:r>
          </w:p>
        </w:tc>
        <w:tc>
          <w:tcPr>
            <w:tcW w:w="16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5.06 – 10.00</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center"/>
              <w:ind w:left="250"/>
              <w:spacing w:after="0"/>
              <w:rPr>
                <w:sz w:val="20"/>
                <w:szCs w:val="20"/>
                <w:color w:val="auto"/>
              </w:rPr>
            </w:pPr>
            <w:r>
              <w:rPr>
                <w:rFonts w:ascii="Arial" w:cs="Arial" w:eastAsia="Arial" w:hAnsi="Arial"/>
                <w:sz w:val="18"/>
                <w:szCs w:val="18"/>
                <w:color w:val="auto"/>
                <w:w w:val="90"/>
              </w:rPr>
              <w:t>55.0%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53.9%</w:t>
            </w:r>
          </w:p>
        </w:tc>
        <w:tc>
          <w:tcPr>
            <w:tcW w:w="720" w:type="dxa"/>
            <w:vAlign w:val="bottom"/>
          </w:tcPr>
          <w:p>
            <w:pPr>
              <w:ind w:left="20"/>
              <w:spacing w:after="0"/>
              <w:rPr>
                <w:sz w:val="20"/>
                <w:szCs w:val="20"/>
                <w:color w:val="auto"/>
              </w:rPr>
            </w:pPr>
            <w:r>
              <w:rPr>
                <w:rFonts w:ascii="Arial" w:cs="Arial" w:eastAsia="Arial" w:hAnsi="Arial"/>
                <w:sz w:val="18"/>
                <w:szCs w:val="18"/>
                <w:color w:val="auto"/>
              </w:rPr>
              <w:t>– 55.3%</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52.1% – 62.7%</w:t>
            </w:r>
          </w:p>
        </w:tc>
      </w:tr>
      <w:tr>
        <w:trPr>
          <w:trHeight w:val="249"/>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FF0FC"/>
          </w:tcPr>
          <w:p>
            <w:pPr>
              <w:jc w:val="center"/>
              <w:ind w:left="250"/>
              <w:spacing w:after="0"/>
              <w:rPr>
                <w:sz w:val="20"/>
                <w:szCs w:val="20"/>
                <w:color w:val="auto"/>
              </w:rPr>
            </w:pPr>
            <w:r>
              <w:rPr>
                <w:rFonts w:ascii="Arial" w:cs="Arial" w:eastAsia="Arial" w:hAnsi="Arial"/>
                <w:sz w:val="18"/>
                <w:szCs w:val="18"/>
                <w:color w:val="auto"/>
                <w:w w:val="90"/>
              </w:rPr>
              <w:t>1.74%</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1.36%</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0.35% – 1.54%</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00" w:type="dxa"/>
            <w:vAlign w:val="bottom"/>
          </w:tcPr>
          <w:p>
            <w:pPr>
              <w:jc w:val="center"/>
              <w:ind w:left="230"/>
              <w:spacing w:after="0"/>
              <w:rPr>
                <w:sz w:val="20"/>
                <w:szCs w:val="20"/>
                <w:color w:val="auto"/>
              </w:rPr>
            </w:pPr>
            <w:r>
              <w:rPr>
                <w:rFonts w:ascii="Arial" w:cs="Arial" w:eastAsia="Arial" w:hAnsi="Arial"/>
                <w:sz w:val="18"/>
                <w:szCs w:val="18"/>
                <w:color w:val="auto"/>
                <w:w w:val="92"/>
              </w:rPr>
              <w:t>0%</w:t>
            </w:r>
          </w:p>
        </w:tc>
        <w:tc>
          <w:tcPr>
            <w:tcW w:w="1800" w:type="dxa"/>
            <w:vAlign w:val="bottom"/>
            <w:gridSpan w:val="4"/>
          </w:tcPr>
          <w:p>
            <w:pPr>
              <w:jc w:val="right"/>
              <w:ind w:right="45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The Company issues RSUs and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spacing w:after="0" w:line="76"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RSUs with a service-based vesting condition granted to a grantee prior to February 2022 generally vest at a rate of 25% on the first anniversary of the original vesting date, with the balance vesting quarterly over the remaining three years.</w:t>
      </w:r>
    </w:p>
    <w:p>
      <w:pPr>
        <w:spacing w:after="0" w:line="80"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In 2022, the Company issued a mix of 50% PSUs and 50% RSUs to its CEO, and a mix of 20% PSUs and 80% RSUs to its other executive officers and certain other senior leaders. These PSUs are earned and vest over performance and vesting periods extending through 2024 based on achievement against two metrics: (1) an operational metric tied to the number of patients treating at home on Tablo as of the end of 2023, with 50% of earned units vesting after certification of the achievement level following the end of 2023 and the remaining 50% of earned units vesting at the end of 2024 (performance-based vesting conditions, referred to as the Home PSUs) and (2) the Company's relative total stockholder return (relative TSR) over a two-year performance period as compared to companies in a pre-determined index of medical device companies, with 100% of earned units vesting at the end of 2024 (market-based vesting conditions, referred to as the Relative TSR PSUs). The number of units earned at the end of the 2023 will vary, based on actual performance, from 0% to 200% (to 250% for the CEO) of the target number of the Home PSUs granted. The number of units earned at the end of the two-year period will vary, based on actual performance, from 75% to 150% (to 250% for the CEO) of the target number of the Relative TSR PSUs granted.</w:t>
      </w:r>
    </w:p>
    <w:p>
      <w:pPr>
        <w:spacing w:after="0" w:line="58"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 grant date for these Home PSUs is not considered established until the Compensation Committee of the Board approves the target and it is communicated to the award recipients, which then triggers the service inception date, the fair value of the awards, and the associated expense recognition period. The 2023 target for the Home PSUs was not determined and approved by the Compensation Committee of the Board until January 2023. Therefore, no expense was recognized for these Home PSUs in 2022.</w:t>
      </w:r>
    </w:p>
    <w:p>
      <w:pPr>
        <w:spacing w:after="0" w:line="79" w:lineRule="exact"/>
        <w:rPr>
          <w:sz w:val="20"/>
          <w:szCs w:val="20"/>
          <w:color w:val="auto"/>
        </w:rPr>
      </w:pPr>
    </w:p>
    <w:p>
      <w:pPr>
        <w:ind w:right="320" w:firstLine="749"/>
        <w:spacing w:after="0" w:line="311" w:lineRule="auto"/>
        <w:rPr>
          <w:sz w:val="20"/>
          <w:szCs w:val="20"/>
          <w:color w:val="auto"/>
        </w:rPr>
      </w:pPr>
      <w:r>
        <w:rPr>
          <w:rFonts w:ascii="Arial" w:cs="Arial" w:eastAsia="Arial" w:hAnsi="Arial"/>
          <w:sz w:val="16"/>
          <w:szCs w:val="16"/>
          <w:color w:val="auto"/>
        </w:rPr>
        <w:t>During 2021 and 2020, the Company issued PSUs that vest upon the achievement of specified revenue targets (performance-based vesting conditions) or specified market stock prices (market-based vesting conditions) and continued performance of services. Certain PSUs with performance-based vesting conditions vest in a range between 0% and 200% of the units approved based on the performance relative to specified revenue targets.</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Restricted stock activity was as follows (in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Weighted-Average</w:t>
            </w:r>
          </w:p>
        </w:tc>
        <w:tc>
          <w:tcPr>
            <w:tcW w:w="10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Restricted</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Performance</w:t>
            </w:r>
          </w:p>
        </w:tc>
        <w:tc>
          <w:tcPr>
            <w:tcW w:w="220" w:type="dxa"/>
            <w:vAlign w:val="bottom"/>
          </w:tcPr>
          <w:p>
            <w:pPr>
              <w:spacing w:after="0"/>
              <w:rPr>
                <w:sz w:val="18"/>
                <w:szCs w:val="18"/>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Grant Date Fair</w:t>
            </w:r>
          </w:p>
        </w:tc>
        <w:tc>
          <w:tcPr>
            <w:tcW w:w="100" w:type="dxa"/>
            <w:vAlign w:val="bottom"/>
          </w:tcPr>
          <w:p>
            <w:pPr>
              <w:spacing w:after="0"/>
              <w:rPr>
                <w:sz w:val="18"/>
                <w:szCs w:val="18"/>
                <w:color w:val="auto"/>
              </w:rPr>
            </w:pPr>
          </w:p>
        </w:tc>
      </w:tr>
      <w:tr>
        <w:trPr>
          <w:trHeight w:val="248"/>
        </w:trPr>
        <w:tc>
          <w:tcPr>
            <w:tcW w:w="60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Stock Units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Units</w:t>
            </w: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Value Per Share</w:t>
            </w:r>
          </w:p>
        </w:tc>
        <w:tc>
          <w:tcPr>
            <w:tcW w:w="100" w:type="dxa"/>
            <w:vAlign w:val="bottom"/>
          </w:tcPr>
          <w:p>
            <w:pPr>
              <w:spacing w:after="0"/>
              <w:rPr>
                <w:sz w:val="21"/>
                <w:szCs w:val="21"/>
                <w:color w:val="auto"/>
              </w:rPr>
            </w:pPr>
          </w:p>
        </w:tc>
      </w:tr>
      <w:tr>
        <w:trPr>
          <w:trHeight w:val="232"/>
        </w:trPr>
        <w:tc>
          <w:tcPr>
            <w:tcW w:w="60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(RSU)</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(PSU)</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RSU</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PSU</w:t>
            </w:r>
          </w:p>
        </w:tc>
        <w:tc>
          <w:tcPr>
            <w:tcW w:w="100" w:type="dxa"/>
            <w:vAlign w:val="bottom"/>
          </w:tcPr>
          <w:p>
            <w:pPr>
              <w:spacing w:after="0"/>
              <w:rPr>
                <w:sz w:val="20"/>
                <w:szCs w:val="20"/>
                <w:color w:val="auto"/>
              </w:rPr>
            </w:pPr>
          </w:p>
        </w:tc>
      </w:tr>
      <w:tr>
        <w:trPr>
          <w:trHeight w:val="241"/>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w:t>
            </w:r>
          </w:p>
        </w:tc>
        <w:tc>
          <w:tcPr>
            <w:tcW w:w="100" w:type="dxa"/>
            <w:vAlign w:val="bottom"/>
            <w:shd w:val="clear" w:color="auto" w:fill="CFF0FC"/>
          </w:tcPr>
          <w:p>
            <w:pPr>
              <w:spacing w:after="0"/>
              <w:rPr>
                <w:sz w:val="20"/>
                <w:szCs w:val="20"/>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1,431</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0"/>
                <w:szCs w:val="20"/>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(224 )</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w:t>
            </w:r>
          </w:p>
        </w:tc>
        <w:tc>
          <w:tcPr>
            <w:tcW w:w="100" w:type="dxa"/>
            <w:vAlign w:val="bottom"/>
            <w:shd w:val="clear" w:color="auto" w:fill="CFF0FC"/>
          </w:tcPr>
          <w:p>
            <w:pPr>
              <w:spacing w:after="0"/>
              <w:rPr>
                <w:sz w:val="21"/>
                <w:szCs w:val="2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(177 )</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1"/>
                <w:szCs w:val="21"/>
                <w:color w:val="auto"/>
              </w:rPr>
            </w:pPr>
          </w:p>
        </w:tc>
      </w:tr>
      <w:tr>
        <w:trPr>
          <w:trHeight w:val="277"/>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48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total grant date fair value of restricted stock vested for the years ended December 31, 2022, 2021 and 2020 were $9.9 million, $1.0 million, and $0.2 million, respectively. As of December 31, 2022, the total unrecognized stock-based compensation expense related to the restricted stock was $45.5 million, which will be recognized over a weighted-average period of 2.18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Stock Purchase Plan (ESPP)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ind w:right="20" w:firstLine="749"/>
        <w:spacing w:after="0" w:line="255" w:lineRule="auto"/>
        <w:rPr>
          <w:sz w:val="20"/>
          <w:szCs w:val="20"/>
          <w:color w:val="auto"/>
        </w:rPr>
      </w:pPr>
      <w:r>
        <w:rPr>
          <w:rFonts w:ascii="Arial" w:cs="Arial" w:eastAsia="Arial" w:hAnsi="Arial"/>
          <w:sz w:val="18"/>
          <w:szCs w:val="18"/>
          <w:color w:val="auto"/>
        </w:rPr>
        <w:t>In 2020, the Company adopted the ESPP. The Company initially reserved 687,000 shares of common stock for purchase under the ESPP. In addition, the number of shares of common stock available for issuance under the ESPP increases automatically on the first day of each fiscal year until (and including) the fiscal year ending December 31, 2030, with such annual increase equal to the lesser of (i) 687,000 shares, (ii) 1% of the number of common stock issued and outstanding on December 31 of the immediately preceding fiscal year, and (iii) an amount determined by the Company’s board of directors. As of December 31, 2022, 1,278,000 shares of common stock were reserved for issuance in connection with the current and future offering periods under the ESPP.</w:t>
      </w:r>
    </w:p>
    <w:p>
      <w:pPr>
        <w:spacing w:after="0" w:line="84"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Subject to any limitations contained therein, the ESPP allows eligible participants to contribute, through payroll deductions, up to 15% of their eligible compensation to purchase the Company’s common stock at a purchase price equal to 85% of the fair market value of the common stock on the first day of the offering period or purchase date, whichever is lower. The ESPP generally provides for consecutive 6-month offering periods. Effective beginning with the offering period commencing on March 1, 2022, the ESPP allows eligible participants to purchase shares pursuant to a cashless exercise program, and the duration for each offering period is a 24-month period consisting of four separate consecutive purchase periods of approximately six months in length. This includes a two-year look-back feature in the ESPP, with a reset feature, which causes the offering period to reset if the fair value of the Company’s common stock on the first day of a new offering period is less than that on the original offering date.</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grant date fair value and assumptions used in estimating the fair value of the stock purchase rights under the ESPP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w w:val="93"/>
              </w:rPr>
              <w:t>Years Ended December 31,</w:t>
            </w:r>
          </w:p>
        </w:tc>
        <w:tc>
          <w:tcPr>
            <w:tcW w:w="980" w:type="dxa"/>
            <w:vAlign w:val="bottom"/>
            <w:tcBorders>
              <w:bottom w:val="single" w:sz="8" w:color="auto"/>
            </w:tcBorders>
          </w:tcPr>
          <w:p>
            <w:pPr>
              <w:spacing w:after="0"/>
              <w:rPr>
                <w:sz w:val="20"/>
                <w:szCs w:val="20"/>
                <w:color w:val="auto"/>
              </w:rPr>
            </w:pPr>
          </w:p>
        </w:tc>
      </w:tr>
      <w:tr>
        <w:trPr>
          <w:trHeight w:val="239"/>
        </w:trPr>
        <w:tc>
          <w:tcPr>
            <w:tcW w:w="698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15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2020</w:t>
            </w:r>
          </w:p>
        </w:tc>
      </w:tr>
      <w:tr>
        <w:trPr>
          <w:trHeight w:val="241"/>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7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2.00</w:t>
            </w:r>
          </w:p>
        </w:tc>
        <w:tc>
          <w:tcPr>
            <w:tcW w:w="120" w:type="dxa"/>
            <w:vAlign w:val="bottom"/>
            <w:shd w:val="clear" w:color="auto" w:fill="CFF0FC"/>
          </w:tcPr>
          <w:p>
            <w:pPr>
              <w:spacing w:after="0"/>
              <w:rPr>
                <w:sz w:val="20"/>
                <w:szCs w:val="20"/>
                <w:color w:val="auto"/>
              </w:rPr>
            </w:pPr>
          </w:p>
        </w:tc>
        <w:tc>
          <w:tcPr>
            <w:tcW w:w="138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1"/>
              </w:rPr>
              <w:t>0.50</w:t>
            </w: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center"/>
              <w:ind w:right="250"/>
              <w:spacing w:after="0"/>
              <w:rPr>
                <w:sz w:val="20"/>
                <w:szCs w:val="20"/>
                <w:color w:val="auto"/>
              </w:rPr>
            </w:pPr>
            <w:r>
              <w:rPr>
                <w:rFonts w:ascii="Arial" w:cs="Arial" w:eastAsia="Arial" w:hAnsi="Arial"/>
                <w:sz w:val="18"/>
                <w:szCs w:val="18"/>
                <w:color w:val="auto"/>
                <w:w w:val="91"/>
              </w:rPr>
              <w:t>0.47</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rPr>
              <w:t>41.1%</w:t>
            </w:r>
          </w:p>
        </w:tc>
        <w:tc>
          <w:tcPr>
            <w:tcW w:w="740" w:type="dxa"/>
            <w:vAlign w:val="bottom"/>
          </w:tcPr>
          <w:p>
            <w:pPr>
              <w:ind w:left="20"/>
              <w:spacing w:after="0"/>
              <w:rPr>
                <w:sz w:val="20"/>
                <w:szCs w:val="20"/>
                <w:color w:val="auto"/>
              </w:rPr>
            </w:pPr>
            <w:r>
              <w:rPr>
                <w:rFonts w:ascii="Arial" w:cs="Arial" w:eastAsia="Arial" w:hAnsi="Arial"/>
                <w:sz w:val="18"/>
                <w:szCs w:val="18"/>
                <w:color w:val="auto"/>
              </w:rPr>
              <w:t>– 58.0%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 43.8%</w:t>
            </w:r>
          </w:p>
        </w:tc>
        <w:tc>
          <w:tcPr>
            <w:tcW w:w="980" w:type="dxa"/>
            <w:vAlign w:val="bottom"/>
          </w:tcPr>
          <w:p>
            <w:pPr>
              <w:jc w:val="center"/>
              <w:ind w:right="230"/>
              <w:spacing w:after="0"/>
              <w:rPr>
                <w:sz w:val="20"/>
                <w:szCs w:val="20"/>
                <w:color w:val="auto"/>
              </w:rPr>
            </w:pPr>
            <w:r>
              <w:rPr>
                <w:rFonts w:ascii="Arial" w:cs="Arial" w:eastAsia="Arial" w:hAnsi="Arial"/>
                <w:sz w:val="18"/>
                <w:szCs w:val="18"/>
                <w:color w:val="auto"/>
                <w:w w:val="90"/>
              </w:rPr>
              <w:t>57.0%</w:t>
            </w:r>
          </w:p>
        </w:tc>
      </w:tr>
      <w:tr>
        <w:trPr>
          <w:trHeight w:val="249"/>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0.6% – 3.48%</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0.07%</w:t>
            </w:r>
          </w:p>
        </w:tc>
        <w:tc>
          <w:tcPr>
            <w:tcW w:w="980" w:type="dxa"/>
            <w:vAlign w:val="bottom"/>
            <w:shd w:val="clear" w:color="auto" w:fill="CFF0FC"/>
          </w:tcPr>
          <w:p>
            <w:pPr>
              <w:jc w:val="center"/>
              <w:ind w:right="230"/>
              <w:spacing w:after="0"/>
              <w:rPr>
                <w:sz w:val="20"/>
                <w:szCs w:val="20"/>
                <w:color w:val="auto"/>
              </w:rPr>
            </w:pPr>
            <w:r>
              <w:rPr>
                <w:rFonts w:ascii="Arial" w:cs="Arial" w:eastAsia="Arial" w:hAnsi="Arial"/>
                <w:sz w:val="18"/>
                <w:szCs w:val="18"/>
                <w:color w:val="auto"/>
                <w:w w:val="90"/>
              </w:rPr>
              <w:t>0.12%</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5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center"/>
              <w:ind w:right="250"/>
              <w:spacing w:after="0"/>
              <w:rPr>
                <w:sz w:val="20"/>
                <w:szCs w:val="20"/>
                <w:color w:val="auto"/>
              </w:rPr>
            </w:pPr>
            <w:r>
              <w:rPr>
                <w:rFonts w:ascii="Arial" w:cs="Arial" w:eastAsia="Arial" w:hAnsi="Arial"/>
                <w:sz w:val="18"/>
                <w:szCs w:val="18"/>
                <w:color w:val="auto"/>
                <w:w w:val="92"/>
              </w:rPr>
              <w:t>0%</w:t>
            </w:r>
          </w:p>
        </w:tc>
      </w:tr>
      <w:tr>
        <w:trPr>
          <w:trHeight w:val="249"/>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Date Fair Value</w:t>
            </w:r>
          </w:p>
        </w:tc>
        <w:tc>
          <w:tcPr>
            <w:tcW w:w="1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$4.89–$16.23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12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$13.95</w:t>
            </w:r>
          </w:p>
        </w:tc>
        <w:tc>
          <w:tcPr>
            <w:tcW w:w="980" w:type="dxa"/>
            <w:vAlign w:val="bottom"/>
            <w:shd w:val="clear" w:color="auto" w:fill="CFF0FC"/>
          </w:tcPr>
          <w:p>
            <w:pPr>
              <w:jc w:val="center"/>
              <w:ind w:right="250"/>
              <w:spacing w:after="0"/>
              <w:rPr>
                <w:sz w:val="20"/>
                <w:szCs w:val="20"/>
                <w:color w:val="auto"/>
              </w:rPr>
            </w:pPr>
            <w:r>
              <w:rPr>
                <w:rFonts w:ascii="Arial" w:cs="Arial" w:eastAsia="Arial" w:hAnsi="Arial"/>
                <w:sz w:val="18"/>
                <w:szCs w:val="18"/>
                <w:color w:val="auto"/>
                <w:w w:val="88"/>
              </w:rPr>
              <w:t>$8.00</w:t>
            </w:r>
          </w:p>
        </w:tc>
      </w:tr>
    </w:tbl>
    <w:p>
      <w:pPr>
        <w:spacing w:after="0" w:line="94" w:lineRule="exact"/>
        <w:rPr>
          <w:sz w:val="20"/>
          <w:szCs w:val="20"/>
          <w:color w:val="auto"/>
        </w:rPr>
      </w:pPr>
    </w:p>
    <w:p>
      <w:pPr>
        <w:ind w:right="620" w:firstLine="749"/>
        <w:spacing w:after="0" w:line="277" w:lineRule="auto"/>
        <w:rPr>
          <w:sz w:val="20"/>
          <w:szCs w:val="20"/>
          <w:color w:val="auto"/>
        </w:rPr>
      </w:pPr>
      <w:r>
        <w:rPr>
          <w:rFonts w:ascii="Arial" w:cs="Arial" w:eastAsia="Arial" w:hAnsi="Arial"/>
          <w:sz w:val="18"/>
          <w:szCs w:val="18"/>
          <w:color w:val="auto"/>
        </w:rPr>
        <w:t>As of December 31, 2022, the total unrecognized stock-based compensation expense related to the ESPP was $6.0 million, which will be recognized over a weighted-average period of 0.95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stock-based compensation expense included in the Company’s statements of operations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9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9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17,445</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21,439</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40" w:type="dxa"/>
            <w:vAlign w:val="bottom"/>
          </w:tcPr>
          <w:p>
            <w:pPr>
              <w:jc w:val="right"/>
              <w:ind w:right="69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-522605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-505460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-522605</wp:posOffset>
            </wp:positionV>
            <wp:extent cx="596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-505460</wp:posOffset>
            </wp:positionV>
            <wp:extent cx="596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-522605</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9. Income Taxes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80" w:type="dxa"/>
            <w:vAlign w:val="bottom"/>
          </w:tcPr>
          <w:p>
            <w:pPr>
              <w:spacing w:after="0"/>
              <w:rPr>
                <w:sz w:val="24"/>
                <w:szCs w:val="24"/>
                <w:color w:val="auto"/>
              </w:rPr>
            </w:pPr>
          </w:p>
        </w:tc>
        <w:tc>
          <w:tcPr>
            <w:tcW w:w="7200" w:type="dxa"/>
            <w:vAlign w:val="bottom"/>
            <w:gridSpan w:val="4"/>
          </w:tcPr>
          <w:p>
            <w:pPr>
              <w:ind w:left="180"/>
              <w:spacing w:after="0"/>
              <w:rPr>
                <w:sz w:val="20"/>
                <w:szCs w:val="20"/>
                <w:color w:val="auto"/>
              </w:rPr>
            </w:pPr>
            <w:r>
              <w:rPr>
                <w:rFonts w:ascii="Arial" w:cs="Arial" w:eastAsia="Arial" w:hAnsi="Arial"/>
                <w:sz w:val="18"/>
                <w:szCs w:val="18"/>
                <w:color w:val="auto"/>
                <w:w w:val="92"/>
              </w:rPr>
              <w:t>Loss before provision for income taxes were as follows for the periods indicated (in thousands):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5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(153,226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(128,400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(121,492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(9,435 )</w:t>
            </w:r>
          </w:p>
        </w:tc>
        <w:tc>
          <w:tcPr>
            <w:tcW w:w="28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(3,336 )</w:t>
            </w:r>
          </w:p>
        </w:tc>
        <w:tc>
          <w:tcPr>
            <w:tcW w:w="30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83"/>
        </w:trPr>
        <w:tc>
          <w:tcPr>
            <w:tcW w:w="580" w:type="dxa"/>
            <w:vAlign w:val="bottom"/>
          </w:tcPr>
          <w:p>
            <w:pPr>
              <w:spacing w:after="0"/>
              <w:rPr>
                <w:sz w:val="24"/>
                <w:szCs w:val="24"/>
                <w:color w:val="auto"/>
              </w:rPr>
            </w:pPr>
          </w:p>
        </w:tc>
        <w:tc>
          <w:tcPr>
            <w:tcW w:w="5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(162,661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(131,736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The provision for income taxes were $0.3 million and $0.2 million for the years ended December 31, 2022 and 2021, respectively, which primarily related to foreign income taxes in Mexico. For the year ended December 31, 2020, the provision for income taxes was insignificant. The Company has incurred net operating losses for all periods presented. The Company has not reflected any benefit of such net operating loss carryforwards in the financial statements. The Company has established a full valuation allowance against its deferred tax assets due to the uncertainty surrounding the realization of such assets.</w:t>
      </w:r>
    </w:p>
    <w:p>
      <w:pPr>
        <w:spacing w:after="0" w:line="80"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The effective tax rate differs from the federal statutory income tax rate applied to the loss before provision for income taxes and tax due to the following:</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Years Ended December 31,</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39"/>
        </w:trPr>
        <w:tc>
          <w:tcPr>
            <w:tcW w:w="540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6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r>
      <w:tr>
        <w:trPr>
          <w:trHeight w:val="241"/>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State taxes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0"/>
                <w:szCs w:val="20"/>
                <w:color w:val="auto"/>
              </w:rPr>
            </w:pPr>
          </w:p>
        </w:tc>
        <w:tc>
          <w:tcPr>
            <w:tcW w:w="1620" w:type="dxa"/>
            <w:vAlign w:val="bottom"/>
            <w:gridSpan w:val="2"/>
          </w:tcPr>
          <w:p>
            <w:pPr>
              <w:jc w:val="right"/>
              <w:ind w:right="1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(26.1 )</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(22.8 )</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(23.3 )</w:t>
            </w:r>
          </w:p>
        </w:tc>
        <w:tc>
          <w:tcPr>
            <w:tcW w:w="20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Federal and state tax credits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162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Non-deductible permanent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c>
          <w:tcPr>
            <w:tcW w:w="20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(0.2 )</w:t>
            </w:r>
          </w:p>
        </w:tc>
        <w:tc>
          <w:tcPr>
            <w:tcW w:w="20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Effect of deferred tax adjustment</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20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(1.9 )</w:t>
            </w:r>
          </w:p>
        </w:tc>
        <w:tc>
          <w:tcPr>
            <w:tcW w:w="20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200" w:type="dxa"/>
            <w:vAlign w:val="bottom"/>
          </w:tcPr>
          <w:p>
            <w:pPr>
              <w:spacing w:after="0"/>
              <w:rPr>
                <w:sz w:val="20"/>
                <w:szCs w:val="20"/>
                <w:color w:val="auto"/>
              </w:rPr>
            </w:pPr>
          </w:p>
        </w:tc>
      </w:tr>
      <w:tr>
        <w:trPr>
          <w:trHeight w:val="283"/>
        </w:trPr>
        <w:tc>
          <w:tcPr>
            <w:tcW w:w="5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Effective income tax rate</w:t>
            </w:r>
          </w:p>
        </w:tc>
        <w:tc>
          <w:tcPr>
            <w:tcW w:w="1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(0.2 ) %</w:t>
            </w:r>
          </w:p>
        </w:tc>
        <w:tc>
          <w:tcPr>
            <w:tcW w:w="12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(0.2 ) %</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ind w:right="40" w:firstLine="749"/>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amounts recorded for financial reporting purposes and amounts used for tax purposes. The major components of deferred tax assets and liabilities were as follows as of the dates indicated (in thousands):</w:t>
      </w: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78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131,705</w:t>
            </w:r>
          </w:p>
        </w:tc>
        <w:tc>
          <w:tcPr>
            <w:tcW w:w="3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102,094</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Tax credits</w:t>
            </w:r>
          </w:p>
        </w:tc>
        <w:tc>
          <w:tcPr>
            <w:tcW w:w="1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14,172</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Accrual and reserves</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Tangible and intangible assets</w:t>
            </w:r>
          </w:p>
        </w:tc>
        <w:tc>
          <w:tcPr>
            <w:tcW w:w="1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4,686</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Capitalized research costs</w:t>
            </w:r>
          </w:p>
        </w:tc>
        <w:tc>
          <w:tcPr>
            <w:tcW w:w="1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25,730</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Other deferred tax asset</w:t>
            </w:r>
          </w:p>
        </w:tc>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0"/>
                <w:szCs w:val="20"/>
                <w:color w:val="auto"/>
              </w:rPr>
            </w:pPr>
          </w:p>
        </w:tc>
      </w:tr>
      <w:tr>
        <w:trPr>
          <w:trHeight w:val="243"/>
        </w:trPr>
        <w:tc>
          <w:tcPr>
            <w:tcW w:w="5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Gross deferred tax assets</w:t>
            </w:r>
          </w:p>
        </w:tc>
        <w:tc>
          <w:tcPr>
            <w:tcW w:w="1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185,821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143,486</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(184,298 )</w:t>
            </w:r>
          </w:p>
        </w:tc>
        <w:tc>
          <w:tcPr>
            <w:tcW w:w="5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(141,729 )</w:t>
            </w:r>
          </w:p>
        </w:tc>
      </w:tr>
      <w:tr>
        <w:trPr>
          <w:trHeight w:val="276"/>
        </w:trPr>
        <w:tc>
          <w:tcPr>
            <w:tcW w:w="57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deferred tax assets</w:t>
            </w:r>
          </w:p>
        </w:tc>
        <w:tc>
          <w:tcPr>
            <w:tcW w:w="1240" w:type="dxa"/>
            <w:vAlign w:val="bottom"/>
            <w:tcBorders>
              <w:top w:val="single" w:sz="8" w:color="auto"/>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3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1491615" cy="5054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91615" cy="50546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3660" w:type="dxa"/>
            <w:vAlign w:val="bottom"/>
            <w:shd w:val="clear" w:color="auto" w:fill="CFF0FC"/>
          </w:tcPr>
          <w:p>
            <w:pPr>
              <w:jc w:val="center"/>
              <w:ind w:right="1790"/>
              <w:spacing w:after="0"/>
              <w:rPr>
                <w:sz w:val="20"/>
                <w:szCs w:val="20"/>
                <w:color w:val="auto"/>
              </w:rPr>
            </w:pPr>
            <w:r>
              <w:rPr>
                <w:rFonts w:ascii="Arial" w:cs="Arial" w:eastAsia="Arial" w:hAnsi="Arial"/>
                <w:sz w:val="18"/>
                <w:szCs w:val="18"/>
                <w:b w:val="1"/>
                <w:bCs w:val="1"/>
                <w:color w:val="auto"/>
                <w:w w:val="92"/>
              </w:rPr>
              <w:t>Deferred tax liabilities:</w:t>
            </w:r>
          </w:p>
        </w:tc>
        <w:tc>
          <w:tcPr>
            <w:tcW w:w="2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660" w:type="dxa"/>
            <w:vAlign w:val="bottom"/>
          </w:tcPr>
          <w:p>
            <w:pPr>
              <w:jc w:val="center"/>
              <w:ind w:right="1830"/>
              <w:spacing w:after="0"/>
              <w:rPr>
                <w:sz w:val="20"/>
                <w:szCs w:val="20"/>
                <w:color w:val="auto"/>
              </w:rPr>
            </w:pPr>
            <w:r>
              <w:rPr>
                <w:rFonts w:ascii="Arial" w:cs="Arial" w:eastAsia="Arial" w:hAnsi="Arial"/>
                <w:sz w:val="18"/>
                <w:szCs w:val="18"/>
                <w:color w:val="auto"/>
                <w:w w:val="88"/>
              </w:rPr>
              <w:t>Right-of-use assets</w:t>
            </w:r>
          </w:p>
        </w:tc>
        <w:tc>
          <w:tcPr>
            <w:tcW w:w="2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30"/>
              <w:spacing w:after="0"/>
              <w:rPr>
                <w:sz w:val="20"/>
                <w:szCs w:val="20"/>
                <w:color w:val="auto"/>
              </w:rPr>
            </w:pPr>
            <w:r>
              <w:rPr>
                <w:rFonts w:ascii="Arial" w:cs="Arial" w:eastAsia="Arial" w:hAnsi="Arial"/>
                <w:sz w:val="18"/>
                <w:szCs w:val="18"/>
                <w:color w:val="auto"/>
              </w:rPr>
              <w:t>(1,523 )</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(1,757 )</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6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Gross deferred tax liabilities</w:t>
            </w:r>
          </w:p>
        </w:tc>
        <w:tc>
          <w:tcPr>
            <w:tcW w:w="2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20" w:type="dxa"/>
            <w:vAlign w:val="bottom"/>
          </w:tcPr>
          <w:p>
            <w:pPr>
              <w:jc w:val="right"/>
              <w:ind w:right="51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-513715</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-496570</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ind w:right="20" w:firstLine="749"/>
        <w:spacing w:after="0" w:line="275" w:lineRule="auto"/>
        <w:rPr>
          <w:sz w:val="20"/>
          <w:szCs w:val="20"/>
          <w:color w:val="auto"/>
        </w:rPr>
      </w:pPr>
      <w:r>
        <w:rPr>
          <w:rFonts w:ascii="Arial" w:cs="Arial" w:eastAsia="Arial" w:hAnsi="Arial"/>
          <w:sz w:val="17"/>
          <w:szCs w:val="17"/>
          <w:color w:val="auto"/>
        </w:rPr>
        <w:t>Realization of the deferred tax assets is dependent upon future taxable income, if any, the amount and timing of which are uncertain. A valuation allowance is provided when it is not more likely than not that some portion of the deferred tax assets will be realized. Management believes that, based on a number of factors, it is more likely than not that the U.S. federal and state net deferred tax assets will not be fully realized, thus a full valuation allowance has been recorded as of December 31, 2022 and 2021. The change in the valuation allowance during the years ended December 31, 2022, 2021 and 2020 was an increase of $42.6 million, $30.7 million and $28.4 million, respectively.</w:t>
      </w:r>
    </w:p>
    <w:p>
      <w:pPr>
        <w:spacing w:after="0" w:line="68"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Starting in 2022, changes to Internal Revenue Code Section 174 made by the Tax Cuts and Jobs Act of 2017 (the TCJA) no longer permit an immediate deduction for research and development expenditures in the tax year that such costs are incurred. As a result the Company capitalized such costs in its 2022 income tax provision, resulting in an increase in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11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As of December 31, 2022, the Company had a net operating loss carryforward for U.S. federal income tax purposes of $526.8 million. Federal net operating losses of $399.0 million incurred after 2017 do not expire but usage is limited to 80% of taxable income. The remaining $127.8 million of federal net operating loss carryforward will begin to expire in 2024 and continue to expire through 2037. The Company had a total U.S. state net operating loss carryforward of $298.1 million. State net operating losses of $85.3 million do not expire. The remaining state net operating loss carryforward of $212.7 million will begin to expire in 2023 and continue to expire through 2042.</w:t>
      </w:r>
    </w:p>
    <w:p>
      <w:pPr>
        <w:spacing w:after="0" w:line="80"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As of December 31, 2022, the Company had federal research and development credits of $7.8 million, which will begin to expire in 2030 and state research and development credits of $6.4 million which are not currently subject to expiration. Utilization of the operating loss and tax credits may be subject to annual limitation due to the ownership change limitations provided by the Code and similar state provisions. Such an annual limitation could result in the expiration of net operating loss and tax credit carryforwards before utilization.</w:t>
      </w:r>
    </w:p>
    <w:p>
      <w:pPr>
        <w:spacing w:after="0" w:line="79"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Federal and state laws impose substantial restrictions on the utilization of net operating loss and tax credit carryforwards in the event of an ownership change for tax purposes, as defined in Section 382 of the Internal Revenue Code. As a result of such ownership changes, the Company’s ability to realize the potential future benefit of tax losses and tax credits that existed at the time of the ownership change may be significantly reduced. The Company’s deferred tax asset and related valuation allowance would be reduced, as a result. The Company has not performed a Section 382 study to determine the amount of reduction, if any. Unrecognized tax benefits at December 31, 2022 have been recorded as an offset to federal and state research and development credit carryforwards.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reconciliation of the total unrecognized tax benefits for the periods presented was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1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w:t>
            </w:r>
          </w:p>
        </w:tc>
        <w:tc>
          <w:tcPr>
            <w:tcW w:w="4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Increase related to prior years positions</w:t>
            </w: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Decrease related to current year positions</w:t>
            </w:r>
          </w:p>
        </w:tc>
        <w:tc>
          <w:tcPr>
            <w:tcW w:w="1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Increase related to current year positions</w:t>
            </w:r>
          </w:p>
        </w:tc>
        <w:tc>
          <w:tcPr>
            <w:tcW w:w="12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120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4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740" w:type="dxa"/>
            <w:vAlign w:val="bottom"/>
            <w:gridSpan w:val="2"/>
          </w:tcPr>
          <w:p>
            <w:pPr>
              <w:jc w:val="right"/>
              <w:ind w:right="1430"/>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-513715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jc w:val="both"/>
        <w:ind w:right="60" w:firstLine="749"/>
        <w:spacing w:after="0" w:line="277" w:lineRule="auto"/>
        <w:rPr>
          <w:sz w:val="20"/>
          <w:szCs w:val="20"/>
          <w:color w:val="auto"/>
        </w:rPr>
      </w:pPr>
      <w:r>
        <w:rPr>
          <w:rFonts w:ascii="Arial" w:cs="Arial" w:eastAsia="Arial" w:hAnsi="Arial"/>
          <w:sz w:val="18"/>
          <w:szCs w:val="18"/>
          <w:color w:val="auto"/>
        </w:rPr>
        <w:t>The Company does not have any material accrued interest or penalties associated with unrecognized tax benefits. The Company does not believe it is reasonably possible that its unrecognized tax benefits will significantly change within the next twelve months.</w:t>
      </w:r>
    </w:p>
    <w:p>
      <w:pPr>
        <w:spacing w:after="0" w:line="62" w:lineRule="exact"/>
        <w:rPr>
          <w:sz w:val="20"/>
          <w:szCs w:val="20"/>
          <w:color w:val="auto"/>
        </w:rPr>
      </w:pPr>
    </w:p>
    <w:p>
      <w:pPr>
        <w:jc w:val="both"/>
        <w:ind w:right="60" w:firstLine="749"/>
        <w:spacing w:after="0" w:line="263" w:lineRule="auto"/>
        <w:rPr>
          <w:sz w:val="20"/>
          <w:szCs w:val="20"/>
          <w:color w:val="auto"/>
        </w:rPr>
      </w:pPr>
      <w:r>
        <w:rPr>
          <w:rFonts w:ascii="Arial" w:cs="Arial" w:eastAsia="Arial" w:hAnsi="Arial"/>
          <w:sz w:val="18"/>
          <w:szCs w:val="18"/>
          <w:color w:val="auto"/>
        </w:rPr>
        <w:t>The Company files income tax returns in the United States, various U.S. states and Mexico. The Company is not currently under examination by income tax authorities in federal, state or other jurisdictions. All tax returns remain open for examination by federal, state, and foreign authorities for three, four, and five years, respectively, from the date of utilization of any net operating loss or credits.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attributable to common stockholders was as follows (in thousands, except per share amounts):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(162,956 )</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(131,935 )</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(121,492 )</w:t>
            </w: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Adjustment to redemption value on redeemable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convertible preferred stock</w:t>
            </w:r>
          </w:p>
        </w:tc>
        <w:tc>
          <w:tcPr>
            <w:tcW w:w="26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Deemed dividend on settlement of accrued dividend</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20" w:type="dxa"/>
            <w:vAlign w:val="bottom"/>
            <w:shd w:val="clear" w:color="auto" w:fill="CFF0FC"/>
          </w:tcPr>
          <w:p>
            <w:pPr>
              <w:ind w:left="360"/>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(162,956 )</w:t>
            </w:r>
          </w:p>
        </w:tc>
        <w:tc>
          <w:tcPr>
            <w:tcW w:w="140" w:type="dxa"/>
            <w:vAlign w:val="bottom"/>
            <w:shd w:val="clear" w:color="auto" w:fill="CFF0FC"/>
          </w:tcPr>
          <w:p>
            <w:pPr>
              <w:spacing w:after="0"/>
              <w:rPr>
                <w:sz w:val="17"/>
                <w:szCs w:val="17"/>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(131,935 )</w:t>
            </w:r>
          </w:p>
        </w:tc>
        <w:tc>
          <w:tcPr>
            <w:tcW w:w="14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(79,324 )</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basic and diluted</w:t>
            </w:r>
          </w:p>
        </w:tc>
        <w:tc>
          <w:tcPr>
            <w:tcW w:w="260" w:type="dxa"/>
            <w:vAlign w:val="bottom"/>
            <w:vMerge w:val="continue"/>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2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Weighted-average shares of common stock,</w:t>
            </w:r>
          </w:p>
        </w:tc>
        <w:tc>
          <w:tcPr>
            <w:tcW w:w="26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48,161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45,589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180"/>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(3.38 )</w:t>
            </w:r>
          </w:p>
        </w:tc>
        <w:tc>
          <w:tcPr>
            <w:tcW w:w="140" w:type="dxa"/>
            <w:vAlign w:val="bottom"/>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(2.89 )</w:t>
            </w:r>
          </w:p>
        </w:tc>
        <w:tc>
          <w:tcPr>
            <w:tcW w:w="140" w:type="dxa"/>
            <w:vAlign w:val="bottom"/>
          </w:tcPr>
          <w:p>
            <w:pPr>
              <w:spacing w:after="0"/>
              <w:rPr>
                <w:sz w:val="18"/>
                <w:szCs w:val="18"/>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03"/>
        </w:trPr>
        <w:tc>
          <w:tcPr>
            <w:tcW w:w="5920" w:type="dxa"/>
            <w:vAlign w:val="bottom"/>
          </w:tcPr>
          <w:p>
            <w:pPr>
              <w:ind w:left="320"/>
              <w:spacing w:after="0" w:line="203" w:lineRule="exact"/>
              <w:rPr>
                <w:sz w:val="20"/>
                <w:szCs w:val="20"/>
                <w:color w:val="auto"/>
              </w:rPr>
            </w:pPr>
            <w:r>
              <w:rPr>
                <w:rFonts w:ascii="Arial" w:cs="Arial" w:eastAsia="Arial" w:hAnsi="Arial"/>
                <w:sz w:val="18"/>
                <w:szCs w:val="18"/>
                <w:color w:val="auto"/>
              </w:rPr>
              <w:t>basic and diluted</w:t>
            </w:r>
          </w:p>
        </w:tc>
        <w:tc>
          <w:tcPr>
            <w:tcW w:w="2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-1040765</wp:posOffset>
            </wp:positionV>
            <wp:extent cx="6412230" cy="4584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12230" cy="4584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-299720</wp:posOffset>
            </wp:positionV>
            <wp:extent cx="68580" cy="3003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60325" cy="3003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3003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300355"/>
                    </a:xfrm>
                    <a:prstGeom prst="rect">
                      <a:avLst/>
                    </a:prstGeom>
                    <a:noFill/>
                  </pic:spPr>
                </pic:pic>
              </a:graphicData>
            </a:graphic>
          </wp:anchor>
        </w:drawing>
      </w:r>
    </w:p>
    <w:p>
      <w:pPr>
        <w:spacing w:after="0" w:line="74"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due to their anti-dilutive effect (in thousands):</w:t>
      </w:r>
    </w:p>
    <w:p>
      <w:pPr>
        <w:spacing w:after="0" w:line="72"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78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2,602</w:t>
            </w: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18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1,593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Shares committed under ESPP</w:t>
            </w: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Warrant to purchase common stock</w:t>
            </w:r>
          </w:p>
        </w:tc>
        <w:tc>
          <w:tcPr>
            <w:tcW w:w="7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4,395</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4,231</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00" w:type="dxa"/>
            <w:vAlign w:val="bottom"/>
            <w:vMerge w:val="restart"/>
          </w:tcPr>
          <w:p>
            <w:pPr>
              <w:ind w:left="4900"/>
              <w:spacing w:after="0"/>
              <w:rPr>
                <w:sz w:val="20"/>
                <w:szCs w:val="20"/>
                <w:color w:val="auto"/>
              </w:rPr>
            </w:pPr>
            <w:r>
              <w:rPr>
                <w:rFonts w:ascii="Arial" w:cs="Arial" w:eastAsia="Arial" w:hAnsi="Arial"/>
                <w:sz w:val="18"/>
                <w:szCs w:val="18"/>
                <w:color w:val="auto"/>
              </w:rPr>
              <w:t>103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Annual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20" w:firstLine="749"/>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under the Exchange Act. The rules define internal control over financial reporting as a process designed by, or under the supervision of, the Company’s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49" w:lineRule="exact"/>
        <w:rPr>
          <w:sz w:val="20"/>
          <w:szCs w:val="20"/>
          <w:color w:val="auto"/>
        </w:rPr>
      </w:pPr>
    </w:p>
    <w:p>
      <w:pPr>
        <w:ind w:right="100" w:firstLine="749"/>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64"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 - Integrated Framework (2013), our management concluded that our internal control over financial reporting was effective as of December 31, 2022.</w:t>
      </w:r>
    </w:p>
    <w:p>
      <w:pPr>
        <w:spacing w:after="0" w:line="80" w:lineRule="exact"/>
        <w:rPr>
          <w:sz w:val="20"/>
          <w:szCs w:val="20"/>
          <w:color w:val="auto"/>
        </w:rPr>
      </w:pPr>
    </w:p>
    <w:p>
      <w:pPr>
        <w:ind w:right="120" w:firstLine="749"/>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December 31, 2022 has been audited by an independent registered public accounting firm, as stated in their report, which is included under “Item 8. Financial Statements and Supplementary Data” of this Annual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of the Exchange Act) that occurred during the quarter ended December 31, 2022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information required by this Item 10 with respect to executive officers may be found under the heading “Information About Our Executive Officers” in Part I, Item 1 of this Annual Report.</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have adopted a code of conduct applicable to our principal executive, financial and accounting officers and all persons performing similar functions. A copy of our code of conduct is available on our principal corporate website at www.outsetmedical.com in the Investors section under “Corporate Governance”. We intend to post any required disclosures regarding an amendment to, or waiver from, a provision of our code of conduct on the same website.</w:t>
      </w:r>
    </w:p>
    <w:p>
      <w:pPr>
        <w:spacing w:after="0" w:line="79"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remaining information required by this Item 10 is incorporated by reference from the sections entitled “</w:t>
      </w:r>
      <w:r>
        <w:rPr>
          <w:rFonts w:ascii="Arial" w:cs="Arial" w:eastAsia="Arial" w:hAnsi="Arial"/>
          <w:sz w:val="18"/>
          <w:szCs w:val="18"/>
          <w:i w:val="1"/>
          <w:iCs w:val="1"/>
          <w:color w:val="auto"/>
        </w:rPr>
        <w:t>Board and 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“Audit Matters” </w:t>
      </w:r>
      <w:r>
        <w:rPr>
          <w:rFonts w:ascii="Arial" w:cs="Arial" w:eastAsia="Arial" w:hAnsi="Arial"/>
          <w:sz w:val="18"/>
          <w:szCs w:val="18"/>
          <w:color w:val="auto"/>
        </w:rPr>
        <w:t>and “</w:t>
      </w:r>
      <w:r>
        <w:rPr>
          <w:rFonts w:ascii="Arial" w:cs="Arial" w:eastAsia="Arial" w:hAnsi="Arial"/>
          <w:sz w:val="18"/>
          <w:szCs w:val="18"/>
          <w:i w:val="1"/>
          <w:iCs w:val="1"/>
          <w:color w:val="auto"/>
        </w:rPr>
        <w:t>Delinquent Section 16(a) Reports</w:t>
      </w:r>
      <w:r>
        <w:rPr>
          <w:rFonts w:ascii="Arial" w:cs="Arial" w:eastAsia="Arial" w:hAnsi="Arial"/>
          <w:sz w:val="18"/>
          <w:szCs w:val="18"/>
          <w:color w:val="auto"/>
        </w:rPr>
        <w:t>” to be included in our definitive proxy statement to be filed with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in connection with our 2023 Annual Meeting of Stockholders within 120 days of our fiscal year ended December 31, 2022 (the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information required by this Item 11 will be set forth in the sections entitled “</w:t>
      </w:r>
      <w:r>
        <w:rPr>
          <w:rFonts w:ascii="Arial" w:cs="Arial" w:eastAsia="Arial" w:hAnsi="Arial"/>
          <w:sz w:val="17"/>
          <w:szCs w:val="17"/>
          <w:i w:val="1"/>
          <w:iCs w:val="1"/>
          <w:color w:val="auto"/>
        </w:rPr>
        <w:t>Director Compensation</w:t>
      </w:r>
      <w:r>
        <w:rPr>
          <w:rFonts w:ascii="Arial" w:cs="Arial" w:eastAsia="Arial" w:hAnsi="Arial"/>
          <w:sz w:val="17"/>
          <w:szCs w:val="17"/>
          <w:color w:val="auto"/>
        </w:rPr>
        <w:t>,”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Compensation Committee Report</w:t>
      </w:r>
      <w:r>
        <w:rPr>
          <w:rFonts w:ascii="Arial" w:cs="Arial" w:eastAsia="Arial" w:hAnsi="Arial"/>
          <w:sz w:val="17"/>
          <w:szCs w:val="17"/>
          <w:color w:val="auto"/>
        </w:rPr>
        <w:t>” and “</w:t>
      </w:r>
      <w:r>
        <w:rPr>
          <w:rFonts w:ascii="Arial" w:cs="Arial" w:eastAsia="Arial" w:hAnsi="Arial"/>
          <w:sz w:val="17"/>
          <w:szCs w:val="17"/>
          <w:i w:val="1"/>
          <w:iCs w:val="1"/>
          <w:color w:val="auto"/>
        </w:rPr>
        <w:t>Compensation Committee Interlocks and Insider Participation</w:t>
      </w:r>
      <w:r>
        <w:rPr>
          <w:rFonts w:ascii="Arial" w:cs="Arial" w:eastAsia="Arial" w:hAnsi="Arial"/>
          <w:sz w:val="17"/>
          <w:szCs w:val="17"/>
          <w:color w:val="auto"/>
        </w:rPr>
        <w:t>” to be included in the Proxy Statement and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700" w:firstLine="749"/>
        <w:spacing w:after="0" w:line="308" w:lineRule="auto"/>
        <w:rPr>
          <w:sz w:val="20"/>
          <w:szCs w:val="20"/>
          <w:color w:val="auto"/>
        </w:rPr>
      </w:pPr>
      <w:r>
        <w:rPr>
          <w:rFonts w:ascii="Arial" w:cs="Arial" w:eastAsia="Arial" w:hAnsi="Arial"/>
          <w:sz w:val="17"/>
          <w:szCs w:val="17"/>
          <w:color w:val="auto"/>
        </w:rPr>
        <w:t>The information required by this Item 12 will be set forth in the section entitled “</w:t>
      </w:r>
      <w:r>
        <w:rPr>
          <w:rFonts w:ascii="Arial" w:cs="Arial" w:eastAsia="Arial" w:hAnsi="Arial"/>
          <w:sz w:val="17"/>
          <w:szCs w:val="17"/>
          <w:i w:val="1"/>
          <w:iCs w:val="1"/>
          <w:color w:val="auto"/>
        </w:rPr>
        <w:t>Security Ownership of Certain Beneficial Owners and</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and “</w:t>
      </w:r>
      <w:r>
        <w:rPr>
          <w:rFonts w:ascii="Arial" w:cs="Arial" w:eastAsia="Arial" w:hAnsi="Arial"/>
          <w:sz w:val="17"/>
          <w:szCs w:val="17"/>
          <w:i w:val="1"/>
          <w:iCs w:val="1"/>
          <w:color w:val="auto"/>
        </w:rPr>
        <w:t>Equity Plan Information</w:t>
      </w:r>
      <w:r>
        <w:rPr>
          <w:rFonts w:ascii="Arial" w:cs="Arial" w:eastAsia="Arial" w:hAnsi="Arial"/>
          <w:sz w:val="17"/>
          <w:szCs w:val="17"/>
          <w:color w:val="auto"/>
        </w:rPr>
        <w:t>” to be included in the Proxy Statement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information required by this Item 13 will be set forth in the sections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and “</w:t>
      </w:r>
      <w:r>
        <w:rPr>
          <w:rFonts w:ascii="Arial" w:cs="Arial" w:eastAsia="Arial" w:hAnsi="Arial"/>
          <w:sz w:val="18"/>
          <w:szCs w:val="18"/>
          <w:i w:val="1"/>
          <w:iCs w:val="1"/>
          <w:color w:val="auto"/>
        </w:rPr>
        <w:t>Director Independence</w:t>
      </w:r>
      <w:r>
        <w:rPr>
          <w:rFonts w:ascii="Arial" w:cs="Arial" w:eastAsia="Arial" w:hAnsi="Arial"/>
          <w:sz w:val="18"/>
          <w:szCs w:val="18"/>
          <w:color w:val="auto"/>
        </w:rPr>
        <w:t>” to be included in the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independent registered public accounting firm is KPMG LLP, San Francisco, CA, Auditor ID: 185.</w:t>
      </w:r>
    </w:p>
    <w:p>
      <w:pPr>
        <w:spacing w:after="0" w:line="117"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information required by this Item 14 will be set forth in the section entitled “</w:t>
      </w:r>
      <w:r>
        <w:rPr>
          <w:rFonts w:ascii="Arial" w:cs="Arial" w:eastAsia="Arial" w:hAnsi="Arial"/>
          <w:sz w:val="18"/>
          <w:szCs w:val="18"/>
          <w:i w:val="1"/>
          <w:iCs w:val="1"/>
          <w:color w:val="auto"/>
        </w:rPr>
        <w:t>Audit Matters</w:t>
      </w:r>
      <w:r>
        <w:rPr>
          <w:rFonts w:ascii="Arial" w:cs="Arial" w:eastAsia="Arial" w:hAnsi="Arial"/>
          <w:sz w:val="18"/>
          <w:szCs w:val="18"/>
          <w:color w:val="auto"/>
        </w:rPr>
        <w:t>” to be included in the Proxy Statement and is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filed the following documents as part of this Annual Report:</w:t>
      </w:r>
    </w:p>
    <w:p>
      <w:pPr>
        <w:spacing w:after="0" w:line="117" w:lineRule="exact"/>
        <w:rPr>
          <w:sz w:val="20"/>
          <w:szCs w:val="20"/>
          <w:color w:val="auto"/>
        </w:rPr>
      </w:pPr>
    </w:p>
    <w:p>
      <w:pPr>
        <w:ind w:left="1140" w:hanging="383"/>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 The financial statements included in “Index to Financial Statements” in Part II, Item 8 are filed as part of this Annual Report.</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Exhibits: The exhibits listed in the accompanying Exhibit Index are filed or incorporated by reference as part of this Annual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Arial" w:cs="Arial" w:eastAsia="Arial" w:hAnsi="Arial"/>
          <w:sz w:val="17"/>
          <w:szCs w:val="17"/>
          <w:b w:val="1"/>
          <w:bCs w:val="1"/>
          <w:color w:val="auto"/>
        </w:rPr>
        <w:t>Exhibit Index</w:t>
      </w:r>
    </w:p>
    <w:p>
      <w:pPr>
        <w:spacing w:after="0" w:line="277" w:lineRule="exact"/>
        <w:rPr>
          <w:sz w:val="20"/>
          <w:szCs w:val="20"/>
          <w:color w:val="auto"/>
        </w:rPr>
      </w:pPr>
    </w:p>
    <w:p>
      <w:pPr>
        <w:jc w:val="right"/>
        <w:ind w:right="660"/>
        <w:spacing w:after="0"/>
        <w:rPr>
          <w:sz w:val="20"/>
          <w:szCs w:val="20"/>
          <w:color w:val="auto"/>
        </w:rPr>
      </w:pPr>
      <w:r>
        <w:rPr>
          <w:rFonts w:ascii="Arial" w:cs="Arial" w:eastAsia="Arial" w:hAnsi="Arial"/>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26035</wp:posOffset>
            </wp:positionV>
            <wp:extent cx="22542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4240" w:space="720"/>
            <w:col w:w="6080"/>
          </w:cols>
          <w:pgMar w:left="460" w:top="337" w:right="399" w:bottom="1440" w:gutter="0" w:footer="0" w:header="0"/>
        </w:sectPr>
      </w:pPr>
    </w:p>
    <w:p>
      <w:pPr>
        <w:jc w:val="center"/>
        <w:spacing w:after="0"/>
        <w:rPr>
          <w:sz w:val="20"/>
          <w:szCs w:val="20"/>
          <w:color w:val="auto"/>
        </w:rPr>
      </w:pPr>
      <w:r>
        <w:rPr>
          <w:rFonts w:ascii="Arial" w:cs="Arial" w:eastAsia="Arial" w:hAnsi="Arial"/>
          <w:sz w:val="16"/>
          <w:szCs w:val="16"/>
          <w:b w:val="1"/>
          <w:bCs w:val="1"/>
          <w:color w:val="auto"/>
        </w:rPr>
        <w:t>Number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3.2</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4.3</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4.4</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4.5</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10.3†</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10.4†</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10.5†</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10.6†</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10.7†</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10.8†</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10.9†</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10.10†</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10.11†</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10.12†</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10.16#</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Description</w:t>
      </w:r>
    </w:p>
    <w:p>
      <w:pPr>
        <w:spacing w:after="0" w:line="143" w:lineRule="exact"/>
        <w:rPr>
          <w:sz w:val="20"/>
          <w:szCs w:val="20"/>
          <w:color w:val="auto"/>
        </w:rPr>
      </w:pPr>
    </w:p>
    <w:p>
      <w:pPr>
        <w:spacing w:after="0"/>
        <w:rPr>
          <w:rFonts w:ascii="Arial" w:cs="Arial" w:eastAsia="Arial" w:hAnsi="Arial"/>
          <w:sz w:val="17"/>
          <w:szCs w:val="17"/>
          <w:u w:val="single" w:color="auto"/>
          <w:color w:val="0563C1"/>
        </w:rPr>
      </w:pPr>
      <w:hyperlink r:id="rId299">
        <w:r>
          <w:rPr>
            <w:rFonts w:ascii="Arial" w:cs="Arial" w:eastAsia="Arial" w:hAnsi="Arial"/>
            <w:sz w:val="17"/>
            <w:szCs w:val="17"/>
            <w:u w:val="single" w:color="auto"/>
            <w:color w:val="0563C1"/>
          </w:rPr>
          <w:t>Form of Amended and Restated Certificate of Incorporation of Outset Medical,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38296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829685" cy="8255"/>
                    </a:xfrm>
                    <a:prstGeom prst="rect">
                      <a:avLst/>
                    </a:prstGeom>
                    <a:noFill/>
                  </pic:spPr>
                </pic:pic>
              </a:graphicData>
            </a:graphic>
          </wp:anchor>
        </w:drawing>
      </w:r>
    </w:p>
    <w:p>
      <w:pPr>
        <w:spacing w:after="0" w:line="284" w:lineRule="exact"/>
        <w:rPr>
          <w:sz w:val="20"/>
          <w:szCs w:val="20"/>
          <w:color w:val="auto"/>
        </w:rPr>
      </w:pPr>
    </w:p>
    <w:p>
      <w:pPr>
        <w:spacing w:after="0"/>
        <w:rPr>
          <w:rFonts w:ascii="Arial" w:cs="Arial" w:eastAsia="Arial" w:hAnsi="Arial"/>
          <w:sz w:val="18"/>
          <w:szCs w:val="18"/>
          <w:u w:val="single" w:color="auto"/>
          <w:color w:val="0563C1"/>
        </w:rPr>
      </w:pPr>
      <w:hyperlink r:id="rId301">
        <w:r>
          <w:rPr>
            <w:rFonts w:ascii="Arial" w:cs="Arial" w:eastAsia="Arial" w:hAnsi="Arial"/>
            <w:sz w:val="18"/>
            <w:szCs w:val="18"/>
            <w:u w:val="single" w:color="auto"/>
            <w:color w:val="0563C1"/>
          </w:rPr>
          <w:t>Form of Amended and Restated Bylaws of Outset Medical,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9159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u w:val="single" w:color="auto"/>
          <w:color w:val="0563C1"/>
        </w:rPr>
      </w:pPr>
      <w:hyperlink r:id="rId303">
        <w:r>
          <w:rPr>
            <w:rFonts w:ascii="Arial" w:cs="Arial" w:eastAsia="Arial" w:hAnsi="Arial"/>
            <w:sz w:val="18"/>
            <w:szCs w:val="18"/>
            <w:u w:val="single" w:color="auto"/>
            <w:color w:val="0563C1"/>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6243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u w:val="single" w:color="auto"/>
          <w:color w:val="0563C1"/>
        </w:rPr>
      </w:pPr>
      <w:hyperlink r:id="rId305">
        <w:r>
          <w:rPr>
            <w:rFonts w:ascii="Arial" w:cs="Arial" w:eastAsia="Arial" w:hAnsi="Arial"/>
            <w:sz w:val="18"/>
            <w:szCs w:val="18"/>
            <w:u w:val="single" w:color="auto"/>
            <w:color w:val="0563C1"/>
          </w:rPr>
          <w:t>Amended and Restated Registration Rights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5101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u w:val="single" w:color="auto"/>
          <w:color w:val="0563C1"/>
        </w:rPr>
      </w:pPr>
      <w:hyperlink r:id="rId307">
        <w:r>
          <w:rPr>
            <w:rFonts w:ascii="Arial" w:cs="Arial" w:eastAsia="Arial" w:hAnsi="Arial"/>
            <w:sz w:val="18"/>
            <w:szCs w:val="18"/>
            <w:u w:val="single" w:color="auto"/>
            <w:color w:val="0563C1"/>
          </w:rPr>
          <w:t>Form of Series A Warrant Agreement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8630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u w:val="single" w:color="auto"/>
          <w:color w:val="0563C1"/>
        </w:rPr>
      </w:pPr>
      <w:hyperlink r:id="rId309">
        <w:r>
          <w:rPr>
            <w:rFonts w:ascii="Arial" w:cs="Arial" w:eastAsia="Arial" w:hAnsi="Arial"/>
            <w:sz w:val="18"/>
            <w:szCs w:val="18"/>
            <w:u w:val="single" w:color="auto"/>
            <w:color w:val="0563C1"/>
          </w:rPr>
          <w:t>Form of Series A Warrant Agreement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8630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1863090" cy="8890"/>
                    </a:xfrm>
                    <a:prstGeom prst="rect">
                      <a:avLst/>
                    </a:prstGeom>
                    <a:noFill/>
                  </pic:spPr>
                </pic:pic>
              </a:graphicData>
            </a:graphic>
          </wp:anchor>
        </w:drawing>
      </w:r>
    </w:p>
    <w:p>
      <w:pPr>
        <w:spacing w:after="0" w:line="165" w:lineRule="exact"/>
        <w:rPr>
          <w:sz w:val="20"/>
          <w:szCs w:val="20"/>
          <w:color w:val="auto"/>
        </w:rPr>
      </w:pPr>
    </w:p>
    <w:p>
      <w:pPr>
        <w:ind w:right="180"/>
        <w:spacing w:after="0" w:line="277" w:lineRule="auto"/>
        <w:rPr>
          <w:rFonts w:ascii="Arial" w:cs="Arial" w:eastAsia="Arial" w:hAnsi="Arial"/>
          <w:sz w:val="18"/>
          <w:szCs w:val="18"/>
          <w:u w:val="single" w:color="auto"/>
          <w:color w:val="0563C1"/>
        </w:rPr>
      </w:pPr>
      <w:hyperlink r:id="rId311">
        <w:r>
          <w:rPr>
            <w:rFonts w:ascii="Arial" w:cs="Arial" w:eastAsia="Arial" w:hAnsi="Arial"/>
            <w:sz w:val="18"/>
            <w:szCs w:val="18"/>
            <w:u w:val="single" w:color="auto"/>
            <w:color w:val="0563C1"/>
          </w:rPr>
          <w:t>Description of Outset Medical, Inc.’s Securities Registered Pursuant to Section 12 of the</w:t>
        </w:r>
      </w:hyperlink>
      <w:r>
        <w:rPr>
          <w:rFonts w:ascii="Arial" w:cs="Arial" w:eastAsia="Arial" w:hAnsi="Arial"/>
          <w:sz w:val="18"/>
          <w:szCs w:val="18"/>
          <w:u w:val="single" w:color="auto"/>
          <w:color w:val="0563C1"/>
        </w:rPr>
        <w:t xml:space="preserve"> </w:t>
      </w:r>
      <w:hyperlink r:id="rId311">
        <w:r>
          <w:rPr>
            <w:rFonts w:ascii="Arial" w:cs="Arial" w:eastAsia="Arial" w:hAnsi="Arial"/>
            <w:sz w:val="18"/>
            <w:szCs w:val="18"/>
            <w:u w:val="single" w:color="auto"/>
            <w:color w:val="0563C1"/>
          </w:rPr>
          <w:t>Exchange Act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407098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4070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643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110" w:lineRule="exact"/>
        <w:rPr>
          <w:sz w:val="20"/>
          <w:szCs w:val="20"/>
          <w:color w:val="auto"/>
        </w:rPr>
      </w:pPr>
    </w:p>
    <w:p>
      <w:pPr>
        <w:spacing w:after="0"/>
        <w:rPr>
          <w:rFonts w:ascii="Arial" w:cs="Arial" w:eastAsia="Arial" w:hAnsi="Arial"/>
          <w:sz w:val="18"/>
          <w:szCs w:val="18"/>
          <w:u w:val="single" w:color="auto"/>
          <w:color w:val="0563C1"/>
        </w:rPr>
      </w:pPr>
      <w:hyperlink r:id="rId314">
        <w:r>
          <w:rPr>
            <w:rFonts w:ascii="Arial" w:cs="Arial" w:eastAsia="Arial" w:hAnsi="Arial"/>
            <w:sz w:val="18"/>
            <w:szCs w:val="18"/>
            <w:u w:val="single" w:color="auto"/>
            <w:color w:val="0563C1"/>
          </w:rPr>
          <w:t>Form of Indemnification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6656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u w:val="single" w:color="auto"/>
          <w:color w:val="0563C1"/>
        </w:rPr>
      </w:pPr>
      <w:hyperlink r:id="rId316">
        <w:r>
          <w:rPr>
            <w:rFonts w:ascii="Arial" w:cs="Arial" w:eastAsia="Arial" w:hAnsi="Arial"/>
            <w:sz w:val="18"/>
            <w:szCs w:val="18"/>
            <w:u w:val="single" w:color="auto"/>
            <w:color w:val="0563C1"/>
          </w:rPr>
          <w:t>Outset Medical, Inc. 2010 Equity Incentive Plan and related form agreements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35407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3540760" cy="8890"/>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u w:val="single" w:color="auto"/>
          <w:color w:val="0563C1"/>
        </w:rPr>
      </w:pPr>
      <w:hyperlink r:id="rId318">
        <w:r>
          <w:rPr>
            <w:rFonts w:ascii="Arial" w:cs="Arial" w:eastAsia="Arial" w:hAnsi="Arial"/>
            <w:sz w:val="18"/>
            <w:szCs w:val="18"/>
            <w:u w:val="single" w:color="auto"/>
            <w:color w:val="0563C1"/>
          </w:rPr>
          <w:t>Outset Medical, Inc. 2019 Equity Incentive Plan and related form agreements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35407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3540760" cy="8255"/>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u w:val="single" w:color="auto"/>
          <w:color w:val="0563C1"/>
        </w:rPr>
      </w:pPr>
      <w:hyperlink r:id="rId320">
        <w:r>
          <w:rPr>
            <w:rFonts w:ascii="Arial" w:cs="Arial" w:eastAsia="Arial" w:hAnsi="Arial"/>
            <w:sz w:val="18"/>
            <w:szCs w:val="18"/>
            <w:u w:val="single" w:color="auto"/>
            <w:color w:val="0563C1"/>
          </w:rPr>
          <w:t>Outset Medical, 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2085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2208530" cy="8890"/>
                    </a:xfrm>
                    <a:prstGeom prst="rect">
                      <a:avLst/>
                    </a:prstGeom>
                    <a:noFill/>
                  </pic:spPr>
                </pic:pic>
              </a:graphicData>
            </a:graphic>
          </wp:anchor>
        </w:drawing>
      </w:r>
    </w:p>
    <w:p>
      <w:pPr>
        <w:spacing w:after="0" w:line="165" w:lineRule="exact"/>
        <w:rPr>
          <w:sz w:val="20"/>
          <w:szCs w:val="20"/>
          <w:color w:val="auto"/>
        </w:rPr>
      </w:pPr>
    </w:p>
    <w:p>
      <w:pPr>
        <w:ind w:right="100"/>
        <w:spacing w:after="0" w:line="277" w:lineRule="auto"/>
        <w:rPr>
          <w:rFonts w:ascii="Arial" w:cs="Arial" w:eastAsia="Arial" w:hAnsi="Arial"/>
          <w:sz w:val="18"/>
          <w:szCs w:val="18"/>
          <w:u w:val="single" w:color="auto"/>
          <w:color w:val="0563C1"/>
        </w:rPr>
      </w:pPr>
      <w:hyperlink r:id="rId322">
        <w:r>
          <w:rPr>
            <w:rFonts w:ascii="Arial" w:cs="Arial" w:eastAsia="Arial" w:hAnsi="Arial"/>
            <w:sz w:val="18"/>
            <w:szCs w:val="18"/>
            <w:u w:val="single" w:color="auto"/>
            <w:color w:val="0563C1"/>
          </w:rPr>
          <w:t>Form of Stock Option Grant Notice and Option Agreement for Outset Medical, Inc. 2020</w:t>
        </w:r>
      </w:hyperlink>
      <w:r>
        <w:rPr>
          <w:rFonts w:ascii="Arial" w:cs="Arial" w:eastAsia="Arial" w:hAnsi="Arial"/>
          <w:sz w:val="18"/>
          <w:szCs w:val="18"/>
          <w:u w:val="single" w:color="auto"/>
          <w:color w:val="0563C1"/>
        </w:rPr>
        <w:t xml:space="preserve"> </w:t>
      </w:r>
      <w:hyperlink r:id="rId322">
        <w:r>
          <w:rPr>
            <w:rFonts w:ascii="Arial" w:cs="Arial" w:eastAsia="Arial" w:hAnsi="Arial"/>
            <w:sz w:val="18"/>
            <w:szCs w:val="18"/>
            <w:u w:val="single" w:color="auto"/>
            <w:color w:val="0563C1"/>
          </w:rPr>
          <w:t>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41122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41122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9899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2" w:lineRule="exact"/>
        <w:rPr>
          <w:sz w:val="20"/>
          <w:szCs w:val="20"/>
          <w:color w:val="auto"/>
        </w:rPr>
      </w:pPr>
    </w:p>
    <w:p>
      <w:pPr>
        <w:ind w:right="420"/>
        <w:spacing w:after="0" w:line="277" w:lineRule="auto"/>
        <w:rPr>
          <w:rFonts w:ascii="Arial" w:cs="Arial" w:eastAsia="Arial" w:hAnsi="Arial"/>
          <w:sz w:val="18"/>
          <w:szCs w:val="18"/>
          <w:u w:val="single" w:color="auto"/>
          <w:color w:val="0563C1"/>
        </w:rPr>
      </w:pPr>
      <w:hyperlink r:id="rId325">
        <w:r>
          <w:rPr>
            <w:rFonts w:ascii="Arial" w:cs="Arial" w:eastAsia="Arial" w:hAnsi="Arial"/>
            <w:sz w:val="18"/>
            <w:szCs w:val="18"/>
            <w:u w:val="single" w:color="auto"/>
            <w:color w:val="0563C1"/>
          </w:rPr>
          <w:t>Form of Restricted Stock Unit Award Grant Notice and Award Agreement for Outset</w:t>
        </w:r>
      </w:hyperlink>
      <w:r>
        <w:rPr>
          <w:rFonts w:ascii="Arial" w:cs="Arial" w:eastAsia="Arial" w:hAnsi="Arial"/>
          <w:sz w:val="18"/>
          <w:szCs w:val="18"/>
          <w:u w:val="single" w:color="auto"/>
          <w:color w:val="0563C1"/>
        </w:rPr>
        <w:t xml:space="preserve"> </w:t>
      </w:r>
      <w:hyperlink r:id="rId325">
        <w:r>
          <w:rPr>
            <w:rFonts w:ascii="Arial" w:cs="Arial" w:eastAsia="Arial" w:hAnsi="Arial"/>
            <w:sz w:val="18"/>
            <w:szCs w:val="18"/>
            <w:u w:val="single" w:color="auto"/>
            <w:color w:val="0563C1"/>
          </w:rPr>
          <w:t>Medical, 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39103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18815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2" w:lineRule="exact"/>
        <w:rPr>
          <w:sz w:val="20"/>
          <w:szCs w:val="20"/>
          <w:color w:val="auto"/>
        </w:rPr>
      </w:pPr>
    </w:p>
    <w:p>
      <w:pPr>
        <w:ind w:right="120"/>
        <w:spacing w:after="0" w:line="277" w:lineRule="auto"/>
        <w:rPr>
          <w:rFonts w:ascii="Arial" w:cs="Arial" w:eastAsia="Arial" w:hAnsi="Arial"/>
          <w:sz w:val="18"/>
          <w:szCs w:val="18"/>
          <w:u w:val="single" w:color="auto"/>
          <w:color w:val="0563C1"/>
        </w:rPr>
      </w:pPr>
      <w:hyperlink r:id="rId328">
        <w:r>
          <w:rPr>
            <w:rFonts w:ascii="Arial" w:cs="Arial" w:eastAsia="Arial" w:hAnsi="Arial"/>
            <w:sz w:val="18"/>
            <w:szCs w:val="18"/>
            <w:u w:val="single" w:color="auto"/>
            <w:color w:val="0563C1"/>
          </w:rPr>
          <w:t>Form of Restricted Stock Award Grant Notice and Award Agreement for Outset Medical,</w:t>
        </w:r>
      </w:hyperlink>
      <w:r>
        <w:rPr>
          <w:rFonts w:ascii="Arial" w:cs="Arial" w:eastAsia="Arial" w:hAnsi="Arial"/>
          <w:sz w:val="18"/>
          <w:szCs w:val="18"/>
          <w:u w:val="single" w:color="auto"/>
          <w:color w:val="0563C1"/>
        </w:rPr>
        <w:t xml:space="preserve"> </w:t>
      </w:r>
      <w:hyperlink r:id="rId328">
        <w:r>
          <w:rPr>
            <w:rFonts w:ascii="Arial" w:cs="Arial" w:eastAsia="Arial" w:hAnsi="Arial"/>
            <w:sz w:val="18"/>
            <w:szCs w:val="18"/>
            <w:u w:val="single" w:color="auto"/>
            <w:color w:val="0563C1"/>
          </w:rPr>
          <w:t>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41097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41097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14497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1449705" cy="8890"/>
                    </a:xfrm>
                    <a:prstGeom prst="rect">
                      <a:avLst/>
                    </a:prstGeom>
                    <a:noFill/>
                  </pic:spPr>
                </pic:pic>
              </a:graphicData>
            </a:graphic>
          </wp:anchor>
        </w:drawing>
      </w:r>
    </w:p>
    <w:p>
      <w:pPr>
        <w:spacing w:after="0" w:line="2" w:lineRule="exact"/>
        <w:rPr>
          <w:sz w:val="20"/>
          <w:szCs w:val="20"/>
          <w:color w:val="auto"/>
        </w:rPr>
      </w:pPr>
    </w:p>
    <w:p>
      <w:pPr>
        <w:ind w:right="240"/>
        <w:spacing w:after="0" w:line="277" w:lineRule="auto"/>
        <w:rPr>
          <w:rFonts w:ascii="Arial" w:cs="Arial" w:eastAsia="Arial" w:hAnsi="Arial"/>
          <w:sz w:val="18"/>
          <w:szCs w:val="18"/>
          <w:u w:val="single" w:color="auto"/>
          <w:color w:val="0563C1"/>
        </w:rPr>
      </w:pPr>
      <w:hyperlink r:id="rId331">
        <w:r>
          <w:rPr>
            <w:rFonts w:ascii="Arial" w:cs="Arial" w:eastAsia="Arial" w:hAnsi="Arial"/>
            <w:sz w:val="18"/>
            <w:szCs w:val="18"/>
            <w:u w:val="single" w:color="auto"/>
            <w:color w:val="0563C1"/>
          </w:rPr>
          <w:t>Form of Performance Stock Unit Award Grant Notice and Award Agreement for Outset</w:t>
        </w:r>
      </w:hyperlink>
      <w:r>
        <w:rPr>
          <w:rFonts w:ascii="Arial" w:cs="Arial" w:eastAsia="Arial" w:hAnsi="Arial"/>
          <w:sz w:val="18"/>
          <w:szCs w:val="18"/>
          <w:u w:val="single" w:color="auto"/>
          <w:color w:val="0563C1"/>
        </w:rPr>
        <w:t xml:space="preserve"> </w:t>
      </w:r>
      <w:hyperlink r:id="rId331">
        <w:r>
          <w:rPr>
            <w:rFonts w:ascii="Arial" w:cs="Arial" w:eastAsia="Arial" w:hAnsi="Arial"/>
            <w:sz w:val="18"/>
            <w:szCs w:val="18"/>
            <w:u w:val="single" w:color="auto"/>
            <w:color w:val="0563C1"/>
          </w:rPr>
          <w:t>Medical, 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40309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4030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18815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1881505" cy="8890"/>
                    </a:xfrm>
                    <a:prstGeom prst="rect">
                      <a:avLst/>
                    </a:prstGeom>
                    <a:noFill/>
                  </pic:spPr>
                </pic:pic>
              </a:graphicData>
            </a:graphic>
          </wp:anchor>
        </w:drawing>
      </w:r>
    </w:p>
    <w:p>
      <w:pPr>
        <w:spacing w:after="0" w:line="110" w:lineRule="exact"/>
        <w:rPr>
          <w:sz w:val="20"/>
          <w:szCs w:val="20"/>
          <w:color w:val="auto"/>
        </w:rPr>
      </w:pPr>
    </w:p>
    <w:p>
      <w:pPr>
        <w:spacing w:after="0"/>
        <w:rPr>
          <w:rFonts w:ascii="Arial" w:cs="Arial" w:eastAsia="Arial" w:hAnsi="Arial"/>
          <w:sz w:val="17"/>
          <w:szCs w:val="17"/>
          <w:u w:val="single" w:color="auto"/>
          <w:color w:val="0563C1"/>
        </w:rPr>
      </w:pPr>
      <w:hyperlink r:id="rId334">
        <w:r>
          <w:rPr>
            <w:rFonts w:ascii="Arial" w:cs="Arial" w:eastAsia="Arial" w:hAnsi="Arial"/>
            <w:sz w:val="17"/>
            <w:szCs w:val="17"/>
            <w:u w:val="single" w:color="auto"/>
            <w:color w:val="0563C1"/>
          </w:rPr>
          <w:t>Outset Medical, Inc. 2020 Employee Stock Purchase Plan, as amended and restated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381381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3813810" cy="8255"/>
                    </a:xfrm>
                    <a:prstGeom prst="rect">
                      <a:avLst/>
                    </a:prstGeom>
                    <a:noFill/>
                  </pic:spPr>
                </pic:pic>
              </a:graphicData>
            </a:graphic>
          </wp:anchor>
        </w:drawing>
      </w:r>
    </w:p>
    <w:p>
      <w:pPr>
        <w:spacing w:after="0" w:line="176" w:lineRule="exact"/>
        <w:rPr>
          <w:sz w:val="20"/>
          <w:szCs w:val="20"/>
          <w:color w:val="auto"/>
        </w:rPr>
      </w:pPr>
    </w:p>
    <w:p>
      <w:pPr>
        <w:ind w:right="340"/>
        <w:spacing w:after="0" w:line="277" w:lineRule="auto"/>
        <w:rPr>
          <w:rFonts w:ascii="Arial" w:cs="Arial" w:eastAsia="Arial" w:hAnsi="Arial"/>
          <w:sz w:val="18"/>
          <w:szCs w:val="18"/>
          <w:u w:val="single" w:color="auto"/>
          <w:color w:val="0563C1"/>
        </w:rPr>
      </w:pPr>
      <w:hyperlink r:id="rId336">
        <w:r>
          <w:rPr>
            <w:rFonts w:ascii="Arial" w:cs="Arial" w:eastAsia="Arial" w:hAnsi="Arial"/>
            <w:sz w:val="18"/>
            <w:szCs w:val="18"/>
            <w:u w:val="single" w:color="auto"/>
            <w:color w:val="0563C1"/>
          </w:rPr>
          <w:t>Employment Agreement by and between Outset Medical and Leslie Trigg, dated as of</w:t>
        </w:r>
      </w:hyperlink>
      <w:r>
        <w:rPr>
          <w:rFonts w:ascii="Arial" w:cs="Arial" w:eastAsia="Arial" w:hAnsi="Arial"/>
          <w:sz w:val="18"/>
          <w:szCs w:val="18"/>
          <w:u w:val="single" w:color="auto"/>
          <w:color w:val="0563C1"/>
        </w:rPr>
        <w:t xml:space="preserve"> </w:t>
      </w:r>
      <w:hyperlink r:id="rId336">
        <w:r>
          <w:rPr>
            <w:rFonts w:ascii="Arial" w:cs="Arial" w:eastAsia="Arial" w:hAnsi="Arial"/>
            <w:sz w:val="18"/>
            <w:szCs w:val="18"/>
            <w:u w:val="single" w:color="auto"/>
            <w:color w:val="0563C1"/>
          </w:rPr>
          <w:t>February 23,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396176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3961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8407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2" w:lineRule="exact"/>
        <w:rPr>
          <w:sz w:val="20"/>
          <w:szCs w:val="20"/>
          <w:color w:val="auto"/>
        </w:rPr>
      </w:pPr>
    </w:p>
    <w:p>
      <w:pPr>
        <w:ind w:right="240"/>
        <w:spacing w:after="0" w:line="277" w:lineRule="auto"/>
        <w:rPr>
          <w:rFonts w:ascii="Arial" w:cs="Arial" w:eastAsia="Arial" w:hAnsi="Arial"/>
          <w:sz w:val="18"/>
          <w:szCs w:val="18"/>
          <w:u w:val="single" w:color="auto"/>
          <w:color w:val="0563C1"/>
        </w:rPr>
      </w:pPr>
      <w:hyperlink r:id="rId339">
        <w:r>
          <w:rPr>
            <w:rFonts w:ascii="Arial" w:cs="Arial" w:eastAsia="Arial" w:hAnsi="Arial"/>
            <w:sz w:val="18"/>
            <w:szCs w:val="18"/>
            <w:u w:val="single" w:color="auto"/>
            <w:color w:val="0563C1"/>
          </w:rPr>
          <w:t>Form of Amended and Restated Change in Control and Severance Agreement for Chief</w:t>
        </w:r>
      </w:hyperlink>
      <w:r>
        <w:rPr>
          <w:rFonts w:ascii="Arial" w:cs="Arial" w:eastAsia="Arial" w:hAnsi="Arial"/>
          <w:sz w:val="18"/>
          <w:szCs w:val="18"/>
          <w:u w:val="single" w:color="auto"/>
          <w:color w:val="0563C1"/>
        </w:rPr>
        <w:t xml:space="preserve"> </w:t>
      </w:r>
      <w:hyperlink r:id="rId339">
        <w:r>
          <w:rPr>
            <w:rFonts w:ascii="Arial" w:cs="Arial" w:eastAsia="Arial" w:hAnsi="Arial"/>
            <w:sz w:val="18"/>
            <w:szCs w:val="18"/>
            <w:u w:val="single" w:color="auto"/>
            <w:color w:val="0563C1"/>
          </w:rPr>
          <w:t>Executive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40322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40322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8128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spacing w:after="0" w:line="2" w:lineRule="exact"/>
        <w:rPr>
          <w:sz w:val="20"/>
          <w:szCs w:val="20"/>
          <w:color w:val="auto"/>
        </w:rPr>
      </w:pPr>
    </w:p>
    <w:p>
      <w:pPr>
        <w:ind w:right="300"/>
        <w:spacing w:after="0" w:line="277" w:lineRule="auto"/>
        <w:rPr>
          <w:rFonts w:ascii="Arial" w:cs="Arial" w:eastAsia="Arial" w:hAnsi="Arial"/>
          <w:sz w:val="18"/>
          <w:szCs w:val="18"/>
          <w:u w:val="single" w:color="auto"/>
          <w:color w:val="0563C1"/>
        </w:rPr>
      </w:pPr>
      <w:hyperlink r:id="rId342">
        <w:r>
          <w:rPr>
            <w:rFonts w:ascii="Arial" w:cs="Arial" w:eastAsia="Arial" w:hAnsi="Arial"/>
            <w:sz w:val="18"/>
            <w:szCs w:val="18"/>
            <w:u w:val="single" w:color="auto"/>
            <w:color w:val="0563C1"/>
          </w:rPr>
          <w:t>Form of Amended and Restated Change in Control and Severance Agreement for non-</w:t>
        </w:r>
      </w:hyperlink>
      <w:hyperlink r:id="rId342">
        <w:r>
          <w:rPr>
            <w:rFonts w:ascii="Arial" w:cs="Arial" w:eastAsia="Arial" w:hAnsi="Arial"/>
            <w:sz w:val="18"/>
            <w:szCs w:val="18"/>
            <w:u w:val="single" w:color="auto"/>
            <w:color w:val="0563C1"/>
          </w:rPr>
          <w:t>Chief Executive Officer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39598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39598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19373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 w:lineRule="exact"/>
        <w:rPr>
          <w:sz w:val="20"/>
          <w:szCs w:val="20"/>
          <w:color w:val="auto"/>
        </w:rPr>
      </w:pPr>
    </w:p>
    <w:p>
      <w:pPr>
        <w:ind w:right="360"/>
        <w:spacing w:after="0" w:line="277" w:lineRule="auto"/>
        <w:rPr>
          <w:rFonts w:ascii="Arial" w:cs="Arial" w:eastAsia="Arial" w:hAnsi="Arial"/>
          <w:sz w:val="18"/>
          <w:szCs w:val="18"/>
          <w:u w:val="single" w:color="auto"/>
          <w:color w:val="0563C1"/>
        </w:rPr>
      </w:pPr>
      <w:hyperlink r:id="rId345">
        <w:r>
          <w:rPr>
            <w:rFonts w:ascii="Arial" w:cs="Arial" w:eastAsia="Arial" w:hAnsi="Arial"/>
            <w:sz w:val="18"/>
            <w:szCs w:val="18"/>
            <w:u w:val="single" w:color="auto"/>
            <w:color w:val="0563C1"/>
          </w:rPr>
          <w:t>Lease by and between WH Silicon Valley IV LP and Outset Medical, Inc., dated as of</w:t>
        </w:r>
      </w:hyperlink>
      <w:r>
        <w:rPr>
          <w:rFonts w:ascii="Arial" w:cs="Arial" w:eastAsia="Arial" w:hAnsi="Arial"/>
          <w:sz w:val="18"/>
          <w:szCs w:val="18"/>
          <w:u w:val="single" w:color="auto"/>
          <w:color w:val="0563C1"/>
        </w:rPr>
        <w:t xml:space="preserve"> </w:t>
      </w:r>
      <w:hyperlink r:id="rId345">
        <w:r>
          <w:rPr>
            <w:rFonts w:ascii="Arial" w:cs="Arial" w:eastAsia="Arial" w:hAnsi="Arial"/>
            <w:sz w:val="18"/>
            <w:szCs w:val="18"/>
            <w:u w:val="single" w:color="auto"/>
            <w:color w:val="0563C1"/>
          </w:rPr>
          <w:t>September 19,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39503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39503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9169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 w:lineRule="exact"/>
        <w:rPr>
          <w:sz w:val="20"/>
          <w:szCs w:val="20"/>
          <w:color w:val="auto"/>
        </w:rPr>
      </w:pPr>
    </w:p>
    <w:p>
      <w:pPr>
        <w:ind w:right="160"/>
        <w:spacing w:after="0" w:line="263" w:lineRule="auto"/>
        <w:rPr>
          <w:rFonts w:ascii="Arial" w:cs="Arial" w:eastAsia="Arial" w:hAnsi="Arial"/>
          <w:sz w:val="18"/>
          <w:szCs w:val="18"/>
          <w:u w:val="single" w:color="auto"/>
          <w:color w:val="0563C1"/>
        </w:rPr>
      </w:pPr>
      <w:hyperlink r:id="rId348">
        <w:r>
          <w:rPr>
            <w:rFonts w:ascii="Arial" w:cs="Arial" w:eastAsia="Arial" w:hAnsi="Arial"/>
            <w:sz w:val="18"/>
            <w:szCs w:val="18"/>
            <w:u w:val="single" w:color="auto"/>
            <w:color w:val="0563C1"/>
          </w:rPr>
          <w:t>Sublease Agreement by and among Inmobiliaria IAMSA, S.A. de C.V. (Sublessor), Baja</w:t>
        </w:r>
      </w:hyperlink>
      <w:r>
        <w:rPr>
          <w:rFonts w:ascii="Arial" w:cs="Arial" w:eastAsia="Arial" w:hAnsi="Arial"/>
          <w:sz w:val="18"/>
          <w:szCs w:val="18"/>
          <w:u w:val="single" w:color="auto"/>
          <w:color w:val="0563C1"/>
        </w:rPr>
        <w:t xml:space="preserve"> </w:t>
      </w:r>
      <w:hyperlink r:id="rId348">
        <w:r>
          <w:rPr>
            <w:rFonts w:ascii="Arial" w:cs="Arial" w:eastAsia="Arial" w:hAnsi="Arial"/>
            <w:sz w:val="18"/>
            <w:szCs w:val="18"/>
            <w:u w:val="single" w:color="auto"/>
            <w:color w:val="0563C1"/>
          </w:rPr>
          <w:t>Fur S.A. de C.V. (Sublessee) and Outset Medical, Inc. (Guarantor), dated as of May 5,</w:t>
        </w:r>
      </w:hyperlink>
      <w:r>
        <w:rPr>
          <w:rFonts w:ascii="Arial" w:cs="Arial" w:eastAsia="Arial" w:hAnsi="Arial"/>
          <w:sz w:val="18"/>
          <w:szCs w:val="18"/>
          <w:u w:val="single" w:color="auto"/>
          <w:color w:val="0563C1"/>
        </w:rPr>
        <w:t xml:space="preserve"> </w:t>
      </w:r>
      <w:hyperlink r:id="rId348">
        <w:r>
          <w:rPr>
            <w:rFonts w:ascii="Arial" w:cs="Arial" w:eastAsia="Arial" w:hAnsi="Arial"/>
            <w:sz w:val="18"/>
            <w:szCs w:val="18"/>
            <w:u w:val="single" w:color="auto"/>
            <w:color w:val="0563C1"/>
          </w:rPr>
          <w:t>2020</w:t>
        </w:r>
      </w:hyperlink>
    </w:p>
    <w:p>
      <w:pPr>
        <w:spacing w:after="0" w:line="20" w:lineRule="exact"/>
        <w:rPr>
          <w:rFonts w:ascii="Arial" w:cs="Arial" w:eastAsia="Arial" w:hAnsi="Arial"/>
          <w:sz w:val="18"/>
          <w:szCs w:val="18"/>
          <w:u w:val="single" w:color="auto"/>
          <w:color w:val="0563C1"/>
        </w:rPr>
      </w:pPr>
      <w:r>
        <w:rPr>
          <w:rFonts w:ascii="Arial" w:cs="Arial" w:eastAsia="Arial" w:hAnsi="Arial"/>
          <w:sz w:val="18"/>
          <w:szCs w:val="18"/>
          <w:u w:val="single" w:color="auto"/>
          <w:color w:val="0563C1"/>
        </w:rPr>
        <w:drawing>
          <wp:anchor simplePos="0" relativeHeight="251657728" behindDoc="1" locked="0" layoutInCell="0" allowOverlap="1">
            <wp:simplePos x="0" y="0"/>
            <wp:positionH relativeFrom="column">
              <wp:posOffset>0</wp:posOffset>
            </wp:positionH>
            <wp:positionV relativeFrom="paragraph">
              <wp:posOffset>-311150</wp:posOffset>
            </wp:positionV>
            <wp:extent cx="40786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40786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39674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39674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2286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5" w:lineRule="exact"/>
        <w:rPr>
          <w:rFonts w:ascii="Arial" w:cs="Arial" w:eastAsia="Arial" w:hAnsi="Arial"/>
          <w:sz w:val="18"/>
          <w:szCs w:val="18"/>
          <w:u w:val="single" w:color="auto"/>
          <w:color w:val="0563C1"/>
        </w:rPr>
      </w:pPr>
    </w:p>
    <w:p>
      <w:pPr>
        <w:spacing w:after="0" w:line="263" w:lineRule="auto"/>
        <w:rPr>
          <w:rFonts w:ascii="Arial" w:cs="Arial" w:eastAsia="Arial" w:hAnsi="Arial"/>
          <w:sz w:val="18"/>
          <w:szCs w:val="18"/>
          <w:u w:val="single" w:color="auto"/>
          <w:color w:val="0563C1"/>
        </w:rPr>
      </w:pPr>
      <w:hyperlink r:id="rId352">
        <w:r>
          <w:rPr>
            <w:rFonts w:ascii="Arial" w:cs="Arial" w:eastAsia="Arial" w:hAnsi="Arial"/>
            <w:sz w:val="18"/>
            <w:szCs w:val="18"/>
            <w:u w:val="single" w:color="auto"/>
            <w:color w:val="0563C1"/>
          </w:rPr>
          <w:t>First Amendment Agreement by and among Inmobiliaria IAMSA, S.A. de C.V.</w:t>
        </w:r>
      </w:hyperlink>
      <w:r>
        <w:rPr>
          <w:rFonts w:ascii="Arial" w:cs="Arial" w:eastAsia="Arial" w:hAnsi="Arial"/>
          <w:sz w:val="18"/>
          <w:szCs w:val="18"/>
          <w:u w:val="single" w:color="auto"/>
          <w:color w:val="0563C1"/>
        </w:rPr>
        <w:t xml:space="preserve"> </w:t>
      </w:r>
      <w:hyperlink r:id="rId352">
        <w:r>
          <w:rPr>
            <w:rFonts w:ascii="Arial" w:cs="Arial" w:eastAsia="Arial" w:hAnsi="Arial"/>
            <w:sz w:val="18"/>
            <w:szCs w:val="18"/>
            <w:u w:val="single" w:color="auto"/>
            <w:color w:val="0563C1"/>
          </w:rPr>
          <w:t>(Sublessor), Baja Fur S.A. de C.V. (Sublessee) and Outset Medical, Inc. (Guarantor), dated</w:t>
        </w:r>
      </w:hyperlink>
      <w:r>
        <w:rPr>
          <w:rFonts w:ascii="Arial" w:cs="Arial" w:eastAsia="Arial" w:hAnsi="Arial"/>
          <w:sz w:val="18"/>
          <w:szCs w:val="18"/>
          <w:u w:val="single" w:color="auto"/>
          <w:color w:val="0563C1"/>
        </w:rPr>
        <w:t xml:space="preserve"> </w:t>
      </w:r>
      <w:hyperlink r:id="rId352">
        <w:r>
          <w:rPr>
            <w:rFonts w:ascii="Arial" w:cs="Arial" w:eastAsia="Arial" w:hAnsi="Arial"/>
            <w:sz w:val="18"/>
            <w:szCs w:val="18"/>
            <w:u w:val="single" w:color="auto"/>
            <w:color w:val="0563C1"/>
          </w:rPr>
          <w:t>as of June 26, 2020</w:t>
        </w:r>
      </w:hyperlink>
    </w:p>
    <w:p>
      <w:pPr>
        <w:spacing w:after="0" w:line="20" w:lineRule="exact"/>
        <w:rPr>
          <w:rFonts w:ascii="Arial" w:cs="Arial" w:eastAsia="Arial" w:hAnsi="Arial"/>
          <w:sz w:val="18"/>
          <w:szCs w:val="18"/>
          <w:u w:val="single" w:color="auto"/>
          <w:color w:val="0563C1"/>
        </w:rPr>
      </w:pPr>
      <w:r>
        <w:rPr>
          <w:rFonts w:ascii="Arial" w:cs="Arial" w:eastAsia="Arial" w:hAnsi="Arial"/>
          <w:sz w:val="18"/>
          <w:szCs w:val="18"/>
          <w:u w:val="single" w:color="auto"/>
          <w:color w:val="0563C1"/>
        </w:rPr>
        <w:drawing>
          <wp:anchor simplePos="0" relativeHeight="251657728" behindDoc="1" locked="0" layoutInCell="0" allowOverlap="1">
            <wp:simplePos x="0" y="0"/>
            <wp:positionH relativeFrom="column">
              <wp:posOffset>0</wp:posOffset>
            </wp:positionH>
            <wp:positionV relativeFrom="paragraph">
              <wp:posOffset>-311150</wp:posOffset>
            </wp:positionV>
            <wp:extent cx="36601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3660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415734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41573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851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15" w:lineRule="exact"/>
        <w:rPr>
          <w:rFonts w:ascii="Arial" w:cs="Arial" w:eastAsia="Arial" w:hAnsi="Arial"/>
          <w:sz w:val="18"/>
          <w:szCs w:val="18"/>
          <w:u w:val="single" w:color="auto"/>
          <w:color w:val="0563C1"/>
        </w:rPr>
      </w:pPr>
    </w:p>
    <w:p>
      <w:pPr>
        <w:ind w:right="380"/>
        <w:spacing w:after="0" w:line="277" w:lineRule="auto"/>
        <w:rPr>
          <w:rFonts w:ascii="Arial" w:cs="Arial" w:eastAsia="Arial" w:hAnsi="Arial"/>
          <w:sz w:val="18"/>
          <w:szCs w:val="18"/>
          <w:u w:val="single" w:color="auto"/>
          <w:color w:val="0563C1"/>
        </w:rPr>
      </w:pPr>
      <w:hyperlink r:id="rId356">
        <w:r>
          <w:rPr>
            <w:rFonts w:ascii="Arial" w:cs="Arial" w:eastAsia="Arial" w:hAnsi="Arial"/>
            <w:sz w:val="18"/>
            <w:szCs w:val="18"/>
            <w:u w:val="single" w:color="auto"/>
            <w:color w:val="0563C1"/>
          </w:rPr>
          <w:t>Guaranty by and between Inmobiliaria IAMSA, S.A. de C.V. and Outset Medical, Inc</w:t>
        </w:r>
      </w:hyperlink>
      <w:r>
        <w:rPr>
          <w:rFonts w:ascii="Arial" w:cs="Arial" w:eastAsia="Arial" w:hAnsi="Arial"/>
          <w:sz w:val="18"/>
          <w:szCs w:val="18"/>
          <w:u w:val="single" w:color="auto"/>
          <w:color w:val="0563C1"/>
        </w:rPr>
        <w:t xml:space="preserve"> </w:t>
      </w:r>
      <w:hyperlink r:id="rId356">
        <w:r>
          <w:rPr>
            <w:rFonts w:ascii="Arial" w:cs="Arial" w:eastAsia="Arial" w:hAnsi="Arial"/>
            <w:sz w:val="18"/>
            <w:szCs w:val="18"/>
            <w:u w:val="single" w:color="auto"/>
            <w:color w:val="0563C1"/>
          </w:rPr>
          <w:t>dated as of May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39420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3942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110426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1104265" cy="8890"/>
                    </a:xfrm>
                    <a:prstGeom prst="rect">
                      <a:avLst/>
                    </a:prstGeom>
                    <a:noFill/>
                  </pic:spPr>
                </pic:pic>
              </a:graphicData>
            </a:graphic>
          </wp:anchor>
        </w:drawing>
      </w:r>
    </w:p>
    <w:p>
      <w:pPr>
        <w:spacing w:after="0" w:line="2" w:lineRule="exact"/>
        <w:rPr>
          <w:sz w:val="20"/>
          <w:szCs w:val="20"/>
          <w:color w:val="auto"/>
        </w:rPr>
      </w:pPr>
    </w:p>
    <w:p>
      <w:pPr>
        <w:ind w:right="300"/>
        <w:spacing w:after="0" w:line="277" w:lineRule="auto"/>
        <w:rPr>
          <w:rFonts w:ascii="Arial" w:cs="Arial" w:eastAsia="Arial" w:hAnsi="Arial"/>
          <w:sz w:val="18"/>
          <w:szCs w:val="18"/>
          <w:u w:val="single" w:color="auto"/>
          <w:color w:val="0563C1"/>
        </w:rPr>
      </w:pPr>
      <w:hyperlink r:id="rId359">
        <w:r>
          <w:rPr>
            <w:rFonts w:ascii="Arial" w:cs="Arial" w:eastAsia="Arial" w:hAnsi="Arial"/>
            <w:sz w:val="18"/>
            <w:szCs w:val="18"/>
            <w:u w:val="single" w:color="auto"/>
            <w:color w:val="0563C1"/>
          </w:rPr>
          <w:t>Manufacturing Services Agreement by and between TACNA Services, Inc. and Outset</w:t>
        </w:r>
      </w:hyperlink>
      <w:r>
        <w:rPr>
          <w:rFonts w:ascii="Arial" w:cs="Arial" w:eastAsia="Arial" w:hAnsi="Arial"/>
          <w:sz w:val="18"/>
          <w:szCs w:val="18"/>
          <w:u w:val="single" w:color="auto"/>
          <w:color w:val="0563C1"/>
        </w:rPr>
        <w:t xml:space="preserve"> </w:t>
      </w:r>
      <w:hyperlink r:id="rId359">
        <w:r>
          <w:rPr>
            <w:rFonts w:ascii="Arial" w:cs="Arial" w:eastAsia="Arial" w:hAnsi="Arial"/>
            <w:sz w:val="18"/>
            <w:szCs w:val="18"/>
            <w:u w:val="single" w:color="auto"/>
            <w:color w:val="0563C1"/>
          </w:rPr>
          <w:t>Medical, Inc. dated as of January 15,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39852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39852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19418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1941830" cy="8255"/>
                    </a:xfrm>
                    <a:prstGeom prst="rect">
                      <a:avLst/>
                    </a:prstGeom>
                    <a:noFill/>
                  </pic:spPr>
                </pic:pic>
              </a:graphicData>
            </a:graphic>
          </wp:anchor>
        </w:drawing>
      </w:r>
    </w:p>
    <w:p>
      <w:pPr>
        <w:spacing w:after="0" w:line="1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ind w:left="60"/>
              <w:spacing w:after="0"/>
              <w:rPr>
                <w:sz w:val="20"/>
                <w:szCs w:val="20"/>
                <w:color w:val="auto"/>
              </w:rPr>
            </w:pPr>
            <w:r>
              <w:rPr>
                <w:rFonts w:ascii="Arial" w:cs="Arial" w:eastAsia="Arial" w:hAnsi="Arial"/>
                <w:sz w:val="18"/>
                <w:szCs w:val="18"/>
                <w:b w:val="1"/>
                <w:bCs w:val="1"/>
                <w:color w:val="auto"/>
              </w:rPr>
              <w:t>Form</w:t>
            </w: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File No.</w:t>
            </w:r>
          </w:p>
        </w:tc>
        <w:tc>
          <w:tcPr>
            <w:tcW w:w="76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Filing Date</w:t>
            </w:r>
          </w:p>
        </w:tc>
      </w:tr>
      <w:tr>
        <w:trPr>
          <w:trHeight w:val="224"/>
        </w:trPr>
        <w:tc>
          <w:tcPr>
            <w:tcW w:w="6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September 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September 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September 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1"/>
              </w:rPr>
              <w:t>March 22, 2021</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September 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September 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1"/>
              </w:rPr>
              <w:t>March 22, 2021</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1"/>
              </w:rPr>
              <w:t>March 22, 2021</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1"/>
              </w:rPr>
              <w:t>March 22, 2021</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1"/>
              </w:rPr>
              <w:t>March 22, 2021</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November 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September 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September 9,</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485"/>
        </w:trPr>
        <w:tc>
          <w:tcPr>
            <w:tcW w:w="6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485"/>
        </w:trPr>
        <w:tc>
          <w:tcPr>
            <w:tcW w:w="6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r>
        <w:trPr>
          <w:trHeight w:val="269"/>
        </w:trPr>
        <w:tc>
          <w:tcPr>
            <w:tcW w:w="6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August 21, 2020</w:t>
            </w:r>
          </w:p>
        </w:tc>
      </w:tr>
    </w:tbl>
    <w:p>
      <w:pPr>
        <w:sectPr>
          <w:pgSz w:w="11900" w:h="16838" w:orient="portrait"/>
          <w:cols w:equalWidth="0" w:num="3">
            <w:col w:w="640" w:space="240"/>
            <w:col w:w="6540" w:space="140"/>
            <w:col w:w="3480"/>
          </w:cols>
          <w:pgMar w:left="460" w:top="337" w:right="399" w:bottom="1440" w:gutter="0" w:footer="0" w:header="0"/>
          <w:type w:val="continuous"/>
        </w:sectPr>
      </w:pPr>
    </w:p>
    <w:bookmarkStart w:id="109" w:name="page110"/>
    <w:bookmarkEnd w:id="109"/>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20" w:type="dxa"/>
            <w:vAlign w:val="bottom"/>
            <w:vMerge w:val="restart"/>
          </w:tcPr>
          <w:p>
            <w:pPr>
              <w:jc w:val="center"/>
              <w:ind w:right="230"/>
              <w:spacing w:after="0"/>
              <w:rPr>
                <w:sz w:val="20"/>
                <w:szCs w:val="20"/>
                <w:color w:val="auto"/>
              </w:rPr>
            </w:pPr>
            <w:r>
              <w:rPr>
                <w:rFonts w:ascii="Arial" w:cs="Arial" w:eastAsia="Arial" w:hAnsi="Arial"/>
                <w:sz w:val="18"/>
                <w:szCs w:val="18"/>
                <w:color w:val="auto"/>
                <w:w w:val="90"/>
              </w:rPr>
              <w:t>10.18#</w:t>
            </w:r>
          </w:p>
        </w:tc>
        <w:tc>
          <w:tcPr>
            <w:tcW w:w="6200" w:type="dxa"/>
            <w:vAlign w:val="bottom"/>
            <w:tcBorders>
              <w:bottom w:val="single" w:sz="8" w:color="0563C1"/>
            </w:tcBorders>
            <w:gridSpan w:val="11"/>
          </w:tcPr>
          <w:p>
            <w:pPr>
              <w:spacing w:after="0"/>
              <w:rPr>
                <w:rFonts w:ascii="Arial" w:cs="Arial" w:eastAsia="Arial" w:hAnsi="Arial"/>
                <w:sz w:val="18"/>
                <w:szCs w:val="18"/>
                <w:color w:val="0563C1"/>
                <w:w w:val="92"/>
              </w:rPr>
            </w:pPr>
            <w:hyperlink r:id="rId363">
              <w:r>
                <w:rPr>
                  <w:rFonts w:ascii="Arial" w:cs="Arial" w:eastAsia="Arial" w:hAnsi="Arial"/>
                  <w:sz w:val="18"/>
                  <w:szCs w:val="18"/>
                  <w:color w:val="0563C1"/>
                  <w:w w:val="92"/>
                </w:rPr>
                <w:t>Authorized Reseller Agreement by and between SDV Office Systems, LLC dba SDV</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4540" w:type="dxa"/>
            <w:vAlign w:val="bottom"/>
            <w:gridSpan w:val="3"/>
            <w:vMerge w:val="restart"/>
          </w:tcPr>
          <w:p>
            <w:pPr>
              <w:spacing w:after="0" w:line="196" w:lineRule="exact"/>
              <w:rPr>
                <w:rFonts w:ascii="Arial" w:cs="Arial" w:eastAsia="Arial" w:hAnsi="Arial"/>
                <w:sz w:val="18"/>
                <w:szCs w:val="18"/>
                <w:color w:val="0563C1"/>
                <w:w w:val="90"/>
              </w:rPr>
            </w:pPr>
            <w:hyperlink r:id="rId363">
              <w:r>
                <w:rPr>
                  <w:rFonts w:ascii="Arial" w:cs="Arial" w:eastAsia="Arial" w:hAnsi="Arial"/>
                  <w:sz w:val="18"/>
                  <w:szCs w:val="18"/>
                  <w:color w:val="0563C1"/>
                  <w:w w:val="90"/>
                </w:rPr>
                <w:t>Medical and Outset Medical, Inc. dated as of October 14, 2019</w:t>
              </w:r>
            </w:hyperlink>
          </w:p>
        </w:tc>
        <w:tc>
          <w:tcPr>
            <w:tcW w:w="1760" w:type="dxa"/>
            <w:vAlign w:val="bottom"/>
            <w:gridSpan w:val="9"/>
            <w:vMerge w:val="restart"/>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S-1</w:t>
            </w:r>
          </w:p>
        </w:tc>
        <w:tc>
          <w:tcPr>
            <w:tcW w:w="9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9"/>
              </w:rPr>
              <w:t>248225</w:t>
            </w:r>
          </w:p>
        </w:tc>
        <w:tc>
          <w:tcPr>
            <w:tcW w:w="7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8"/>
              </w:rPr>
              <w:t>10.18</w:t>
            </w:r>
          </w:p>
        </w:tc>
        <w:tc>
          <w:tcPr>
            <w:tcW w:w="1320" w:type="dxa"/>
            <w:vAlign w:val="bottom"/>
            <w:vMerge w:val="restart"/>
          </w:tcPr>
          <w:p>
            <w:pPr>
              <w:jc w:val="center"/>
              <w:ind w:left="50"/>
              <w:spacing w:after="0" w:line="196" w:lineRule="exact"/>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73"/>
        </w:trPr>
        <w:tc>
          <w:tcPr>
            <w:tcW w:w="820" w:type="dxa"/>
            <w:vAlign w:val="bottom"/>
          </w:tcPr>
          <w:p>
            <w:pPr>
              <w:spacing w:after="0"/>
              <w:rPr>
                <w:sz w:val="5"/>
                <w:szCs w:val="5"/>
                <w:color w:val="auto"/>
              </w:rPr>
            </w:pPr>
          </w:p>
        </w:tc>
        <w:tc>
          <w:tcPr>
            <w:tcW w:w="4540" w:type="dxa"/>
            <w:vAlign w:val="bottom"/>
            <w:tcBorders>
              <w:bottom w:val="single" w:sz="8" w:color="0563C1"/>
            </w:tcBorders>
            <w:gridSpan w:val="3"/>
            <w:vMerge w:val="continue"/>
          </w:tcPr>
          <w:p>
            <w:pPr>
              <w:spacing w:after="0"/>
              <w:rPr>
                <w:sz w:val="5"/>
                <w:szCs w:val="5"/>
                <w:color w:val="auto"/>
              </w:rPr>
            </w:pPr>
          </w:p>
        </w:tc>
        <w:tc>
          <w:tcPr>
            <w:tcW w:w="176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vMerge w:val="restart"/>
          </w:tcPr>
          <w:p>
            <w:pPr>
              <w:jc w:val="center"/>
              <w:ind w:right="230"/>
              <w:spacing w:after="0"/>
              <w:rPr>
                <w:sz w:val="20"/>
                <w:szCs w:val="20"/>
                <w:color w:val="auto"/>
              </w:rPr>
            </w:pPr>
            <w:r>
              <w:rPr>
                <w:rFonts w:ascii="Arial" w:cs="Arial" w:eastAsia="Arial" w:hAnsi="Arial"/>
                <w:sz w:val="18"/>
                <w:szCs w:val="18"/>
                <w:color w:val="auto"/>
                <w:w w:val="90"/>
              </w:rPr>
              <w:t>10.19#</w:t>
            </w:r>
          </w:p>
        </w:tc>
        <w:tc>
          <w:tcPr>
            <w:tcW w:w="5940" w:type="dxa"/>
            <w:vAlign w:val="bottom"/>
            <w:tcBorders>
              <w:bottom w:val="single" w:sz="8" w:color="0563C1"/>
            </w:tcBorders>
            <w:gridSpan w:val="8"/>
          </w:tcPr>
          <w:p>
            <w:pPr>
              <w:spacing w:after="0"/>
              <w:rPr>
                <w:rFonts w:ascii="Arial" w:cs="Arial" w:eastAsia="Arial" w:hAnsi="Arial"/>
                <w:sz w:val="18"/>
                <w:szCs w:val="18"/>
                <w:color w:val="0563C1"/>
                <w:w w:val="92"/>
              </w:rPr>
            </w:pPr>
            <w:hyperlink r:id="rId364">
              <w:r>
                <w:rPr>
                  <w:rFonts w:ascii="Arial" w:cs="Arial" w:eastAsia="Arial" w:hAnsi="Arial"/>
                  <w:sz w:val="18"/>
                  <w:szCs w:val="18"/>
                  <w:color w:val="0563C1"/>
                  <w:w w:val="92"/>
                </w:rPr>
                <w:t>Amendment 1 to the Authorized Reseller Agreement by and between SDV Office</w:t>
              </w:r>
            </w:hyperlink>
          </w:p>
        </w:tc>
        <w:tc>
          <w:tcPr>
            <w:tcW w:w="36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6300" w:type="dxa"/>
            <w:vAlign w:val="bottom"/>
            <w:gridSpan w:val="12"/>
            <w:vMerge w:val="restart"/>
          </w:tcPr>
          <w:p>
            <w:pPr>
              <w:spacing w:after="0" w:line="196" w:lineRule="exact"/>
              <w:rPr>
                <w:rFonts w:ascii="Arial" w:cs="Arial" w:eastAsia="Arial" w:hAnsi="Arial"/>
                <w:sz w:val="18"/>
                <w:szCs w:val="18"/>
                <w:color w:val="0563C1"/>
                <w:w w:val="92"/>
              </w:rPr>
            </w:pPr>
            <w:hyperlink r:id="rId364">
              <w:r>
                <w:rPr>
                  <w:rFonts w:ascii="Arial" w:cs="Arial" w:eastAsia="Arial" w:hAnsi="Arial"/>
                  <w:sz w:val="18"/>
                  <w:szCs w:val="18"/>
                  <w:color w:val="0563C1"/>
                  <w:w w:val="92"/>
                </w:rPr>
                <w:t>Systems, LLC dba SDV Medical and Outset Medical, Inc. dated as of March 26, 2020</w:t>
              </w:r>
            </w:hyperlink>
          </w:p>
        </w:tc>
        <w:tc>
          <w:tcPr>
            <w:tcW w:w="20" w:type="dxa"/>
            <w:vAlign w:val="bottom"/>
          </w:tcPr>
          <w:p>
            <w:pPr>
              <w:spacing w:after="0"/>
              <w:rPr>
                <w:sz w:val="11"/>
                <w:szCs w:val="11"/>
                <w:color w:val="auto"/>
              </w:rPr>
            </w:pPr>
          </w:p>
        </w:tc>
        <w:tc>
          <w:tcPr>
            <w:tcW w:w="9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S-1</w:t>
            </w:r>
          </w:p>
        </w:tc>
        <w:tc>
          <w:tcPr>
            <w:tcW w:w="9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9"/>
              </w:rPr>
              <w:t>248225</w:t>
            </w:r>
          </w:p>
        </w:tc>
        <w:tc>
          <w:tcPr>
            <w:tcW w:w="7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8"/>
              </w:rPr>
              <w:t>10.19</w:t>
            </w:r>
          </w:p>
        </w:tc>
        <w:tc>
          <w:tcPr>
            <w:tcW w:w="1320" w:type="dxa"/>
            <w:vAlign w:val="bottom"/>
            <w:vMerge w:val="restart"/>
          </w:tcPr>
          <w:p>
            <w:pPr>
              <w:jc w:val="center"/>
              <w:ind w:left="50"/>
              <w:spacing w:after="0" w:line="196" w:lineRule="exact"/>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6300" w:type="dxa"/>
            <w:vAlign w:val="bottom"/>
            <w:gridSpan w:val="12"/>
            <w:vMerge w:val="continue"/>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vMerge w:val="restart"/>
          </w:tcPr>
          <w:p>
            <w:pPr>
              <w:jc w:val="center"/>
              <w:ind w:right="230"/>
              <w:spacing w:after="0"/>
              <w:rPr>
                <w:sz w:val="20"/>
                <w:szCs w:val="20"/>
                <w:color w:val="auto"/>
              </w:rPr>
            </w:pPr>
            <w:r>
              <w:rPr>
                <w:rFonts w:ascii="Arial" w:cs="Arial" w:eastAsia="Arial" w:hAnsi="Arial"/>
                <w:sz w:val="18"/>
                <w:szCs w:val="18"/>
                <w:color w:val="auto"/>
                <w:w w:val="90"/>
              </w:rPr>
              <w:t>10.20#</w:t>
            </w:r>
          </w:p>
        </w:tc>
        <w:tc>
          <w:tcPr>
            <w:tcW w:w="5940" w:type="dxa"/>
            <w:vAlign w:val="bottom"/>
            <w:tcBorders>
              <w:top w:val="single" w:sz="8" w:color="0563C1"/>
              <w:bottom w:val="single" w:sz="8" w:color="0563C1"/>
            </w:tcBorders>
            <w:gridSpan w:val="8"/>
          </w:tcPr>
          <w:p>
            <w:pPr>
              <w:spacing w:after="0"/>
              <w:rPr>
                <w:rFonts w:ascii="Arial" w:cs="Arial" w:eastAsia="Arial" w:hAnsi="Arial"/>
                <w:sz w:val="18"/>
                <w:szCs w:val="18"/>
                <w:color w:val="0563C1"/>
                <w:w w:val="92"/>
              </w:rPr>
            </w:pPr>
            <w:hyperlink r:id="rId365">
              <w:r>
                <w:rPr>
                  <w:rFonts w:ascii="Arial" w:cs="Arial" w:eastAsia="Arial" w:hAnsi="Arial"/>
                  <w:sz w:val="18"/>
                  <w:szCs w:val="18"/>
                  <w:color w:val="0563C1"/>
                  <w:w w:val="92"/>
                </w:rPr>
                <w:t>Amendment 2 to the Authorized Reseller Agreement by and between SDV Office</w:t>
              </w:r>
            </w:hyperlink>
          </w:p>
        </w:tc>
        <w:tc>
          <w:tcPr>
            <w:tcW w:w="260" w:type="dxa"/>
            <w:vAlign w:val="bottom"/>
            <w:tcBorders>
              <w:top w:val="single" w:sz="8" w:color="0563C1"/>
            </w:tcBorders>
            <w:gridSpan w:val="3"/>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5980" w:type="dxa"/>
            <w:vAlign w:val="bottom"/>
            <w:gridSpan w:val="9"/>
            <w:vMerge w:val="restart"/>
          </w:tcPr>
          <w:p>
            <w:pPr>
              <w:spacing w:after="0" w:line="196" w:lineRule="exact"/>
              <w:rPr>
                <w:rFonts w:ascii="Arial" w:cs="Arial" w:eastAsia="Arial" w:hAnsi="Arial"/>
                <w:sz w:val="18"/>
                <w:szCs w:val="18"/>
                <w:color w:val="0563C1"/>
                <w:w w:val="91"/>
              </w:rPr>
            </w:pPr>
            <w:hyperlink r:id="rId365">
              <w:r>
                <w:rPr>
                  <w:rFonts w:ascii="Arial" w:cs="Arial" w:eastAsia="Arial" w:hAnsi="Arial"/>
                  <w:sz w:val="18"/>
                  <w:szCs w:val="18"/>
                  <w:color w:val="0563C1"/>
                  <w:w w:val="91"/>
                </w:rPr>
                <w:t>Systems, LLC dba SDV Medical and Outset Medical, Inc. dated as of May 6, 2020</w:t>
              </w:r>
            </w:hyperlink>
          </w:p>
        </w:tc>
        <w:tc>
          <w:tcPr>
            <w:tcW w:w="320" w:type="dxa"/>
            <w:vAlign w:val="bottom"/>
            <w:gridSpan w:val="3"/>
            <w:vMerge w:val="restart"/>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S-1</w:t>
            </w:r>
          </w:p>
        </w:tc>
        <w:tc>
          <w:tcPr>
            <w:tcW w:w="9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9"/>
              </w:rPr>
              <w:t>248225</w:t>
            </w:r>
          </w:p>
        </w:tc>
        <w:tc>
          <w:tcPr>
            <w:tcW w:w="7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8"/>
              </w:rPr>
              <w:t>10.20</w:t>
            </w:r>
          </w:p>
        </w:tc>
        <w:tc>
          <w:tcPr>
            <w:tcW w:w="1320" w:type="dxa"/>
            <w:vAlign w:val="bottom"/>
            <w:vMerge w:val="restart"/>
          </w:tcPr>
          <w:p>
            <w:pPr>
              <w:jc w:val="center"/>
              <w:ind w:left="50"/>
              <w:spacing w:after="0" w:line="196" w:lineRule="exact"/>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73"/>
        </w:trPr>
        <w:tc>
          <w:tcPr>
            <w:tcW w:w="820" w:type="dxa"/>
            <w:vAlign w:val="bottom"/>
          </w:tcPr>
          <w:p>
            <w:pPr>
              <w:spacing w:after="0"/>
              <w:rPr>
                <w:sz w:val="5"/>
                <w:szCs w:val="5"/>
                <w:color w:val="auto"/>
              </w:rPr>
            </w:pPr>
          </w:p>
        </w:tc>
        <w:tc>
          <w:tcPr>
            <w:tcW w:w="5980" w:type="dxa"/>
            <w:vAlign w:val="bottom"/>
            <w:tcBorders>
              <w:bottom w:val="single" w:sz="8" w:color="0563C1"/>
            </w:tcBorders>
            <w:gridSpan w:val="9"/>
            <w:vMerge w:val="continue"/>
          </w:tcPr>
          <w:p>
            <w:pPr>
              <w:spacing w:after="0"/>
              <w:rPr>
                <w:sz w:val="5"/>
                <w:szCs w:val="5"/>
                <w:color w:val="auto"/>
              </w:rPr>
            </w:pPr>
          </w:p>
        </w:tc>
        <w:tc>
          <w:tcPr>
            <w:tcW w:w="3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vMerge w:val="restart"/>
          </w:tcPr>
          <w:p>
            <w:pPr>
              <w:jc w:val="center"/>
              <w:ind w:right="230"/>
              <w:spacing w:after="0"/>
              <w:rPr>
                <w:sz w:val="20"/>
                <w:szCs w:val="20"/>
                <w:color w:val="auto"/>
              </w:rPr>
            </w:pPr>
            <w:r>
              <w:rPr>
                <w:rFonts w:ascii="Arial" w:cs="Arial" w:eastAsia="Arial" w:hAnsi="Arial"/>
                <w:sz w:val="18"/>
                <w:szCs w:val="18"/>
                <w:color w:val="auto"/>
                <w:w w:val="90"/>
              </w:rPr>
              <w:t>10.21#</w:t>
            </w:r>
          </w:p>
        </w:tc>
        <w:tc>
          <w:tcPr>
            <w:tcW w:w="6120" w:type="dxa"/>
            <w:vAlign w:val="bottom"/>
            <w:tcBorders>
              <w:bottom w:val="single" w:sz="8" w:color="0563C1"/>
            </w:tcBorders>
            <w:gridSpan w:val="10"/>
          </w:tcPr>
          <w:p>
            <w:pPr>
              <w:spacing w:after="0"/>
              <w:rPr>
                <w:rFonts w:ascii="Arial" w:cs="Arial" w:eastAsia="Arial" w:hAnsi="Arial"/>
                <w:sz w:val="18"/>
                <w:szCs w:val="18"/>
                <w:color w:val="0563C1"/>
                <w:w w:val="90"/>
              </w:rPr>
            </w:pPr>
            <w:hyperlink r:id="rId366">
              <w:r>
                <w:rPr>
                  <w:rFonts w:ascii="Arial" w:cs="Arial" w:eastAsia="Arial" w:hAnsi="Arial"/>
                  <w:sz w:val="18"/>
                  <w:szCs w:val="18"/>
                  <w:color w:val="0563C1"/>
                  <w:w w:val="90"/>
                </w:rPr>
                <w:t>Purchasing Agreement by and between HCA Management Services, L.P. and Outset</w:t>
              </w:r>
            </w:hyperlink>
          </w:p>
        </w:tc>
        <w:tc>
          <w:tcPr>
            <w:tcW w:w="18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740" w:type="dxa"/>
            <w:vAlign w:val="bottom"/>
            <w:gridSpan w:val="2"/>
            <w:vMerge w:val="restart"/>
          </w:tcPr>
          <w:p>
            <w:pPr>
              <w:spacing w:after="0" w:line="196" w:lineRule="exact"/>
              <w:rPr>
                <w:rFonts w:ascii="Arial" w:cs="Arial" w:eastAsia="Arial" w:hAnsi="Arial"/>
                <w:sz w:val="18"/>
                <w:szCs w:val="18"/>
                <w:color w:val="0563C1"/>
                <w:w w:val="90"/>
              </w:rPr>
            </w:pPr>
            <w:hyperlink r:id="rId366">
              <w:r>
                <w:rPr>
                  <w:rFonts w:ascii="Arial" w:cs="Arial" w:eastAsia="Arial" w:hAnsi="Arial"/>
                  <w:sz w:val="18"/>
                  <w:szCs w:val="18"/>
                  <w:color w:val="0563C1"/>
                  <w:w w:val="90"/>
                </w:rPr>
                <w:t>Medical, Inc. dated as of May 1, 2020</w:t>
              </w:r>
            </w:hyperlink>
          </w:p>
        </w:tc>
        <w:tc>
          <w:tcPr>
            <w:tcW w:w="3560" w:type="dxa"/>
            <w:vAlign w:val="bottom"/>
            <w:gridSpan w:val="10"/>
            <w:vMerge w:val="restart"/>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S-1</w:t>
            </w:r>
          </w:p>
        </w:tc>
        <w:tc>
          <w:tcPr>
            <w:tcW w:w="9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9"/>
              </w:rPr>
              <w:t>248225</w:t>
            </w:r>
          </w:p>
        </w:tc>
        <w:tc>
          <w:tcPr>
            <w:tcW w:w="7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8"/>
              </w:rPr>
              <w:t>10.21</w:t>
            </w:r>
          </w:p>
        </w:tc>
        <w:tc>
          <w:tcPr>
            <w:tcW w:w="1320" w:type="dxa"/>
            <w:vAlign w:val="bottom"/>
            <w:vMerge w:val="restart"/>
          </w:tcPr>
          <w:p>
            <w:pPr>
              <w:jc w:val="center"/>
              <w:ind w:left="50"/>
              <w:spacing w:after="0" w:line="196" w:lineRule="exact"/>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73"/>
        </w:trPr>
        <w:tc>
          <w:tcPr>
            <w:tcW w:w="820" w:type="dxa"/>
            <w:vAlign w:val="bottom"/>
          </w:tcPr>
          <w:p>
            <w:pPr>
              <w:spacing w:after="0"/>
              <w:rPr>
                <w:sz w:val="5"/>
                <w:szCs w:val="5"/>
                <w:color w:val="auto"/>
              </w:rPr>
            </w:pPr>
          </w:p>
        </w:tc>
        <w:tc>
          <w:tcPr>
            <w:tcW w:w="2740" w:type="dxa"/>
            <w:vAlign w:val="bottom"/>
            <w:tcBorders>
              <w:bottom w:val="single" w:sz="8" w:color="0563C1"/>
            </w:tcBorders>
            <w:gridSpan w:val="2"/>
            <w:vMerge w:val="continue"/>
          </w:tcPr>
          <w:p>
            <w:pPr>
              <w:spacing w:after="0"/>
              <w:rPr>
                <w:sz w:val="5"/>
                <w:szCs w:val="5"/>
                <w:color w:val="auto"/>
              </w:rPr>
            </w:pPr>
          </w:p>
        </w:tc>
        <w:tc>
          <w:tcPr>
            <w:tcW w:w="3560" w:type="dxa"/>
            <w:vAlign w:val="bottom"/>
            <w:gridSpan w:val="10"/>
            <w:vMerge w:val="continue"/>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vMerge w:val="restart"/>
          </w:tcPr>
          <w:p>
            <w:pPr>
              <w:jc w:val="center"/>
              <w:ind w:right="230"/>
              <w:spacing w:after="0"/>
              <w:rPr>
                <w:sz w:val="20"/>
                <w:szCs w:val="20"/>
                <w:color w:val="auto"/>
              </w:rPr>
            </w:pPr>
            <w:r>
              <w:rPr>
                <w:rFonts w:ascii="Arial" w:cs="Arial" w:eastAsia="Arial" w:hAnsi="Arial"/>
                <w:sz w:val="18"/>
                <w:szCs w:val="18"/>
                <w:color w:val="auto"/>
                <w:w w:val="90"/>
              </w:rPr>
              <w:t>10.22#</w:t>
            </w:r>
          </w:p>
        </w:tc>
        <w:tc>
          <w:tcPr>
            <w:tcW w:w="6300" w:type="dxa"/>
            <w:vAlign w:val="bottom"/>
            <w:tcBorders>
              <w:bottom w:val="single" w:sz="8" w:color="0563C1"/>
            </w:tcBorders>
            <w:gridSpan w:val="12"/>
          </w:tcPr>
          <w:p>
            <w:pPr>
              <w:spacing w:after="0"/>
              <w:rPr>
                <w:rFonts w:ascii="Arial" w:cs="Arial" w:eastAsia="Arial" w:hAnsi="Arial"/>
                <w:sz w:val="18"/>
                <w:szCs w:val="18"/>
                <w:color w:val="0563C1"/>
                <w:w w:val="90"/>
              </w:rPr>
            </w:pPr>
            <w:hyperlink r:id="rId367">
              <w:r>
                <w:rPr>
                  <w:rFonts w:ascii="Arial" w:cs="Arial" w:eastAsia="Arial" w:hAnsi="Arial"/>
                  <w:sz w:val="18"/>
                  <w:szCs w:val="18"/>
                  <w:color w:val="0563C1"/>
                  <w:w w:val="90"/>
                </w:rPr>
                <w:t>Supply Agreement by and between Carlisle Interconnect Technologies, Inc. and Outset</w:t>
              </w:r>
            </w:hyperlink>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720" w:type="dxa"/>
            <w:vAlign w:val="bottom"/>
            <w:vMerge w:val="restart"/>
          </w:tcPr>
          <w:p>
            <w:pPr>
              <w:spacing w:after="0" w:line="196" w:lineRule="exact"/>
              <w:rPr>
                <w:rFonts w:ascii="Arial" w:cs="Arial" w:eastAsia="Arial" w:hAnsi="Arial"/>
                <w:sz w:val="18"/>
                <w:szCs w:val="18"/>
                <w:color w:val="0563C1"/>
                <w:w w:val="89"/>
              </w:rPr>
            </w:pPr>
            <w:hyperlink r:id="rId367">
              <w:r>
                <w:rPr>
                  <w:rFonts w:ascii="Arial" w:cs="Arial" w:eastAsia="Arial" w:hAnsi="Arial"/>
                  <w:sz w:val="18"/>
                  <w:szCs w:val="18"/>
                  <w:color w:val="0563C1"/>
                  <w:w w:val="89"/>
                </w:rPr>
                <w:t>Medical, Inc., dated January 12, 2021</w:t>
              </w:r>
            </w:hyperlink>
          </w:p>
        </w:tc>
        <w:tc>
          <w:tcPr>
            <w:tcW w:w="3580" w:type="dxa"/>
            <w:vAlign w:val="bottom"/>
            <w:gridSpan w:val="11"/>
            <w:vMerge w:val="restart"/>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10-K</w:t>
            </w:r>
          </w:p>
        </w:tc>
        <w:tc>
          <w:tcPr>
            <w:tcW w:w="9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7"/>
              </w:rPr>
              <w:t>39513</w:t>
            </w:r>
          </w:p>
        </w:tc>
        <w:tc>
          <w:tcPr>
            <w:tcW w:w="7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8"/>
              </w:rPr>
              <w:t>10.30</w:t>
            </w:r>
          </w:p>
        </w:tc>
        <w:tc>
          <w:tcPr>
            <w:tcW w:w="1320" w:type="dxa"/>
            <w:vAlign w:val="bottom"/>
            <w:vMerge w:val="restart"/>
          </w:tcPr>
          <w:p>
            <w:pPr>
              <w:jc w:val="center"/>
              <w:ind w:left="50"/>
              <w:spacing w:after="0" w:line="196" w:lineRule="exact"/>
              <w:rPr>
                <w:sz w:val="20"/>
                <w:szCs w:val="20"/>
                <w:color w:val="auto"/>
              </w:rPr>
            </w:pPr>
            <w:r>
              <w:rPr>
                <w:rFonts w:ascii="Arial" w:cs="Arial" w:eastAsia="Arial" w:hAnsi="Arial"/>
                <w:sz w:val="18"/>
                <w:szCs w:val="18"/>
                <w:color w:val="auto"/>
                <w:w w:val="91"/>
              </w:rPr>
              <w:t>March 22, 2021</w:t>
            </w:r>
          </w:p>
        </w:tc>
        <w:tc>
          <w:tcPr>
            <w:tcW w:w="0" w:type="dxa"/>
            <w:vAlign w:val="bottom"/>
          </w:tcPr>
          <w:p>
            <w:pPr>
              <w:spacing w:after="0"/>
              <w:rPr>
                <w:sz w:val="1"/>
                <w:szCs w:val="1"/>
                <w:color w:val="auto"/>
              </w:rPr>
            </w:pPr>
          </w:p>
        </w:tc>
      </w:tr>
      <w:tr>
        <w:trPr>
          <w:trHeight w:val="73"/>
        </w:trPr>
        <w:tc>
          <w:tcPr>
            <w:tcW w:w="820" w:type="dxa"/>
            <w:vAlign w:val="bottom"/>
          </w:tcPr>
          <w:p>
            <w:pPr>
              <w:spacing w:after="0"/>
              <w:rPr>
                <w:sz w:val="5"/>
                <w:szCs w:val="5"/>
                <w:color w:val="auto"/>
              </w:rPr>
            </w:pPr>
          </w:p>
        </w:tc>
        <w:tc>
          <w:tcPr>
            <w:tcW w:w="2720" w:type="dxa"/>
            <w:vAlign w:val="bottom"/>
            <w:tcBorders>
              <w:bottom w:val="single" w:sz="8" w:color="0563C1"/>
            </w:tcBorders>
            <w:vMerge w:val="continue"/>
          </w:tcPr>
          <w:p>
            <w:pPr>
              <w:spacing w:after="0"/>
              <w:rPr>
                <w:sz w:val="5"/>
                <w:szCs w:val="5"/>
                <w:color w:val="auto"/>
              </w:rPr>
            </w:pPr>
          </w:p>
        </w:tc>
        <w:tc>
          <w:tcPr>
            <w:tcW w:w="3580" w:type="dxa"/>
            <w:vAlign w:val="bottom"/>
            <w:gridSpan w:val="11"/>
            <w:vMerge w:val="continue"/>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vMerge w:val="restart"/>
          </w:tcPr>
          <w:p>
            <w:pPr>
              <w:jc w:val="center"/>
              <w:ind w:right="210"/>
              <w:spacing w:after="0"/>
              <w:rPr>
                <w:sz w:val="20"/>
                <w:szCs w:val="20"/>
                <w:color w:val="auto"/>
              </w:rPr>
            </w:pPr>
            <w:r>
              <w:rPr>
                <w:rFonts w:ascii="Arial" w:cs="Arial" w:eastAsia="Arial" w:hAnsi="Arial"/>
                <w:sz w:val="18"/>
                <w:szCs w:val="18"/>
                <w:color w:val="auto"/>
                <w:w w:val="88"/>
              </w:rPr>
              <w:t>10.22</w:t>
            </w:r>
          </w:p>
        </w:tc>
        <w:tc>
          <w:tcPr>
            <w:tcW w:w="6300" w:type="dxa"/>
            <w:vAlign w:val="bottom"/>
            <w:tcBorders>
              <w:bottom w:val="single" w:sz="8" w:color="0563C1"/>
            </w:tcBorders>
            <w:gridSpan w:val="12"/>
          </w:tcPr>
          <w:p>
            <w:pPr>
              <w:spacing w:after="0"/>
              <w:rPr>
                <w:rFonts w:ascii="Arial" w:cs="Arial" w:eastAsia="Arial" w:hAnsi="Arial"/>
                <w:sz w:val="18"/>
                <w:szCs w:val="18"/>
                <w:color w:val="0563C1"/>
                <w:w w:val="90"/>
              </w:rPr>
            </w:pPr>
            <w:hyperlink r:id="rId368">
              <w:r>
                <w:rPr>
                  <w:rFonts w:ascii="Arial" w:cs="Arial" w:eastAsia="Arial" w:hAnsi="Arial"/>
                  <w:sz w:val="18"/>
                  <w:szCs w:val="18"/>
                  <w:color w:val="0563C1"/>
                  <w:w w:val="90"/>
                </w:rPr>
                <w:t>Loan and Security Agreement by and between SLR Investment Corp., the lenders from</w:t>
              </w:r>
            </w:hyperlink>
          </w:p>
        </w:tc>
        <w:tc>
          <w:tcPr>
            <w:tcW w:w="20" w:type="dxa"/>
            <w:vAlign w:val="bottom"/>
            <w:tcBorders>
              <w:bottom w:val="single" w:sz="8" w:color="0563C1"/>
            </w:tcBorders>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00" w:type="dxa"/>
            <w:vAlign w:val="bottom"/>
          </w:tcPr>
          <w:p>
            <w:pPr>
              <w:spacing w:after="0"/>
              <w:rPr>
                <w:sz w:val="22"/>
                <w:szCs w:val="22"/>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1"/>
              </w:rPr>
              <w:t>November 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6300" w:type="dxa"/>
            <w:vAlign w:val="bottom"/>
            <w:gridSpan w:val="12"/>
            <w:vMerge w:val="restart"/>
          </w:tcPr>
          <w:p>
            <w:pPr>
              <w:spacing w:after="0" w:line="196" w:lineRule="exact"/>
              <w:rPr>
                <w:rFonts w:ascii="Arial" w:cs="Arial" w:eastAsia="Arial" w:hAnsi="Arial"/>
                <w:sz w:val="18"/>
                <w:szCs w:val="18"/>
                <w:color w:val="0563C1"/>
                <w:w w:val="97"/>
              </w:rPr>
            </w:pPr>
            <w:hyperlink r:id="rId368">
              <w:r>
                <w:rPr>
                  <w:rFonts w:ascii="Arial" w:cs="Arial" w:eastAsia="Arial" w:hAnsi="Arial"/>
                  <w:sz w:val="18"/>
                  <w:szCs w:val="18"/>
                  <w:color w:val="0563C1"/>
                  <w:w w:val="97"/>
                </w:rPr>
                <w:t>time to time party thereto and Outset Medical, Inc. dated as of November 3, 2022</w:t>
              </w:r>
            </w:hyperlink>
          </w:p>
        </w:tc>
        <w:tc>
          <w:tcPr>
            <w:tcW w:w="20" w:type="dxa"/>
            <w:vAlign w:val="bottom"/>
          </w:tcPr>
          <w:p>
            <w:pPr>
              <w:spacing w:after="0"/>
              <w:rPr>
                <w:sz w:val="11"/>
                <w:szCs w:val="11"/>
                <w:color w:val="auto"/>
              </w:rPr>
            </w:pPr>
          </w:p>
        </w:tc>
        <w:tc>
          <w:tcPr>
            <w:tcW w:w="9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10-Q</w:t>
            </w:r>
          </w:p>
        </w:tc>
        <w:tc>
          <w:tcPr>
            <w:tcW w:w="9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7"/>
              </w:rPr>
              <w:t>39513</w:t>
            </w:r>
          </w:p>
        </w:tc>
        <w:tc>
          <w:tcPr>
            <w:tcW w:w="7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320" w:type="dxa"/>
            <w:vAlign w:val="bottom"/>
            <w:vMerge w:val="restart"/>
          </w:tcPr>
          <w:p>
            <w:pPr>
              <w:jc w:val="center"/>
              <w:ind w:left="70"/>
              <w:spacing w:after="0" w:line="196" w:lineRule="exact"/>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6300" w:type="dxa"/>
            <w:vAlign w:val="bottom"/>
            <w:gridSpan w:val="12"/>
            <w:vMerge w:val="continue"/>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vMerge w:val="restart"/>
          </w:tcPr>
          <w:p>
            <w:pPr>
              <w:jc w:val="center"/>
              <w:ind w:right="210"/>
              <w:spacing w:after="0"/>
              <w:rPr>
                <w:sz w:val="20"/>
                <w:szCs w:val="20"/>
                <w:color w:val="auto"/>
              </w:rPr>
            </w:pPr>
            <w:r>
              <w:rPr>
                <w:rFonts w:ascii="Arial" w:cs="Arial" w:eastAsia="Arial" w:hAnsi="Arial"/>
                <w:sz w:val="18"/>
                <w:szCs w:val="18"/>
                <w:color w:val="auto"/>
                <w:w w:val="88"/>
              </w:rPr>
              <w:t>10.24</w:t>
            </w:r>
          </w:p>
        </w:tc>
        <w:tc>
          <w:tcPr>
            <w:tcW w:w="5780" w:type="dxa"/>
            <w:vAlign w:val="bottom"/>
            <w:tcBorders>
              <w:top w:val="single" w:sz="8" w:color="0563C1"/>
              <w:bottom w:val="single" w:sz="8" w:color="0563C1"/>
            </w:tcBorders>
            <w:gridSpan w:val="6"/>
          </w:tcPr>
          <w:p>
            <w:pPr>
              <w:spacing w:after="0"/>
              <w:rPr>
                <w:rFonts w:ascii="Arial" w:cs="Arial" w:eastAsia="Arial" w:hAnsi="Arial"/>
                <w:sz w:val="18"/>
                <w:szCs w:val="18"/>
                <w:color w:val="0563C1"/>
                <w:w w:val="91"/>
              </w:rPr>
            </w:pPr>
            <w:hyperlink r:id="rId369">
              <w:r>
                <w:rPr>
                  <w:rFonts w:ascii="Arial" w:cs="Arial" w:eastAsia="Arial" w:hAnsi="Arial"/>
                  <w:sz w:val="18"/>
                  <w:szCs w:val="18"/>
                  <w:color w:val="0563C1"/>
                  <w:w w:val="91"/>
                </w:rPr>
                <w:t>Credit Agreement by and between Gemino Healthcare Finance, LLC d/b/a SLR</w:t>
              </w:r>
            </w:hyperlink>
          </w:p>
        </w:tc>
        <w:tc>
          <w:tcPr>
            <w:tcW w:w="80" w:type="dxa"/>
            <w:vAlign w:val="bottom"/>
            <w:tcBorders>
              <w:top w:val="single" w:sz="8" w:color="0563C1"/>
            </w:tcBorders>
          </w:tcPr>
          <w:p>
            <w:pPr>
              <w:spacing w:after="0"/>
              <w:rPr>
                <w:sz w:val="22"/>
                <w:szCs w:val="22"/>
                <w:color w:val="auto"/>
              </w:rPr>
            </w:pPr>
          </w:p>
        </w:tc>
        <w:tc>
          <w:tcPr>
            <w:tcW w:w="44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00" w:type="dxa"/>
            <w:vAlign w:val="bottom"/>
          </w:tcPr>
          <w:p>
            <w:pPr>
              <w:spacing w:after="0"/>
              <w:rPr>
                <w:sz w:val="22"/>
                <w:szCs w:val="22"/>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1"/>
              </w:rPr>
              <w:t>November 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5220" w:type="dxa"/>
            <w:vAlign w:val="bottom"/>
            <w:gridSpan w:val="5"/>
            <w:vMerge w:val="restart"/>
          </w:tcPr>
          <w:p>
            <w:pPr>
              <w:spacing w:after="0" w:line="196" w:lineRule="exact"/>
              <w:rPr>
                <w:rFonts w:ascii="Arial" w:cs="Arial" w:eastAsia="Arial" w:hAnsi="Arial"/>
                <w:sz w:val="18"/>
                <w:szCs w:val="18"/>
                <w:color w:val="0563C1"/>
                <w:w w:val="90"/>
              </w:rPr>
            </w:pPr>
            <w:hyperlink r:id="rId369">
              <w:r>
                <w:rPr>
                  <w:rFonts w:ascii="Arial" w:cs="Arial" w:eastAsia="Arial" w:hAnsi="Arial"/>
                  <w:sz w:val="18"/>
                  <w:szCs w:val="18"/>
                  <w:color w:val="0563C1"/>
                  <w:w w:val="90"/>
                </w:rPr>
                <w:t>Healthcare ABL and Outset Medical, Inc. dated as of November 3, 2022</w:t>
              </w:r>
            </w:hyperlink>
          </w:p>
        </w:tc>
        <w:tc>
          <w:tcPr>
            <w:tcW w:w="1080" w:type="dxa"/>
            <w:vAlign w:val="bottom"/>
            <w:gridSpan w:val="7"/>
            <w:vMerge w:val="restart"/>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10-Q</w:t>
            </w:r>
          </w:p>
        </w:tc>
        <w:tc>
          <w:tcPr>
            <w:tcW w:w="9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7"/>
              </w:rPr>
              <w:t>39513</w:t>
            </w:r>
          </w:p>
        </w:tc>
        <w:tc>
          <w:tcPr>
            <w:tcW w:w="7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320" w:type="dxa"/>
            <w:vAlign w:val="bottom"/>
            <w:vMerge w:val="restart"/>
          </w:tcPr>
          <w:p>
            <w:pPr>
              <w:jc w:val="center"/>
              <w:ind w:left="70"/>
              <w:spacing w:after="0" w:line="196" w:lineRule="exact"/>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73"/>
        </w:trPr>
        <w:tc>
          <w:tcPr>
            <w:tcW w:w="820" w:type="dxa"/>
            <w:vAlign w:val="bottom"/>
          </w:tcPr>
          <w:p>
            <w:pPr>
              <w:spacing w:after="0"/>
              <w:rPr>
                <w:sz w:val="5"/>
                <w:szCs w:val="5"/>
                <w:color w:val="auto"/>
              </w:rPr>
            </w:pPr>
          </w:p>
        </w:tc>
        <w:tc>
          <w:tcPr>
            <w:tcW w:w="5220" w:type="dxa"/>
            <w:vAlign w:val="bottom"/>
            <w:tcBorders>
              <w:bottom w:val="single" w:sz="8" w:color="0563C1"/>
            </w:tcBorders>
            <w:gridSpan w:val="5"/>
            <w:vMerge w:val="continue"/>
          </w:tcPr>
          <w:p>
            <w:pPr>
              <w:spacing w:after="0"/>
              <w:rPr>
                <w:sz w:val="5"/>
                <w:szCs w:val="5"/>
                <w:color w:val="auto"/>
              </w:rPr>
            </w:pPr>
          </w:p>
        </w:tc>
        <w:tc>
          <w:tcPr>
            <w:tcW w:w="108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tcPr>
          <w:p>
            <w:pPr>
              <w:jc w:val="center"/>
              <w:ind w:right="210"/>
              <w:spacing w:after="0"/>
              <w:rPr>
                <w:sz w:val="20"/>
                <w:szCs w:val="20"/>
                <w:color w:val="auto"/>
              </w:rPr>
            </w:pPr>
            <w:r>
              <w:rPr>
                <w:rFonts w:ascii="Arial" w:cs="Arial" w:eastAsia="Arial" w:hAnsi="Arial"/>
                <w:sz w:val="18"/>
                <w:szCs w:val="18"/>
                <w:color w:val="auto"/>
                <w:w w:val="95"/>
              </w:rPr>
              <w:t>23.1*</w:t>
            </w:r>
          </w:p>
        </w:tc>
        <w:tc>
          <w:tcPr>
            <w:tcW w:w="6300" w:type="dxa"/>
            <w:vAlign w:val="bottom"/>
            <w:gridSpan w:val="12"/>
          </w:tcPr>
          <w:p>
            <w:pPr>
              <w:spacing w:after="0"/>
              <w:rPr>
                <w:sz w:val="20"/>
                <w:szCs w:val="20"/>
                <w:color w:val="auto"/>
              </w:rPr>
            </w:pPr>
            <w:r>
              <w:rPr>
                <w:rFonts w:ascii="Arial" w:cs="Arial" w:eastAsia="Arial" w:hAnsi="Arial"/>
                <w:sz w:val="18"/>
                <w:szCs w:val="18"/>
                <w:color w:val="0563C1"/>
              </w:rPr>
              <w:t>Consent of KPMG LLP, independent registered public accounting firm</w:t>
            </w: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7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20"/>
          </w:cols>
          <w:pgMar w:left="320" w:top="351" w:right="359" w:bottom="1440" w:gutter="0" w:footer="0" w:header="0"/>
        </w:sectPr>
      </w:pPr>
    </w:p>
    <w:p>
      <w:pPr>
        <w:ind w:left="260"/>
        <w:spacing w:after="0"/>
        <w:rPr>
          <w:sz w:val="20"/>
          <w:szCs w:val="20"/>
          <w:color w:val="auto"/>
        </w:rPr>
      </w:pPr>
      <w:r>
        <w:rPr>
          <w:rFonts w:ascii="Arial" w:cs="Arial" w:eastAsia="Arial" w:hAnsi="Arial"/>
          <w:sz w:val="18"/>
          <w:szCs w:val="18"/>
          <w:color w:val="auto"/>
        </w:rPr>
        <w:t>24.1*</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32.1*</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0563C1"/>
        </w:rPr>
        <w:t>Power of Attorney (included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3507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2350770" cy="8890"/>
                    </a:xfrm>
                    <a:prstGeom prst="rect">
                      <a:avLst/>
                    </a:prstGeom>
                    <a:noFill/>
                  </pic:spPr>
                </pic:pic>
              </a:graphicData>
            </a:graphic>
          </wp:anchor>
        </w:drawing>
      </w:r>
    </w:p>
    <w:p>
      <w:pPr>
        <w:spacing w:after="0" w:line="57" w:lineRule="exact"/>
        <w:rPr>
          <w:sz w:val="20"/>
          <w:szCs w:val="20"/>
          <w:color w:val="auto"/>
        </w:rPr>
      </w:pPr>
    </w:p>
    <w:p>
      <w:pPr>
        <w:jc w:val="both"/>
        <w:ind w:right="3760"/>
        <w:spacing w:after="0" w:line="325" w:lineRule="auto"/>
        <w:rPr>
          <w:sz w:val="20"/>
          <w:szCs w:val="20"/>
          <w:color w:val="auto"/>
        </w:rPr>
      </w:pPr>
      <w:r>
        <w:rPr>
          <w:rFonts w:ascii="Arial" w:cs="Arial" w:eastAsia="Arial" w:hAnsi="Arial"/>
          <w:sz w:val="16"/>
          <w:szCs w:val="16"/>
          <w:u w:val="single" w:color="auto"/>
          <w:color w:val="0563C1"/>
        </w:rPr>
        <w:t>Certification of Principal Executive Officer pursuant to Rules 13a-14(a) and 15d-14(a) of the Exchange Act,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41097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41097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40900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4090035" cy="8255"/>
                    </a:xfrm>
                    <a:prstGeom prst="rect">
                      <a:avLst/>
                    </a:prstGeom>
                    <a:noFill/>
                  </pic:spPr>
                </pic:pic>
              </a:graphicData>
            </a:graphic>
          </wp:anchor>
        </w:drawing>
      </w:r>
    </w:p>
    <w:p>
      <w:pPr>
        <w:jc w:val="both"/>
        <w:ind w:right="3760"/>
        <w:spacing w:after="0" w:line="263" w:lineRule="auto"/>
        <w:rPr>
          <w:sz w:val="20"/>
          <w:szCs w:val="20"/>
          <w:color w:val="auto"/>
        </w:rPr>
      </w:pPr>
      <w:r>
        <w:rPr>
          <w:rFonts w:ascii="Arial" w:cs="Arial" w:eastAsia="Arial" w:hAnsi="Arial"/>
          <w:sz w:val="18"/>
          <w:szCs w:val="18"/>
          <w:u w:val="single" w:color="auto"/>
          <w:color w:val="0563C1"/>
        </w:rPr>
        <w:t>Certification of Principal Financial Officer pursuant to Rules 13a-14(a) and 15d-14(a) of the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40779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40779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411797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41179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3524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15" w:lineRule="exact"/>
        <w:rPr>
          <w:sz w:val="20"/>
          <w:szCs w:val="20"/>
          <w:color w:val="auto"/>
        </w:rPr>
      </w:pPr>
    </w:p>
    <w:p>
      <w:pPr>
        <w:ind w:right="3720"/>
        <w:spacing w:after="0" w:line="263" w:lineRule="auto"/>
        <w:rPr>
          <w:sz w:val="20"/>
          <w:szCs w:val="20"/>
          <w:color w:val="auto"/>
        </w:rPr>
      </w:pPr>
      <w:r>
        <w:rPr>
          <w:rFonts w:ascii="Arial" w:cs="Arial" w:eastAsia="Arial" w:hAnsi="Arial"/>
          <w:sz w:val="18"/>
          <w:szCs w:val="18"/>
          <w:u w:val="single" w:color="auto"/>
          <w:color w:val="0563C1"/>
        </w:rPr>
        <w:t>Certification of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413956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41395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39852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39852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2286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5" w:lineRule="exact"/>
        <w:rPr>
          <w:sz w:val="20"/>
          <w:szCs w:val="20"/>
          <w:color w:val="auto"/>
        </w:rPr>
      </w:pPr>
    </w:p>
    <w:p>
      <w:pPr>
        <w:ind w:right="4220"/>
        <w:spacing w:after="0" w:line="263"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35" w:lineRule="exact"/>
        <w:rPr>
          <w:sz w:val="20"/>
          <w:szCs w:val="20"/>
          <w:color w:val="auto"/>
        </w:rPr>
      </w:pPr>
    </w:p>
    <w:p>
      <w:pPr>
        <w:sectPr>
          <w:pgSz w:w="11900" w:h="16838" w:orient="portrait"/>
          <w:cols w:equalWidth="0" w:num="2">
            <w:col w:w="800" w:space="220"/>
            <w:col w:w="10200"/>
          </w:cols>
          <w:pgMar w:left="320" w:top="351" w:right="359" w:bottom="1440" w:gutter="0" w:footer="0" w:header="0"/>
          <w:type w:val="continuous"/>
        </w:sectPr>
      </w:pPr>
    </w:p>
    <w:tbl>
      <w:tblPr>
        <w:tblLayout w:type="fixed"/>
        <w:tblInd w:w="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5060" w:type="dxa"/>
            <w:vAlign w:val="bottom"/>
          </w:tcPr>
          <w:p>
            <w:pPr>
              <w:ind w:left="100"/>
              <w:spacing w:after="0"/>
              <w:rPr>
                <w:sz w:val="20"/>
                <w:szCs w:val="20"/>
                <w:color w:val="auto"/>
              </w:rPr>
            </w:pPr>
            <w:r>
              <w:rPr>
                <w:rFonts w:ascii="Arial" w:cs="Arial" w:eastAsia="Arial" w:hAnsi="Arial"/>
                <w:sz w:val="18"/>
                <w:szCs w:val="18"/>
                <w:color w:val="auto"/>
              </w:rPr>
              <w:t>Inline XBRL Taxonomy Extension Schema Document</w:t>
            </w:r>
          </w:p>
        </w:tc>
      </w:tr>
      <w:tr>
        <w:trPr>
          <w:trHeight w:val="499"/>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5060" w:type="dxa"/>
            <w:vAlign w:val="bottom"/>
          </w:tcPr>
          <w:p>
            <w:pPr>
              <w:ind w:left="10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50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5060" w:type="dxa"/>
            <w:vAlign w:val="bottom"/>
          </w:tcPr>
          <w:p>
            <w:pPr>
              <w:ind w:left="10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50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5060" w:type="dxa"/>
            <w:vAlign w:val="bottom"/>
          </w:tcPr>
          <w:p>
            <w:pPr>
              <w:ind w:left="1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99"/>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5060" w:type="dxa"/>
            <w:vAlign w:val="bottom"/>
          </w:tcPr>
          <w:p>
            <w:pPr>
              <w:ind w:left="10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269" w:lineRule="exact"/>
        <w:rPr>
          <w:sz w:val="20"/>
          <w:szCs w:val="20"/>
          <w:color w:val="auto"/>
        </w:rPr>
      </w:pPr>
    </w:p>
    <w:p>
      <w:pPr>
        <w:ind w:left="1020" w:right="3940" w:hanging="702"/>
        <w:spacing w:after="0" w:line="277"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36"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49" w:lineRule="exact"/>
        <w:rPr>
          <w:rFonts w:ascii="Arial" w:cs="Arial" w:eastAsia="Arial" w:hAnsi="Arial"/>
          <w:sz w:val="18"/>
          <w:szCs w:val="18"/>
          <w:color w:val="auto"/>
        </w:rPr>
      </w:pPr>
    </w:p>
    <w:p>
      <w:pPr>
        <w:ind w:left="760" w:hanging="752"/>
        <w:spacing w:after="0" w:line="277" w:lineRule="auto"/>
        <w:tabs>
          <w:tab w:leader="none" w:pos="371" w:val="left"/>
        </w:tabs>
        <w:numPr>
          <w:ilvl w:val="1"/>
          <w:numId w:val="39"/>
        </w:numPr>
        <w:rPr>
          <w:rFonts w:ascii="Arial" w:cs="Arial" w:eastAsia="Arial" w:hAnsi="Arial"/>
          <w:sz w:val="18"/>
          <w:szCs w:val="18"/>
          <w:color w:val="auto"/>
        </w:rPr>
      </w:pPr>
      <w:r>
        <w:rPr>
          <w:rFonts w:ascii="Arial" w:cs="Arial" w:eastAsia="Arial" w:hAnsi="Arial"/>
          <w:sz w:val="18"/>
          <w:szCs w:val="18"/>
          <w:color w:val="auto"/>
        </w:rPr>
        <w:t>Portions of the exhibit have been or will be excluded because it is both not material and is the type of information that the registrant treats as private or confidential.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Outset Medical, Inc.</w:t>
      </w:r>
    </w:p>
    <w:p>
      <w:pPr>
        <w:spacing w:after="0" w:line="252"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7"/>
          <w:szCs w:val="17"/>
          <w:color w:val="auto"/>
        </w:rPr>
        <w:t xml:space="preserve">By: /s/ </w:t>
      </w:r>
      <w:r>
        <w:rPr>
          <w:rFonts w:ascii="Arial" w:cs="Arial" w:eastAsia="Arial" w:hAnsi="Arial"/>
          <w:sz w:val="15"/>
          <w:szCs w:val="15"/>
          <w:color w:val="auto"/>
        </w:rPr>
        <w:t>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23495</wp:posOffset>
            </wp:positionV>
            <wp:extent cx="34029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Leslie Trigg</w:t>
      </w:r>
    </w:p>
    <w:p>
      <w:pPr>
        <w:spacing w:after="0" w:line="4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President and Chief Executive Officer; Chair of the Board</w:t>
      </w:r>
    </w:p>
    <w:p>
      <w:pPr>
        <w:spacing w:after="0" w:line="149"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Leslie Trigg and Nabeel Ahmed, and each of them,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69"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37" w:right="339" w:bottom="1440" w:gutter="0" w:footer="0" w:header="0"/>
        </w:sectPr>
      </w:pPr>
    </w:p>
    <w:p>
      <w:pPr>
        <w:spacing w:after="0" w:line="7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231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7"/>
          <w:szCs w:val="17"/>
          <w:color w:val="auto"/>
        </w:rPr>
        <w:t>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2311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Leslie Trigg</w:t>
      </w:r>
    </w:p>
    <w:p>
      <w:pPr>
        <w:spacing w:after="0" w:line="200" w:lineRule="exact"/>
        <w:rPr>
          <w:sz w:val="20"/>
          <w:szCs w:val="20"/>
          <w:color w:val="auto"/>
        </w:rPr>
      </w:pPr>
    </w:p>
    <w:p>
      <w:pPr>
        <w:spacing w:after="0" w:line="2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231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Nabeel Ahmed</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D. Keith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02311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 Keith Grossman</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Karen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231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Karen Drexler</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Patrick T.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0231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Patrick T. Hackett</w:t>
      </w:r>
    </w:p>
    <w:p>
      <w:pPr>
        <w:spacing w:after="0" w:line="15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Jim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231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Jim Hinrichs</w:t>
      </w:r>
    </w:p>
    <w:p>
      <w:pPr>
        <w:spacing w:after="0" w:line="19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Dale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231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Dale Jones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231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Andrea L. Saia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Catherine Szyman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02311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Catherine Szyman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04"/>
        </w:trPr>
        <w:tc>
          <w:tcPr>
            <w:tcW w:w="44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Chair of the Board</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13, 2023</w:t>
            </w:r>
          </w:p>
        </w:tc>
      </w:tr>
      <w:tr>
        <w:trPr>
          <w:trHeight w:val="499"/>
        </w:trPr>
        <w:tc>
          <w:tcPr>
            <w:tcW w:w="44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Officer and Principal Accounting</w:t>
            </w:r>
          </w:p>
        </w:tc>
        <w:tc>
          <w:tcPr>
            <w:tcW w:w="2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r>
              <w:rPr>
                <w:rFonts w:ascii="Arial" w:cs="Arial" w:eastAsia="Arial" w:hAnsi="Arial"/>
                <w:sz w:val="18"/>
                <w:szCs w:val="18"/>
                <w:color w:val="auto"/>
                <w:w w:val="94"/>
              </w:rPr>
              <w:t>)</w:t>
            </w:r>
          </w:p>
        </w:tc>
        <w:tc>
          <w:tcPr>
            <w:tcW w:w="2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13, 2023</w:t>
            </w:r>
          </w:p>
        </w:tc>
      </w:tr>
      <w:tr>
        <w:trPr>
          <w:trHeight w:val="729"/>
        </w:trPr>
        <w:tc>
          <w:tcPr>
            <w:tcW w:w="4400" w:type="dxa"/>
            <w:vAlign w:val="bottom"/>
          </w:tcPr>
          <w:p>
            <w:pPr>
              <w:jc w:val="center"/>
              <w:spacing w:after="0"/>
              <w:rPr>
                <w:sz w:val="20"/>
                <w:szCs w:val="20"/>
                <w:color w:val="auto"/>
              </w:rPr>
            </w:pPr>
            <w:r>
              <w:rPr>
                <w:rFonts w:ascii="Arial" w:cs="Arial" w:eastAsia="Arial" w:hAnsi="Arial"/>
                <w:sz w:val="18"/>
                <w:szCs w:val="18"/>
                <w:color w:val="auto"/>
                <w:w w:val="91"/>
              </w:rPr>
              <w:t>Lead Independent 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13, 2023</w:t>
            </w:r>
          </w:p>
        </w:tc>
      </w:tr>
      <w:tr>
        <w:trPr>
          <w:trHeight w:val="729"/>
        </w:trPr>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13, 2023</w:t>
            </w:r>
          </w:p>
        </w:tc>
      </w:tr>
      <w:tr>
        <w:trPr>
          <w:trHeight w:val="715"/>
        </w:trPr>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13, 2023</w:t>
            </w:r>
          </w:p>
        </w:tc>
      </w:tr>
      <w:tr>
        <w:trPr>
          <w:trHeight w:val="621"/>
        </w:trPr>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13, 2023</w:t>
            </w:r>
          </w:p>
        </w:tc>
      </w:tr>
      <w:tr>
        <w:trPr>
          <w:trHeight w:val="661"/>
        </w:trPr>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13,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00"/>
        <w:spacing w:after="0"/>
        <w:tabs>
          <w:tab w:leader="none" w:pos="55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00"/>
        <w:spacing w:after="0"/>
        <w:tabs>
          <w:tab w:leader="none" w:pos="55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13, 2023</w:t>
      </w:r>
    </w:p>
    <w:p>
      <w:pPr>
        <w:spacing w:after="0" w:line="443" w:lineRule="exact"/>
        <w:rPr>
          <w:sz w:val="20"/>
          <w:szCs w:val="20"/>
          <w:color w:val="auto"/>
        </w:rPr>
      </w:pPr>
    </w:p>
    <w:p>
      <w:pPr>
        <w:sectPr>
          <w:pgSz w:w="11900" w:h="16838" w:orient="portrait"/>
          <w:cols w:equalWidth="0" w:num="2">
            <w:col w:w="2720" w:space="720"/>
            <w:col w:w="7800"/>
          </w:cols>
          <w:pgMar w:left="320" w:top="337"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ind w:right="200"/>
        <w:spacing w:after="0" w:line="224"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248903 and 333-262927) on Form S-8 of our report dated February 13, 2023, with respect to the financial statements of Outset Medical, Inc. and the effectiveness of internal control over financial reporting.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117"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Outset Medical, Inc.;</w:t>
      </w:r>
    </w:p>
    <w:p>
      <w:pPr>
        <w:spacing w:after="0" w:line="117"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380" w:right="380" w:hanging="372"/>
        <w:spacing w:after="0" w:line="263"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40" w:right="120" w:hanging="383"/>
        <w:spacing w:after="0" w:line="263"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20" w:hanging="383"/>
        <w:spacing w:after="0" w:line="263"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383"/>
        <w:spacing w:after="0" w:line="342" w:lineRule="auto"/>
        <w:tabs>
          <w:tab w:leader="none" w:pos="11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383"/>
        <w:spacing w:after="0" w:line="263"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80" w:right="80" w:hanging="372"/>
        <w:spacing w:after="0" w:line="308" w:lineRule="auto"/>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right="680" w:hanging="383"/>
        <w:spacing w:after="0" w:line="342" w:lineRule="auto"/>
        <w:tabs>
          <w:tab w:leader="none" w:pos="11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60" w:hanging="383"/>
        <w:spacing w:after="0" w:line="277"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20" w:val="left"/>
          <w:tab w:leader="none" w:pos="606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829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Leslie Trigg</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Nabeel Ahmed, certify that:</w:t>
      </w:r>
    </w:p>
    <w:p>
      <w:pPr>
        <w:spacing w:after="0" w:line="117"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Outset Medical, Inc.;</w:t>
      </w:r>
    </w:p>
    <w:p>
      <w:pPr>
        <w:spacing w:after="0" w:line="117"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380" w:right="380" w:hanging="372"/>
        <w:spacing w:after="0" w:line="263"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40" w:right="120" w:hanging="383"/>
        <w:spacing w:after="0" w:line="263"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20" w:hanging="383"/>
        <w:spacing w:after="0" w:line="263"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383"/>
        <w:spacing w:after="0" w:line="342" w:lineRule="auto"/>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383"/>
        <w:spacing w:after="0" w:line="263"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80" w:right="80" w:hanging="372"/>
        <w:spacing w:after="0" w:line="308" w:lineRule="auto"/>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right="680" w:hanging="383"/>
        <w:spacing w:after="0" w:line="342" w:lineRule="auto"/>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60" w:hanging="383"/>
        <w:spacing w:after="0" w:line="277"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20" w:val="left"/>
          <w:tab w:leader="none" w:pos="606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829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Nabeel Ahmed</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connection with the Annual Report of Outset Medical, Inc. (the “Company”) on Form 10-K for the period ended December 31, 2022, as filed with the Securities and Exchange Commission on the date hereof (the “Report”), each of the undersigned certifies, pursuant to 18 U.S.C. §1350, as adopted pursuant to §906 of the Sarbanes-Oxley Act of 2002, that, to her or his knowledge:</w:t>
      </w:r>
    </w:p>
    <w:p>
      <w:pPr>
        <w:spacing w:after="0" w:line="143"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09" w:lineRule="exact"/>
        <w:rPr>
          <w:rFonts w:ascii="Arial" w:cs="Arial" w:eastAsia="Arial" w:hAnsi="Arial"/>
          <w:sz w:val="17"/>
          <w:szCs w:val="17"/>
          <w:color w:val="auto"/>
        </w:rPr>
      </w:pPr>
    </w:p>
    <w:p>
      <w:pPr>
        <w:ind w:left="760" w:hanging="378"/>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4560" w:val="left"/>
          <w:tab w:leader="none" w:pos="520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23495</wp:posOffset>
            </wp:positionV>
            <wp:extent cx="38315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Leslie Trigg</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ind w:left="20"/>
        <w:spacing w:after="0"/>
        <w:tabs>
          <w:tab w:leader="none" w:pos="4560" w:val="left"/>
          <w:tab w:leader="none" w:pos="520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23495</wp:posOffset>
            </wp:positionV>
            <wp:extent cx="38315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Nabeel Ahmed</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right="3040"/>
        <w:spacing w:after="0" w:line="301" w:lineRule="auto"/>
        <w:rPr>
          <w:sz w:val="20"/>
          <w:szCs w:val="20"/>
          <w:color w:val="auto"/>
        </w:rPr>
      </w:pPr>
      <w:r>
        <w:rPr>
          <w:rFonts w:ascii="Arial" w:cs="Arial" w:eastAsia="Arial" w:hAnsi="Arial"/>
          <w:sz w:val="16"/>
          <w:szCs w:val="16"/>
          <w:i w:val="1"/>
          <w:iCs w:val="1"/>
          <w:color w:val="auto"/>
        </w:rPr>
        <w:t>This certification accompanies the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upperLetter"/>
      <w:start w:val="6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Roman"/>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lvl w:ilvl="1">
      <w:lvlJc w:val="left"/>
      <w:lvlText w:val="%2"/>
      <w:numFmt w:val="decimal"/>
      <w:start w:val="104"/>
    </w:lvl>
  </w:abstractNum>
  <w:abstractNum w:abstractNumId="38">
    <w:nsid w:val="580BD78F"/>
    <w:multiLevelType w:val="hybridMultilevel"/>
    <w:lvl w:ilvl="0">
      <w:lvlJc w:val="left"/>
      <w:lvlText w:val="†"/>
      <w:numFmt w:val="bullet"/>
      <w:start w:val="1"/>
    </w:lvl>
    <w:lvl w:ilvl="1">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300" Type="http://schemas.openxmlformats.org/officeDocument/2006/relationships/image" Target="media/image292.png"/><Relationship Id="rId302" Type="http://schemas.openxmlformats.org/officeDocument/2006/relationships/image" Target="media/image293.png"/><Relationship Id="rId304" Type="http://schemas.openxmlformats.org/officeDocument/2006/relationships/image" Target="media/image294.png"/><Relationship Id="rId306" Type="http://schemas.openxmlformats.org/officeDocument/2006/relationships/image" Target="media/image295.png"/><Relationship Id="rId308" Type="http://schemas.openxmlformats.org/officeDocument/2006/relationships/image" Target="media/image296.png"/><Relationship Id="rId310"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5" Type="http://schemas.openxmlformats.org/officeDocument/2006/relationships/image" Target="media/image300.png"/><Relationship Id="rId317" Type="http://schemas.openxmlformats.org/officeDocument/2006/relationships/image" Target="media/image301.png"/><Relationship Id="rId319" Type="http://schemas.openxmlformats.org/officeDocument/2006/relationships/image" Target="media/image302.png"/><Relationship Id="rId321"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5"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299" Type="http://schemas.openxmlformats.org/officeDocument/2006/relationships/hyperlink" Target="https://www.sec.gov/Archives/edgar/data/1484612/000119312520241516/d941853dex31.htm" TargetMode="External"/><Relationship Id="rId301" Type="http://schemas.openxmlformats.org/officeDocument/2006/relationships/hyperlink" Target="https://www.sec.gov/Archives/edgar/data/1484612/000119312520241516/d941853dex32.htm" TargetMode="External"/><Relationship Id="rId303" Type="http://schemas.openxmlformats.org/officeDocument/2006/relationships/hyperlink" Target="https://www.sec.gov/Archives/edgar/data/1484612/000119312520241516/d941853dex41.htm" TargetMode="External"/><Relationship Id="rId305" Type="http://schemas.openxmlformats.org/officeDocument/2006/relationships/hyperlink" Target="https://www.sec.gov/Archives/edgar/data/1484612/000119312520226746/d941853dex42.htm" TargetMode="External"/><Relationship Id="rId307" Type="http://schemas.openxmlformats.org/officeDocument/2006/relationships/hyperlink" Target="https://www.sec.gov/Archives/edgar/data/1484612/000119312520226746/d941853dex43.htm" TargetMode="External"/><Relationship Id="rId309" Type="http://schemas.openxmlformats.org/officeDocument/2006/relationships/hyperlink" Target="https://www.sec.gov/Archives/edgar/data/1484612/000119312520226746/d941853dex44.htm" TargetMode="External"/><Relationship Id="rId311" Type="http://schemas.openxmlformats.org/officeDocument/2006/relationships/hyperlink" Target="https://www.sec.gov/Archives/edgar/data/1484612/000156459021014563/om-ex45_324.htm" TargetMode="External"/><Relationship Id="rId314" Type="http://schemas.openxmlformats.org/officeDocument/2006/relationships/hyperlink" Target="https://www.sec.gov/Archives/edgar/data/1484612/000119312520241516/d941853dex101.htm" TargetMode="External"/><Relationship Id="rId316" Type="http://schemas.openxmlformats.org/officeDocument/2006/relationships/hyperlink" Target="https://www.sec.gov/Archives/edgar/data/1484612/000119312520226746/d941853dex102.htm" TargetMode="External"/><Relationship Id="rId318" Type="http://schemas.openxmlformats.org/officeDocument/2006/relationships/hyperlink" Target="https://www.sec.gov/Archives/edgar/data/1484612/000119312520226746/d941853dex103.htm" TargetMode="External"/><Relationship Id="rId320" Type="http://schemas.openxmlformats.org/officeDocument/2006/relationships/hyperlink" Target="https://www.sec.gov/Archives/edgar/data/1484612/000119312520241516/d941853dex104.htm" TargetMode="External"/><Relationship Id="rId322" Type="http://schemas.openxmlformats.org/officeDocument/2006/relationships/hyperlink" Target="https://www.sec.gov/Archives/edgar/data/0001484612/000156459021014563/om-ex105_323.htm" TargetMode="External"/><Relationship Id="rId325" Type="http://schemas.openxmlformats.org/officeDocument/2006/relationships/hyperlink" Target="https://www.sec.gov/Archives/edgar/data/0001484612/000156459021014563/om-ex106_322.htm" TargetMode="External"/><Relationship Id="rId328" Type="http://schemas.openxmlformats.org/officeDocument/2006/relationships/hyperlink" Target="https://www.sec.gov/Archives/edgar/data/0001484612/000156459021014563/om-ex107_321.htm" TargetMode="External"/><Relationship Id="rId331" Type="http://schemas.openxmlformats.org/officeDocument/2006/relationships/hyperlink" Target="https://www.sec.gov/Archives/edgar/data/0001484612/000156459021014563/om-ex108_319.htm" TargetMode="External"/><Relationship Id="rId334" Type="http://schemas.openxmlformats.org/officeDocument/2006/relationships/hyperlink" Target="https://www.sec.gov/Archives/edgar/data/1484612/000095017022023370/om-ex10_3.htm" TargetMode="External"/><Relationship Id="rId336" Type="http://schemas.openxmlformats.org/officeDocument/2006/relationships/hyperlink" Target="https://www.sec.gov/Archives/edgar/data/1484612/000119312520226746/d941853dex106.htm" TargetMode="External"/><Relationship Id="rId339" Type="http://schemas.openxmlformats.org/officeDocument/2006/relationships/hyperlink" Target="https://www.sec.gov/Archives/edgar/data/0001484612/000119312520241516/d941853dex107.htm" TargetMode="External"/><Relationship Id="rId342" Type="http://schemas.openxmlformats.org/officeDocument/2006/relationships/hyperlink" Target="https://www.sec.gov/Archives/edgar/data/0001484612/000119312520241516/d941853dex108.htm" TargetMode="External"/><Relationship Id="rId345" Type="http://schemas.openxmlformats.org/officeDocument/2006/relationships/hyperlink" Target="https://www.sec.gov/Archives/edgar/data/1484612/000119312520226746/d941853dex1010.htm" TargetMode="External"/><Relationship Id="rId348" Type="http://schemas.openxmlformats.org/officeDocument/2006/relationships/hyperlink" Target="https://www.sec.gov/Archives/edgar/data/1484612/000119312520226746/d941853dex1011.htm" TargetMode="External"/><Relationship Id="rId352" Type="http://schemas.openxmlformats.org/officeDocument/2006/relationships/hyperlink" Target="https://www.sec.gov/Archives/edgar/data/1484612/000119312520226746/d941853dex1012.htm" TargetMode="External"/><Relationship Id="rId356" Type="http://schemas.openxmlformats.org/officeDocument/2006/relationships/hyperlink" Target="https://www.sec.gov/Archives/edgar/data/1484612/000119312520226746/d941853dex1013.htm" TargetMode="External"/><Relationship Id="rId359" Type="http://schemas.openxmlformats.org/officeDocument/2006/relationships/hyperlink" Target="https://www.sec.gov/Archives/edgar/data/1484612/000119312520226746/d941853dex1017.htm" TargetMode="External"/><Relationship Id="rId363" Type="http://schemas.openxmlformats.org/officeDocument/2006/relationships/hyperlink" Target="https://www.sec.gov/Archives/edgar/data/1484612/000119312520226746/d941853dex1018.htm" TargetMode="External"/><Relationship Id="rId364" Type="http://schemas.openxmlformats.org/officeDocument/2006/relationships/hyperlink" Target="https://www.sec.gov/Archives/edgar/data/1484612/000119312520226746/d941853dex1019.htm" TargetMode="External"/><Relationship Id="rId365" Type="http://schemas.openxmlformats.org/officeDocument/2006/relationships/hyperlink" Target="https://www.sec.gov/Archives/edgar/data/1484612/000119312520226746/d941853dex1020.htm" TargetMode="External"/><Relationship Id="rId366" Type="http://schemas.openxmlformats.org/officeDocument/2006/relationships/hyperlink" Target="https://www.sec.gov/Archives/edgar/data/1484612/000119312520226746/d941853dex1021.htm" TargetMode="External"/><Relationship Id="rId367" Type="http://schemas.openxmlformats.org/officeDocument/2006/relationships/hyperlink" Target="https://www.sec.gov/Archives/edgar/data/0001484612/000156459021014563/om-ex1030_320.htm" TargetMode="External"/><Relationship Id="rId368" Type="http://schemas.openxmlformats.org/officeDocument/2006/relationships/hyperlink" Target="https://www.sec.gov/Archives/edgar/data/1484612/000095017022023370/om-ex10_1.htm" TargetMode="External"/><Relationship Id="rId369" Type="http://schemas.openxmlformats.org/officeDocument/2006/relationships/hyperlink" Target="https://www.sec.gov/Archives/edgar/data/1484612/000095017022023370/o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2023-02-13T16:57:30Z</dcterms:created>
  <dcterms:modified xsi:type="dcterms:W3CDTF">2023-02-13T16:57:30Z</dcterms:modified>
</cp:coreProperties>
</file>