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500" w:hanging="3639"/>
        <w:spacing w:after="0" w:line="373" w:lineRule="auto"/>
        <w:tabs>
          <w:tab w:leader="none" w:pos="59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San Jose, California</w:t>
      </w:r>
      <w:r>
        <w:rPr>
          <w:sz w:val="20"/>
          <w:szCs w:val="20"/>
          <w:color w:val="auto"/>
        </w:rPr>
        <w:tab/>
      </w:r>
      <w:r>
        <w:rPr>
          <w:rFonts w:ascii="Times New Roman" w:cs="Times New Roman" w:eastAsia="Times New Roman" w:hAnsi="Times New Roman"/>
          <w:sz w:val="14"/>
          <w:szCs w:val="14"/>
          <w:b w:val="1"/>
          <w:bCs w:val="1"/>
          <w:color w:val="auto"/>
        </w:rPr>
        <w:t>95134</w:t>
      </w:r>
    </w:p>
    <w:p>
      <w:pPr>
        <w:spacing w:after="0" w:line="2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87" w:lineRule="exact"/>
        <w:rPr>
          <w:sz w:val="24"/>
          <w:szCs w:val="24"/>
          <w:color w:val="auto"/>
        </w:rPr>
      </w:pPr>
    </w:p>
    <w:p>
      <w:pPr>
        <w:jc w:val="both"/>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8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1, 2024, the registrant had 52,542,024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3"/>
            <w:vMerge w:val="continue"/>
          </w:tcPr>
          <w:p>
            <w:pPr>
              <w:spacing w:after="0"/>
              <w:rPr>
                <w:sz w:val="14"/>
                <w:szCs w:val="14"/>
                <w:color w:val="auto"/>
              </w:rPr>
            </w:pPr>
          </w:p>
        </w:tc>
        <w:tc>
          <w:tcPr>
            <w:tcW w:w="9440" w:type="dxa"/>
            <w:vAlign w:val="bottom"/>
            <w:gridSpan w:val="18"/>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rPr>
              <w:t>Condensed Balance Sheets</w:t>
            </w:r>
          </w:p>
        </w:tc>
        <w:tc>
          <w:tcPr>
            <w:tcW w:w="702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w w:val="99"/>
              </w:rPr>
              <w:t>Condensed Statements of Operations</w:t>
            </w:r>
          </w:p>
        </w:tc>
        <w:tc>
          <w:tcPr>
            <w:tcW w:w="6760" w:type="dxa"/>
            <w:vAlign w:val="bottom"/>
            <w:gridSpan w:val="7"/>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Condensed Statements of Comprehensive Loss</w:t>
            </w:r>
          </w:p>
        </w:tc>
        <w:tc>
          <w:tcPr>
            <w:tcW w:w="60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1460" w:type="dxa"/>
            <w:vAlign w:val="bottom"/>
            <w:gridSpan w:val="5"/>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6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9"/>
              </w:rPr>
              <w:t>OTHER INFORMATION</w:t>
            </w:r>
          </w:p>
        </w:tc>
        <w:tc>
          <w:tcPr>
            <w:tcW w:w="7500" w:type="dxa"/>
            <w:vAlign w:val="bottom"/>
            <w:gridSpan w:val="11"/>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810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50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710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660" w:type="dxa"/>
            <w:vAlign w:val="bottom"/>
            <w:gridSpan w:val="1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812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44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275,273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292,890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245,068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 shares authorized, and no shares issued and outstanding as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8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300,000 shares authorized as of September 30, 2024 and December</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52,538 and 50,317 shares issued and outstanding as of September 30, 2024 and December</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respectively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(1,064,085 )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(961,747 )</w:t>
            </w: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292,890</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-4996815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-4053840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-4036695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gridSpan w:val="4"/>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40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240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8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80,640</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99,869</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59,866</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100" w:type="dxa"/>
            <w:vAlign w:val="bottom"/>
          </w:tcPr>
          <w:p>
            <w:pPr>
              <w:spacing w:after="0"/>
              <w:rPr>
                <w:sz w:val="20"/>
                <w:szCs w:val="20"/>
                <w:color w:val="auto"/>
              </w:rPr>
            </w:pPr>
          </w:p>
        </w:tc>
      </w:tr>
      <w:tr>
        <w:trPr>
          <w:trHeight w:val="241"/>
        </w:trPr>
        <w:tc>
          <w:tcPr>
            <w:tcW w:w="5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74,038</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153,705</w:t>
            </w:r>
          </w:p>
        </w:tc>
        <w:tc>
          <w:tcPr>
            <w:tcW w:w="100" w:type="dxa"/>
            <w:vAlign w:val="bottom"/>
          </w:tcPr>
          <w:p>
            <w:pPr>
              <w:spacing w:after="0"/>
              <w:rPr>
                <w:sz w:val="20"/>
                <w:szCs w:val="20"/>
                <w:color w:val="auto"/>
              </w:rPr>
            </w:pPr>
          </w:p>
        </w:tc>
      </w:tr>
      <w:tr>
        <w:trPr>
          <w:trHeight w:val="241"/>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(23,839 )</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(45,454 )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(91,515 )</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(132,417 )</w:t>
            </w: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(6,068 )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(3,213 )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(18,046 )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(9,258 )</w:t>
            </w: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(27,940 )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(46,180 )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(102,338 )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(134,197 )</w:t>
            </w: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(0.55 )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(0.93 )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3"/>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51,685</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49,364</w:t>
            </w:r>
          </w:p>
        </w:tc>
        <w:tc>
          <w:tcPr>
            <w:tcW w:w="100" w:type="dxa"/>
            <w:vAlign w:val="bottom"/>
            <w:tcBorders>
              <w:top w:val="single" w:sz="8" w:color="CFF0FC"/>
            </w:tcBorders>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-3222625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-3222625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-3222625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-2596515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-2596515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-2596515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-1653540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-1653540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-1653540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-702310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-702310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-702310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-205105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-205105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9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(27,940 )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(46,180 )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(102,338 )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(134,197 )</w:t>
            </w: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(27,286 )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(46,040 )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(102,054 )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(133,886 )</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1,084,515</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(961,747 )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(39,944 )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(39,944 )</w:t>
            </w:r>
          </w:p>
        </w:tc>
        <w:tc>
          <w:tcPr>
            <w:tcW w:w="0" w:type="dxa"/>
            <w:vAlign w:val="bottom"/>
          </w:tcPr>
          <w:p>
            <w:pPr>
              <w:spacing w:after="0"/>
              <w:rPr>
                <w:sz w:val="1"/>
                <w:szCs w:val="1"/>
                <w:color w:val="auto"/>
              </w:rPr>
            </w:pPr>
          </w:p>
        </w:tc>
      </w:tr>
      <w:tr>
        <w:trPr>
          <w:trHeight w:val="23"/>
        </w:trPr>
        <w:tc>
          <w:tcPr>
            <w:tcW w:w="41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51,702</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1,095,097</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(1,001,691 )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(34,454 )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(34,454 )</w:t>
            </w:r>
          </w:p>
        </w:tc>
        <w:tc>
          <w:tcPr>
            <w:tcW w:w="0" w:type="dxa"/>
            <w:vAlign w:val="bottom"/>
          </w:tcPr>
          <w:p>
            <w:pPr>
              <w:spacing w:after="0"/>
              <w:rPr>
                <w:sz w:val="1"/>
                <w:szCs w:val="1"/>
                <w:color w:val="auto"/>
              </w:rPr>
            </w:pPr>
          </w:p>
        </w:tc>
      </w:tr>
      <w:tr>
        <w:trPr>
          <w:trHeight w:val="23"/>
        </w:trPr>
        <w:tc>
          <w:tcPr>
            <w:tcW w:w="41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52,084</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1,104,994</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(302 )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(1,036,145 )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(27,940 )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(27,940 )</w:t>
            </w:r>
          </w:p>
        </w:tc>
        <w:tc>
          <w:tcPr>
            <w:tcW w:w="0" w:type="dxa"/>
            <w:vAlign w:val="bottom"/>
          </w:tcPr>
          <w:p>
            <w:pPr>
              <w:spacing w:after="0"/>
              <w:rPr>
                <w:sz w:val="1"/>
                <w:szCs w:val="1"/>
                <w:color w:val="auto"/>
              </w:rPr>
            </w:pPr>
          </w:p>
        </w:tc>
      </w:tr>
      <w:tr>
        <w:trPr>
          <w:trHeight w:val="23"/>
        </w:trPr>
        <w:tc>
          <w:tcPr>
            <w:tcW w:w="41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52,538</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1,111,503</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(1,064,085 )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-2073910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-2073910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-2073910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-2073910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-2073910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-1190625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-1190625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-1190625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-1190625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-1190625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-179070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20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48,465</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1,035,456</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(564 )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(788,950 )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(43,971 )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(43,971 )</w:t>
            </w:r>
          </w:p>
        </w:tc>
        <w:tc>
          <w:tcPr>
            <w:tcW w:w="0" w:type="dxa"/>
            <w:vAlign w:val="bottom"/>
          </w:tcPr>
          <w:p>
            <w:pPr>
              <w:spacing w:after="0"/>
              <w:rPr>
                <w:sz w:val="1"/>
                <w:szCs w:val="1"/>
                <w:color w:val="auto"/>
              </w:rPr>
            </w:pPr>
          </w:p>
        </w:tc>
      </w:tr>
      <w:tr>
        <w:trPr>
          <w:trHeight w:val="23"/>
        </w:trPr>
        <w:tc>
          <w:tcPr>
            <w:tcW w:w="408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49,216</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1,049,271</w:t>
            </w:r>
          </w:p>
        </w:tc>
        <w:tc>
          <w:tcPr>
            <w:tcW w:w="2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(832,921 )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(280 )</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(44,046 )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(44,046 )</w:t>
            </w:r>
          </w:p>
        </w:tc>
        <w:tc>
          <w:tcPr>
            <w:tcW w:w="0" w:type="dxa"/>
            <w:vAlign w:val="bottom"/>
          </w:tcPr>
          <w:p>
            <w:pPr>
              <w:spacing w:after="0"/>
              <w:rPr>
                <w:sz w:val="1"/>
                <w:szCs w:val="1"/>
                <w:color w:val="auto"/>
              </w:rPr>
            </w:pPr>
          </w:p>
        </w:tc>
      </w:tr>
      <w:tr>
        <w:trPr>
          <w:trHeight w:val="23"/>
        </w:trPr>
        <w:tc>
          <w:tcPr>
            <w:tcW w:w="408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49,629</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1,060,418</w:t>
            </w:r>
          </w:p>
        </w:tc>
        <w:tc>
          <w:tcPr>
            <w:tcW w:w="2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(393 )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(876,967 )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(46,180 )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(46,180 )</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50,173</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1,075,413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(253 )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(923,147 )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-2219325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-2219325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-2219325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-2219325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-2219325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-1336675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-1336675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-1336675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-1336675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-1336675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(102,338 )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(3,890 )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(5,099 )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(3,092 )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(12,989 )</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(1,507 )</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(3,991 )</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(6,327 )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(1,556 )</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(1,173 )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(869 )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(150,467 )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(121,262 )</w:t>
            </w: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Maturities of investment securities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147,121</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183,250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term loans, net of issuance costs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(35,222 )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(36,907 )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36,616</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-3801110</wp:posOffset>
            </wp:positionV>
            <wp:extent cx="9398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-3801110</wp:posOffset>
            </wp:positionV>
            <wp:extent cx="9398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-3012440</wp:posOffset>
            </wp:positionV>
            <wp:extent cx="9398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-3012440</wp:posOffset>
            </wp:positionV>
            <wp:extent cx="9398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-2378075</wp:posOffset>
            </wp:positionV>
            <wp:extent cx="9398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-2378075</wp:posOffset>
            </wp:positionV>
            <wp:extent cx="9398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-1885315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-1233805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-873760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-856615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-367665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8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nine months ended September 30, 2024 and 2023, the Company incurred a net loss of $102.3 million and $134.2 million, respectively, and cash outflow from operating activities of $99.8 million and $106.9 million, respectively. As of September 30, 2024, the Company had an accumulated deficit of $1.1 billion.</w:t>
      </w:r>
    </w:p>
    <w:p>
      <w:pPr>
        <w:spacing w:after="0" w:line="6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cash, cash equivalents, restricted cash and short-term investments of $179.0 million. The Company is required to comply with certain covenants under the SLR Credit Facility Agreements (as defined in Note 7) including ones relating to financial reporting and the delivery of an unqualified audit opinion, the maintenance of minimum cash or revenue, the incurrence of additional debt, and its ability to make capital expenditures or declare dividends. If the Company fails to comply with any covenants, payments or other terms of either SLR Credit Facility Agreement, its agent or lender, as applicable, could declare an event of default, which would give it the right to declare all borrowings outstanding, together with accrued and unpaid interest and fees, to be immediately due and payable. Further details of obligations under the SLR Credit Facility Agreements are described in Note 7.</w:t>
      </w:r>
    </w:p>
    <w:p>
      <w:pPr>
        <w:spacing w:after="0" w:line="81"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significant expenses for the foreseeable future and to incur operating losses in the near term while the Company makes investments to support its anticipated growth.</w:t>
      </w:r>
    </w:p>
    <w:p>
      <w:pPr>
        <w:spacing w:after="0" w:line="72"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Furthermore, on September 23, 2024, the Company received notice from the Listing Qualifications staff of the Nasdaq Stock Market LLC (Nasdaq) that it no longer complied with the minimum bid price requirement for continued listing on the Nasdaq Global Select Market. If the Company is unable to regain compliance with the minimum bid price requirement within the applicable compliance period, or is unable to otherwise maintain compliance with other applicable Nasdaq listing rules, it may not be able to maintain the listing of its common stock on Nasdaq, which could adversely affect its ability to issue additional securities or obtain additional financing on terms acceptable to it, or at all.</w:t>
      </w:r>
    </w:p>
    <w:p>
      <w:pPr>
        <w:spacing w:after="0" w:line="75"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cash, cash equivalents, short-term investments, cash generated from sales, and proceeds received from the debt financing described in Note 7, will be sufficient to meet its anticipated needs for at least the next 12 months from the issuance date of the accompanying condensed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nine-month periods are also unaudited. The results of operations for the three and nine months ended September 30, 2024 are not necessarily indicative of the results of operations to be anticipated for any other future annual or interim period. The condensed balance sheet as of December 31, 2023 included herein was derived from the audited financial statements as of that date.</w:t>
      </w:r>
    </w:p>
    <w:p>
      <w:pPr>
        <w:spacing w:after="0" w:line="81"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2023, which are included in the Annual Report on Form 10-K for the fiscal year ended December 31, 2023 filed with the Securities and Exchange Commission (SEC) on February 21, 2024 (2023 Annual Report).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80" w:firstLine="562"/>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(ASU 2023-07), which requires that an entity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This ASU guidance is effective for our Annual Report on Form 10-K for the year ended December 31, 2024, and subsequent interim periods, with early adoption permitted. The Company is currently evaluating the impact of the adoption of ASU 2023-07 on its financial statements and disclosures.</w:t>
      </w:r>
    </w:p>
    <w:p>
      <w:pPr>
        <w:spacing w:after="0" w:line="74" w:lineRule="exact"/>
        <w:rPr>
          <w:sz w:val="20"/>
          <w:szCs w:val="20"/>
          <w:color w:val="auto"/>
        </w:rPr>
      </w:pPr>
    </w:p>
    <w:p>
      <w:pPr>
        <w:ind w:right="160" w:firstLine="562"/>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this ASU requires certain disclosures of state versus federal income tax expense and taxes paid. This ASU is effective for our Annual Report on Form 10-K for the year ended December 31, 2025, with early adoption permitted. The Company does not expect the adoption of ASU 2023-09 to have a material impact on its financial statements.</w:t>
      </w:r>
    </w:p>
    <w:p>
      <w:pPr>
        <w:spacing w:after="0" w:line="77" w:lineRule="exact"/>
        <w:rPr>
          <w:sz w:val="20"/>
          <w:szCs w:val="20"/>
          <w:color w:val="auto"/>
        </w:rPr>
      </w:pPr>
    </w:p>
    <w:p>
      <w:pPr>
        <w:ind w:firstLine="562"/>
        <w:spacing w:after="0" w:line="272" w:lineRule="auto"/>
        <w:rPr>
          <w:sz w:val="20"/>
          <w:szCs w:val="20"/>
          <w:color w:val="auto"/>
        </w:rPr>
      </w:pPr>
      <w:r>
        <w:rPr>
          <w:rFonts w:ascii="Times New Roman" w:cs="Times New Roman" w:eastAsia="Times New Roman" w:hAnsi="Times New Roman"/>
          <w:sz w:val="17"/>
          <w:szCs w:val="17"/>
          <w:color w:val="auto"/>
        </w:rPr>
        <w:t>In March 2024, the SEC adopted rules intended to enhance and standardize climate-related disclosures in registration statements and annual reports. The new rules will require disclosure of material climate-related risks, including the material impacts of these risks to the Company, the quantification of material impacts to the Company as a result of severe weather events and other natural conditions and Board of Directors' oversight and risk management activities. The new rules follow a compliance phase-in timeline based on a company's filing status. Large accelerated filers and accelerated filers (other than smaller reporting companies) are required to first incorporate such disclosures for fiscal years 2025 and 2026, respectively, followed by greenhouse gas-related disclosures, if material, for fiscal years 2026 and 2027, respectively. Smaller reporting companies are required to first incorporate such disclosures for fiscal year 2027 and are not required to report greenhouse gas emissions data. In April 2024, the SEC determined to voluntarily stay the final rules pending certain legal challenges. The Company is currently evaluating the impact of these new rules on its financial statements and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40" w:firstLine="562"/>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Company’s significant accounting policies as described in its 2023 Annual Report that have had a material impact on the Company’s condensed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4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1"/>
        </w:trPr>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r>
      <w:tr>
        <w:trPr>
          <w:trHeight w:val="23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51,053</w:t>
            </w:r>
          </w:p>
        </w:tc>
        <w:tc>
          <w:tcPr>
            <w:tcW w:w="220" w:type="dxa"/>
            <w:vAlign w:val="bottom"/>
            <w:shd w:val="clear" w:color="auto" w:fill="CFF0FC"/>
          </w:tcPr>
          <w:p>
            <w:pPr>
              <w:spacing w:after="0"/>
              <w:rPr>
                <w:sz w:val="20"/>
                <w:szCs w:val="20"/>
                <w:color w:val="auto"/>
              </w:rPr>
            </w:pPr>
          </w:p>
        </w:tc>
      </w:tr>
      <w:tr>
        <w:trPr>
          <w:trHeight w:val="23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220" w:type="dxa"/>
            <w:vAlign w:val="bottom"/>
          </w:tcPr>
          <w:p>
            <w:pPr>
              <w:spacing w:after="0"/>
              <w:rPr>
                <w:sz w:val="20"/>
                <w:szCs w:val="20"/>
                <w:color w:val="auto"/>
              </w:rPr>
            </w:pPr>
          </w:p>
        </w:tc>
      </w:tr>
      <w:tr>
        <w:trPr>
          <w:trHeight w:val="241"/>
        </w:trPr>
        <w:tc>
          <w:tcPr>
            <w:tcW w:w="4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product revenue</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80,640</w:t>
            </w:r>
          </w:p>
        </w:tc>
        <w:tc>
          <w:tcPr>
            <w:tcW w:w="220" w:type="dxa"/>
            <w:vAlign w:val="bottom"/>
            <w:shd w:val="clear" w:color="auto" w:fill="CFF0FC"/>
          </w:tcPr>
          <w:p>
            <w:pPr>
              <w:spacing w:after="0"/>
              <w:rPr>
                <w:sz w:val="20"/>
                <w:szCs w:val="20"/>
                <w:color w:val="auto"/>
              </w:rPr>
            </w:pPr>
          </w:p>
        </w:tc>
      </w:tr>
      <w:tr>
        <w:trPr>
          <w:trHeight w:val="23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20" w:type="dxa"/>
            <w:vAlign w:val="bottom"/>
          </w:tcPr>
          <w:p>
            <w:pPr>
              <w:spacing w:after="0"/>
              <w:rPr>
                <w:sz w:val="20"/>
                <w:szCs w:val="20"/>
                <w:color w:val="auto"/>
              </w:rPr>
            </w:pPr>
          </w:p>
        </w:tc>
      </w:tr>
      <w:tr>
        <w:trPr>
          <w:trHeight w:val="277"/>
        </w:trPr>
        <w:tc>
          <w:tcPr>
            <w:tcW w:w="42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99,869</w:t>
            </w:r>
          </w:p>
        </w:tc>
        <w:tc>
          <w:tcPr>
            <w:tcW w:w="2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2024, the aggregate amount of the transaction price allocated to the remaining performance obligations related to customer service contracts that are unsatisfied or partially unsatisfied was $12.9 million, which is recorded as deferred revenue on the Company’s condensed balance sheets. Of that amount, $12.8 million will be recognized as revenue during the next 12 months and $0.1 million thereafter.</w:t>
      </w:r>
    </w:p>
    <w:p>
      <w:pPr>
        <w:spacing w:after="0" w:line="68" w:lineRule="exact"/>
        <w:rPr>
          <w:sz w:val="20"/>
          <w:szCs w:val="20"/>
          <w:color w:val="auto"/>
        </w:rPr>
      </w:pPr>
    </w:p>
    <w:p>
      <w:pPr>
        <w:ind w:right="30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and nine months ended September 30, 2024, the Company recognized $2.0 million and $10.9 million of previously deferred revenue, respectively.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72,762</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57,712</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158,130</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4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53,790</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179,629</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4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-2571115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-2553970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-2571115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-2553970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-2571115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-2553970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2024, the remaining contractual maturities for available-for-sale securities were one month to thirteen months.</w:t>
      </w:r>
    </w:p>
    <w:p>
      <w:pPr>
        <w:spacing w:after="0" w:line="117"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September 30, 2024, and December 31,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40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00" w:type="dxa"/>
            <w:vAlign w:val="bottom"/>
          </w:tcPr>
          <w:p>
            <w:pPr>
              <w:spacing w:after="0"/>
              <w:rPr>
                <w:sz w:val="18"/>
                <w:szCs w:val="18"/>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Unrealized losses 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months or greater</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6"/>
              </w:rPr>
              <w:t>(16 )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11"/>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(22 )</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r>
      <w:tr>
        <w:trPr>
          <w:trHeight w:val="245"/>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24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(42 )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-187960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September 30, 2024,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and nine months ended September 30, 2024 and 2023, the Company did not recognize credit loss related to available-for-sales debt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restricted cash balance of $3.3 million, was related to collateral for the Company’s building leases in San Jose, CA and Tijuana, Mexico.</w:t>
      </w:r>
    </w:p>
    <w:p>
      <w:pPr>
        <w:spacing w:after="0" w:line="54" w:lineRule="exact"/>
        <w:rPr>
          <w:sz w:val="20"/>
          <w:szCs w:val="20"/>
          <w:color w:val="auto"/>
        </w:rPr>
      </w:pPr>
    </w:p>
    <w:p>
      <w:pPr>
        <w:ind w:right="6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Accounts receivable are recorded at invoice value, net of any allowance for credit losses. The allowance for credit losses is based on the Company’s assessment of its best estimate of the amount of credit losses in customer accounts. The Company regularly reviews the allowance by considering factors such as existing contractual payment terms, historical collection experience, the financial position of the customer and information provided by credit rating services, the age of the accounts receivable balances, and current economic conditions that may affect a customer’s ability to pay.</w:t>
      </w:r>
    </w:p>
    <w:p>
      <w:pPr>
        <w:spacing w:after="0" w:line="16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writes off accounts receivable when the Company has exhausted collection efforts without success, and payments subsequently received on such receivables are credited to the allowance in the period the payment is received. Credit losses from continuing operations have consistently been within management’s expectations.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allowance for credit losses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allowance</w:t>
            </w:r>
          </w:p>
        </w:tc>
        <w:tc>
          <w:tcPr>
            <w:tcW w:w="4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4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422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2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-2014220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-2014220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9"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 xml:space="preserve">On August 29, 2024, a purported stockholder class action lawsuit (the Porcelli Complaint), </w:t>
      </w:r>
      <w:r>
        <w:rPr>
          <w:rFonts w:ascii="Times New Roman" w:cs="Times New Roman" w:eastAsia="Times New Roman" w:hAnsi="Times New Roman"/>
          <w:sz w:val="18"/>
          <w:szCs w:val="18"/>
          <w:i w:val="1"/>
          <w:iCs w:val="1"/>
          <w:color w:val="auto"/>
        </w:rPr>
        <w:t>Porcelli, et al. v. Outset Medical, Inc., et al., 5:24-cv-06124-EJD</w:t>
      </w:r>
      <w:r>
        <w:rPr>
          <w:rFonts w:ascii="Times New Roman" w:cs="Times New Roman" w:eastAsia="Times New Roman" w:hAnsi="Times New Roman"/>
          <w:sz w:val="18"/>
          <w:szCs w:val="18"/>
          <w:color w:val="auto"/>
        </w:rPr>
        <w:t>, was filed in the U.S. District Court for the Northern District of California, naming the Company, its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Officer as defendants. On October 18, 2024, a second purported stockholder class action lawsuit (the Plymouth Complaint), </w:t>
      </w:r>
      <w:r>
        <w:rPr>
          <w:rFonts w:ascii="Times New Roman" w:cs="Times New Roman" w:eastAsia="Times New Roman" w:hAnsi="Times New Roman"/>
          <w:sz w:val="18"/>
          <w:szCs w:val="18"/>
          <w:i w:val="1"/>
          <w:iCs w:val="1"/>
          <w:color w:val="auto"/>
        </w:rPr>
        <w:t>Plymouth County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Association v. Outset Medical, Inc, et al., 5:24-cv-06124-HSG</w:t>
      </w:r>
      <w:r>
        <w:rPr>
          <w:rFonts w:ascii="Times New Roman" w:cs="Times New Roman" w:eastAsia="Times New Roman" w:hAnsi="Times New Roman"/>
          <w:sz w:val="18"/>
          <w:szCs w:val="18"/>
          <w:color w:val="auto"/>
        </w:rPr>
        <w:t>, was filed in the U.S. District Court for the Northern District of California.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lawsuit additionally names the Company's former Chief Financial Officer as a defendant. The Porcelli Complaint alleges that between August 1, 2022 and August 7, 2024, the defendants violated Sections 10(b) and 20(a) of the Securities Exchange Act of 1934, as amended (Exchange Act) by making false or misleading statements about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alleges the same violations between September 15, 2020 and August 7, 2024. The Company intends to vigorously defend against this litigation. The cases are at a very early stage and there can be no assurance that the Company will be successful in its defense. For this same reason, the Company cannot currently estimate the loss or the range of possible losses it may experience in connection with this litigation.</w:t>
      </w:r>
    </w:p>
    <w:p>
      <w:pPr>
        <w:spacing w:after="0" w:line="86" w:lineRule="exact"/>
        <w:rPr>
          <w:sz w:val="20"/>
          <w:szCs w:val="20"/>
          <w:color w:val="auto"/>
        </w:rPr>
      </w:pPr>
    </w:p>
    <w:p>
      <w:pPr>
        <w:ind w:right="420" w:firstLine="56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Term loans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3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133,476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3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(2,818 )</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(3,363 )</w:t>
            </w:r>
          </w:p>
        </w:tc>
      </w:tr>
      <w:tr>
        <w:trPr>
          <w:trHeight w:val="279"/>
        </w:trPr>
        <w:tc>
          <w:tcPr>
            <w:tcW w:w="61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Term loans, noncurrent</w:t>
            </w: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197,182</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On November 3, 2022 (the Closing Date),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9"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The maximum amount the Company is permitted to borrow under the SLR Credit Facilities is subject to certain overall borrowing limitations that are tied to achieving certain specified revenue milestones and limit the maximum principal amount outstanding under the SLR Credit Facilities. As of September 30, 2024, the Company borrowed an aggregate principal amount of $200.0 million under the SLR Term Loan Facility, the full amount available under the borrowing limitations.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Term Loan Facility</w:t>
      </w:r>
    </w:p>
    <w:p>
      <w:pPr>
        <w:spacing w:after="0" w:line="119"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Under the SLR Loan Agreement, as subsequently amended on December 11, 2023, the Term Loan Lenders agreed to extend term loans to the Company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(Term C Loans). Each Term A Loan, Term B Loan and Term C Loan is referred to single as a Term Loan and are referred to collectively as the Term Loans. The Term C Loans are subject to compliance with the borrowing limitations, Term Loan Lenders’ credit approval and the achievement of a specified net revenue milestone on or before June 30, 2025 and if available, would remain available for funding until one business day prior to November 1, 2027.</w:t>
      </w:r>
    </w:p>
    <w:p>
      <w:pPr>
        <w:spacing w:after="0" w:line="8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Any principal amount outstanding under the Term Loans will accrue interest at a rate per annum equal to one-month term Secured Overnight Financing Rate (term SOFR) (subject to a 2.75% floor), plus 5.15% (10.32% as of September 30, 2024), payable monthly in arrears. The Company is permitted to make interest-only payments on the Term Loans through November 30, 2026. Any 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fees in the aggregate amount of $750,000 in respect of the Term B-1 and B-2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Revolver</w:t>
      </w:r>
    </w:p>
    <w:p>
      <w:pPr>
        <w:spacing w:after="0" w:line="119" w:lineRule="exact"/>
        <w:rPr>
          <w:sz w:val="20"/>
          <w:szCs w:val="20"/>
          <w:color w:val="auto"/>
        </w:rPr>
      </w:pPr>
    </w:p>
    <w:p>
      <w:pPr>
        <w:jc w:val="both"/>
        <w:ind w:right="40" w:firstLine="569"/>
        <w:spacing w:after="0" w:line="270" w:lineRule="auto"/>
        <w:rPr>
          <w:sz w:val="20"/>
          <w:szCs w:val="20"/>
          <w:color w:val="auto"/>
        </w:rPr>
      </w:pPr>
      <w:r>
        <w:rPr>
          <w:rFonts w:ascii="Times New Roman" w:cs="Times New Roman" w:eastAsia="Times New Roman" w:hAnsi="Times New Roman"/>
          <w:sz w:val="17"/>
          <w:szCs w:val="17"/>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w:t>
      </w:r>
    </w:p>
    <w:p>
      <w:pPr>
        <w:spacing w:after="0" w:line="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eligible accounts receivable, plus (b) 25% of eligible inventory (not to exceed the lesser of 50% of the Borrowing Base and $5.0 million), minus</w:t>
      </w:r>
    </w:p>
    <w:p>
      <w:pPr>
        <w:spacing w:after="0" w:line="9" w:lineRule="exact"/>
        <w:rPr>
          <w:rFonts w:ascii="Times New Roman" w:cs="Times New Roman" w:eastAsia="Times New Roman" w:hAnsi="Times New Roman"/>
          <w:sz w:val="18"/>
          <w:szCs w:val="18"/>
          <w:color w:val="auto"/>
        </w:rPr>
      </w:pPr>
    </w:p>
    <w:p>
      <w:pPr>
        <w:ind w:right="20" w:firstLine="8"/>
        <w:spacing w:after="0" w:line="255"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reserves, minus (d) unposted cash. As of September 30, 2024, no amounts were outstanding under the SLR Revolver. As a result of the overall borrowing limitations set forth in the SLR Credit Facilities, amounts under the SLR Revolver are not currently available. As of September 30, 2024, the Company has not requested or received ABL Lender’s approval of the Additional Tranche.</w:t>
      </w:r>
    </w:p>
    <w:p>
      <w:pPr>
        <w:spacing w:after="0" w:line="78"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spacing w:after="0" w:line="79"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Subject to customary exceptions and restrictions, the Company may borrow, repay and reborrow varying amounts under the SLR Revolver at any time subject to the overall borrowing limitations. If at any time the outstanding amount under the SLR Revolver exceeds the lesser of (i) the aggregate revolving commitments then in effect and (ii) the Borrowing Base then in effect, the Company will be required to prepay outstanding amounts under the SLR Revolver.</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SLR Revolver shall expire on November 1, 2027.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SLR Credit Facilities</w:t>
      </w:r>
    </w:p>
    <w:p>
      <w:pPr>
        <w:spacing w:after="0" w:line="119" w:lineRule="exact"/>
        <w:rPr>
          <w:sz w:val="20"/>
          <w:szCs w:val="20"/>
          <w:color w:val="auto"/>
        </w:rPr>
      </w:pPr>
    </w:p>
    <w:p>
      <w:pPr>
        <w:jc w:val="both"/>
        <w:ind w:right="320" w:firstLine="569"/>
        <w:spacing w:after="0" w:line="312" w:lineRule="auto"/>
        <w:rPr>
          <w:sz w:val="20"/>
          <w:szCs w:val="20"/>
          <w:color w:val="auto"/>
        </w:rPr>
      </w:pPr>
      <w:r>
        <w:rPr>
          <w:rFonts w:ascii="Times New Roman" w:cs="Times New Roman" w:eastAsia="Times New Roman" w:hAnsi="Times New Roman"/>
          <w:sz w:val="17"/>
          <w:szCs w:val="17"/>
          <w:color w:val="auto"/>
        </w:rPr>
        <w:t>As security for its obligations under the SLR Credit Facilities, the Company granted Agent, for the benefit of the Term Loan Lenders, and ABL Lender a security interest in substantially all of the assets of the Company, including the Company’s intellectual property, subject to certain exceptions.</w:t>
      </w:r>
    </w:p>
    <w:p>
      <w:pPr>
        <w:spacing w:after="0" w:line="32"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The agreements also include a financial covenant that, beginning with the fiscal quarter ended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w:t>
      </w:r>
    </w:p>
    <w:p>
      <w:pPr>
        <w:spacing w:after="0" w:line="80"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80" w:lineRule="exact"/>
        <w:rPr>
          <w:sz w:val="20"/>
          <w:szCs w:val="20"/>
          <w:color w:val="auto"/>
        </w:rPr>
      </w:pPr>
    </w:p>
    <w:p>
      <w:pPr>
        <w:jc w:val="both"/>
        <w:ind w:right="60" w:firstLine="569"/>
        <w:spacing w:after="0" w:line="261" w:lineRule="auto"/>
        <w:rPr>
          <w:sz w:val="20"/>
          <w:szCs w:val="20"/>
          <w:color w:val="auto"/>
        </w:rPr>
      </w:pPr>
      <w:r>
        <w:rPr>
          <w:rFonts w:ascii="Times New Roman" w:cs="Times New Roman" w:eastAsia="Times New Roman" w:hAnsi="Times New Roman"/>
          <w:sz w:val="18"/>
          <w:szCs w:val="18"/>
          <w:color w:val="auto"/>
        </w:rPr>
        <w:t>The debt issuance costs and the facility fees related to the Term A and B Loans were recorded as a direct deduction from the term loans balance on the balance sheets and are being recognized as non-cash interest expense over the term of the loans using the effective interest method, along with the final payment fee. The facility fees related to the Initial Revolver Commitment were recorded as deferred financing costs and are being recognized as non-cash interest expense over their respective commitment period using straight-line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2024, 3,218,000 shares were reserved for future issuance under the 2020 Equity Incentive Plan (2020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right="160" w:firstLine="569"/>
        <w:spacing w:after="0" w:line="282" w:lineRule="auto"/>
        <w:rPr>
          <w:sz w:val="20"/>
          <w:szCs w:val="20"/>
          <w:color w:val="auto"/>
        </w:rPr>
      </w:pPr>
      <w:r>
        <w:rPr>
          <w:rFonts w:ascii="Times New Roman" w:cs="Times New Roman" w:eastAsia="Times New Roman" w:hAnsi="Times New Roman"/>
          <w:sz w:val="18"/>
          <w:szCs w:val="18"/>
          <w:color w:val="auto"/>
        </w:rPr>
        <w:t>As of September 30, 2024, 667,000 shares of common stock were reserved for issuance in connection with the current and future offering periods under the ESPP.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68"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Annual RSUs granted to non-executive employees in 2024 vest over a two-year period at a rate of 50% on the first anniversary of the original vesting date, with the balance vesting quarterly over the remaining one year. Prior to February 2022, RSUs with a service-based vesting condition granted to a grantee generally vest at a rate of 25% on the first anniversary of the original vesting date, with the balance vesting quarterly over the remaining three years.</w:t>
      </w:r>
    </w:p>
    <w:p>
      <w:pPr>
        <w:spacing w:after="0" w:line="79"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 PSUs are earned and vest based on achievement against two metrics:</w:t>
      </w:r>
    </w:p>
    <w:p>
      <w:pPr>
        <w:spacing w:after="0" w:line="54" w:lineRule="exact"/>
        <w:rPr>
          <w:sz w:val="20"/>
          <w:szCs w:val="20"/>
          <w:color w:val="auto"/>
        </w:rPr>
      </w:pPr>
    </w:p>
    <w:p>
      <w:pPr>
        <w:ind w:left="1020" w:right="100" w:hanging="503"/>
        <w:spacing w:after="0" w:line="289"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“Home PSUs”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(performance-based vesting conditions).</w:t>
      </w:r>
    </w:p>
    <w:p>
      <w:pPr>
        <w:spacing w:after="0" w:line="49" w:lineRule="exact"/>
        <w:rPr>
          <w:rFonts w:ascii="Times New Roman" w:cs="Times New Roman" w:eastAsia="Times New Roman" w:hAnsi="Times New Roman"/>
          <w:sz w:val="17"/>
          <w:szCs w:val="17"/>
          <w:color w:val="auto"/>
        </w:rPr>
      </w:pPr>
    </w:p>
    <w:p>
      <w:pPr>
        <w:ind w:left="1020" w:right="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PSUs” are earned based on the Company's relative total stockholder return (relative TSR) at the end of a two-year or three-year performance period as compared to companies in a pre-determined index of medical device companies, in each case, with 100% of earned units vesting on, or after certification of achievement following, the third anniversary of the grant date (market-based vesting conditions).</w:t>
      </w:r>
    </w:p>
    <w:p>
      <w:pPr>
        <w:spacing w:after="0" w:line="72" w:lineRule="exact"/>
        <w:rPr>
          <w:sz w:val="20"/>
          <w:szCs w:val="20"/>
          <w:color w:val="auto"/>
        </w:rPr>
      </w:pPr>
    </w:p>
    <w:p>
      <w:pPr>
        <w:jc w:val="both"/>
        <w:ind w:right="18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granted, (ii) from 75% to 150% (250% for the CEO) of the target number of Relative TSR PSUs granted in 2022 and 2023 and (iii) from 0% to 200% (250% for the CEO) of the target number of Relative TSR PSUS granted in 2024.</w:t>
      </w:r>
    </w:p>
    <w:p>
      <w:pPr>
        <w:spacing w:after="0" w:line="68" w:lineRule="exact"/>
        <w:rPr>
          <w:sz w:val="20"/>
          <w:szCs w:val="20"/>
          <w:color w:val="auto"/>
        </w:rPr>
      </w:pPr>
    </w:p>
    <w:p>
      <w:pPr>
        <w:ind w:right="200" w:firstLine="569"/>
        <w:spacing w:after="0" w:line="261" w:lineRule="auto"/>
        <w:rPr>
          <w:sz w:val="20"/>
          <w:szCs w:val="20"/>
          <w:color w:val="auto"/>
        </w:rPr>
      </w:pPr>
      <w:r>
        <w:rPr>
          <w:rFonts w:ascii="Times New Roman" w:cs="Times New Roman" w:eastAsia="Times New Roman" w:hAnsi="Times New Roman"/>
          <w:sz w:val="18"/>
          <w:szCs w:val="18"/>
          <w:color w:val="auto"/>
        </w:rPr>
        <w:t>The grant date for the Home PSUs is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 for the Home PSUs has been established, the related stock-based compensation expense is recorded based on the forecasted performance, which is reassessed each reporting period based on the probability of achieving the performance conditions.</w:t>
      </w:r>
    </w:p>
    <w:p>
      <w:pPr>
        <w:spacing w:after="0" w:line="72"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or achievement of specified operating income targets over a performance period of up to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accompanying condensed statements of operations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0"/>
        </w:trPr>
        <w:tc>
          <w:tcPr>
            <w:tcW w:w="4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0"/>
                <w:szCs w:val="20"/>
                <w:color w:val="auto"/>
              </w:rPr>
            </w:pPr>
          </w:p>
        </w:tc>
      </w:tr>
      <w:tr>
        <w:trPr>
          <w:trHeight w:val="27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shd w:val="clear" w:color="auto" w:fill="CFF0FC"/>
          </w:tcPr>
          <w:p>
            <w:pPr>
              <w:spacing w:after="0"/>
              <w:rPr>
                <w:sz w:val="24"/>
                <w:szCs w:val="24"/>
                <w:color w:val="auto"/>
              </w:rPr>
            </w:pPr>
          </w:p>
        </w:tc>
      </w:tr>
      <w:tr>
        <w:trPr>
          <w:trHeight w:val="633"/>
        </w:trPr>
        <w:tc>
          <w:tcPr>
            <w:tcW w:w="434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-933450</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-916305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-933450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-916305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340" w:firstLine="569"/>
        <w:spacing w:after="0" w:line="289" w:lineRule="auto"/>
        <w:rPr>
          <w:sz w:val="20"/>
          <w:szCs w:val="20"/>
          <w:color w:val="auto"/>
        </w:rPr>
      </w:pPr>
      <w:r>
        <w:rPr>
          <w:rFonts w:ascii="Times New Roman" w:cs="Times New Roman" w:eastAsia="Times New Roman" w:hAnsi="Times New Roman"/>
          <w:sz w:val="17"/>
          <w:szCs w:val="17"/>
          <w:color w:val="auto"/>
        </w:rPr>
        <w:t>For each of the three and nine months ended September 30, 2024 and 2023,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Three and Nine Months Ended</w:t>
      </w:r>
    </w:p>
    <w:p>
      <w:pPr>
        <w:spacing w:after="0" w:line="3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6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0"/>
                <w:szCs w:val="20"/>
                <w:color w:val="auto"/>
              </w:rPr>
            </w:pP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20"/>
                <w:szCs w:val="20"/>
                <w:color w:val="auto"/>
              </w:rPr>
            </w:pPr>
          </w:p>
        </w:tc>
      </w:tr>
      <w:tr>
        <w:trPr>
          <w:trHeight w:val="247"/>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11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right="140" w:firstLine="569"/>
        <w:spacing w:after="0" w:line="289" w:lineRule="auto"/>
        <w:rPr>
          <w:sz w:val="20"/>
          <w:szCs w:val="20"/>
          <w:color w:val="auto"/>
        </w:rPr>
      </w:pPr>
      <w:r>
        <w:rPr>
          <w:rFonts w:ascii="Times New Roman" w:cs="Times New Roman" w:eastAsia="Times New Roman" w:hAnsi="Times New Roman"/>
          <w:sz w:val="17"/>
          <w:szCs w:val="17"/>
          <w:color w:val="auto"/>
        </w:rPr>
        <w:t>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w:t>
      </w:r>
    </w:p>
    <w:p>
      <w:pPr>
        <w:spacing w:after="0" w:line="50" w:lineRule="exact"/>
        <w:rPr>
          <w:sz w:val="20"/>
          <w:szCs w:val="20"/>
          <w:color w:val="auto"/>
        </w:rPr>
      </w:pPr>
    </w:p>
    <w:p>
      <w:pPr>
        <w:ind w:right="320" w:firstLine="569"/>
        <w:spacing w:after="0" w:line="261" w:lineRule="auto"/>
        <w:rPr>
          <w:sz w:val="20"/>
          <w:szCs w:val="20"/>
          <w:color w:val="auto"/>
        </w:rPr>
      </w:pPr>
      <w:r>
        <w:rPr>
          <w:rFonts w:ascii="Times New Roman" w:cs="Times New Roman" w:eastAsia="Times New Roman" w:hAnsi="Times New Roman"/>
          <w:sz w:val="18"/>
          <w:szCs w:val="18"/>
          <w:color w:val="auto"/>
        </w:rPr>
        <w:t>In connection with steps the Company is taking to help optimize its commercial organization, and to help improve operational efficiencies and reduce operating expenses to align with anticipated revenue growth, in the third quarter of 2024, the Company completed an additional restructuring primarily impacting its commercial organization. The Company incurred restructuring charges of $1.4 million in the third quarter of 2024 for employee severance and other termination benefits associated with this restructuring.</w:t>
      </w:r>
    </w:p>
    <w:p>
      <w:pPr>
        <w:spacing w:after="0" w:line="72" w:lineRule="exact"/>
        <w:rPr>
          <w:sz w:val="20"/>
          <w:szCs w:val="20"/>
          <w:color w:val="auto"/>
        </w:rPr>
      </w:pPr>
    </w:p>
    <w:p>
      <w:pPr>
        <w:ind w:right="6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included in the accompanying condensed statements of operations (in thousands):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15087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-127635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1,260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-127635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5087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-120650</wp:posOffset>
            </wp:positionV>
            <wp:extent cx="713232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8040" w:space="720"/>
            <w:col w:w="2480"/>
          </w:cols>
          <w:pgMar w:left="320" w:top="1157" w:right="339" w:bottom="1440" w:gutter="0" w:footer="0" w:header="0"/>
          <w:type w:val="continuous"/>
        </w:sect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changes in liabilities resulting from the restructuring accruals, which were recorded in accrued expenses and other current liabilities on the accompanying condensed balance sheets,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7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(4,920 )</w:t>
            </w:r>
          </w:p>
        </w:tc>
      </w:tr>
      <w:tr>
        <w:trPr>
          <w:trHeight w:val="236"/>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21" w:lineRule="exact"/>
        <w:rPr>
          <w:sz w:val="20"/>
          <w:szCs w:val="20"/>
          <w:color w:val="auto"/>
        </w:rPr>
      </w:pPr>
    </w:p>
    <w:p>
      <w:pPr>
        <w:jc w:val="both"/>
        <w:ind w:right="40" w:firstLine="569"/>
        <w:spacing w:after="0" w:line="282" w:lineRule="auto"/>
        <w:rPr>
          <w:sz w:val="20"/>
          <w:szCs w:val="20"/>
          <w:color w:val="auto"/>
        </w:rPr>
      </w:pPr>
      <w:r>
        <w:rPr>
          <w:rFonts w:ascii="Times New Roman" w:cs="Times New Roman" w:eastAsia="Times New Roman" w:hAnsi="Times New Roman"/>
          <w:sz w:val="18"/>
          <w:szCs w:val="18"/>
          <w:color w:val="auto"/>
        </w:rPr>
        <w:t>On October 18, 2024, a second purported stockholder class action lawsuit was filed against the Company, certain of its officers and a former officer (see Note 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2023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2023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(FSEs).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18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w:t>
      </w:r>
    </w:p>
    <w:p>
      <w:pPr>
        <w:spacing w:after="0" w:line="7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cartridges, and services, which generates significant total revenue over the life of Tablo consoles. Our total revenues were $28.7 million and $30.4 million for the three months ended September 30, 2024 and 2023, respectively, and $84.2 million and $99.9 million for the nine months ended September 30, 2024 and 2023, respectively.</w:t>
      </w:r>
    </w:p>
    <w:p>
      <w:pPr>
        <w:spacing w:after="0" w:line="72"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50% of our total full-time employees as of September 30, 2024.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promoted continuous renal replacement therapy (CRRT), a modality outside of the current indications for Tablo. The second observation asserted that TabloCart with Prefiltration requires prior 510(k) clearance for marketing authorization. TabloCart with Prefiltration is an accessory to Tablo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also been effectively addressed. Although we evaluated TabloCart with Prefiltration prior to marketing and distributing the product and concluded that no marketing authorization was necessary, we paused distribution of TabloCart with Prefiltration pending the FDA’s review and clearance of a 510(k) application that we submitted in September 2023. In early May 2024, we received 510(k) clearance from the FDA for TabloCart with Prefiltration, and we have resumed distribution of TabloCart with Prefiltration. We believe we have now taken appropriate measures to fully address the matters raised in the Warning Letter.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initiatives to optimize our commercial organization, infrastructure and sales processes to support the growth of our business in the acute care market as we focus more heavily on enterprise selling and transition beyond earlier stage adoption of Tablo.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140"/>
        <w:spacing w:after="0" w:line="266" w:lineRule="auto"/>
        <w:rPr>
          <w:sz w:val="20"/>
          <w:szCs w:val="20"/>
          <w:color w:val="auto"/>
        </w:rPr>
      </w:pPr>
      <w:r>
        <w:rPr>
          <w:rFonts w:ascii="Times New Roman" w:cs="Times New Roman" w:eastAsia="Times New Roman" w:hAnsi="Times New Roman"/>
          <w:sz w:val="18"/>
          <w:szCs w:val="18"/>
          <w:color w:val="auto"/>
        </w:rPr>
        <w:t>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Expansion</w:t>
      </w:r>
    </w:p>
    <w:p>
      <w:pPr>
        <w:spacing w:after="0" w:line="12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Our ability to expand our gross margins depends on: first, our ability to continue to sell Tablo cartridges, services, and accessories for Tablo consoles; second, our ability to reduce the cost of service and third, our ability to reduce the cost of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performance, to better support our field service team and drive down service costs per console. In addition, over the past several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two organizational restructurings implemented in the fourth quarter of 2023 and second quarter of 2024. In connection with steps we are taking to help optimize our commercial organization, in the third quarter of 2024, we completed an additional restructuring primarily impacting our commercial organization.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2" w:lineRule="exact"/>
        <w:rPr>
          <w:sz w:val="20"/>
          <w:szCs w:val="20"/>
          <w:color w:val="auto"/>
        </w:rPr>
      </w:pPr>
    </w:p>
    <w:p>
      <w:pPr>
        <w:ind w:right="20" w:firstLine="569"/>
        <w:spacing w:after="0" w:line="252"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we expect these negative impacts to continue through at least the remainder of 2024.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We have generally seen some stabilization in these challenging labor market dynamics for healthcare providers during 2023 and thereafter as compared to 2022. Moreover, we believe Tablo offers automation and ease-of-use benefits over traditional machines that can enhance our existing and potential customers’ ability to support their patient populations despite staffing shortages. However, if our customers continue to face prolonged periods of rising interest rates, capital budget constraints, volatility, uncertainty, staffing shortages, cash flow challenges, rising costs and other financial pressures, whether due to general macroeconomic conditions, cybersecurity events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87"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220"/>
        <w:spacing w:after="0" w:line="261" w:lineRule="auto"/>
        <w:rPr>
          <w:sz w:val="20"/>
          <w:szCs w:val="20"/>
          <w:color w:val="auto"/>
        </w:rPr>
      </w:pPr>
      <w:r>
        <w:rPr>
          <w:rFonts w:ascii="Times New Roman" w:cs="Times New Roman" w:eastAsia="Times New Roman" w:hAnsi="Times New Roman"/>
          <w:sz w:val="18"/>
          <w:szCs w:val="18"/>
          <w:color w:val="auto"/>
        </w:rPr>
        <w:t>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spacing w:after="0" w:line="72" w:lineRule="exact"/>
        <w:rPr>
          <w:sz w:val="20"/>
          <w:szCs w:val="20"/>
          <w:color w:val="auto"/>
        </w:rPr>
      </w:pPr>
    </w:p>
    <w:p>
      <w:pPr>
        <w:ind w:right="100" w:firstLine="569"/>
        <w:spacing w:after="0" w:line="254"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majority of Tablo cartridges in Mexico (to our Mexico-based contract manufacturer and, more recently,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11"/>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0"/>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40" w:type="dxa"/>
            <w:vAlign w:val="bottom"/>
            <w:gridSpan w:val="9"/>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2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56,405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20" w:type="dxa"/>
            <w:vAlign w:val="bottom"/>
            <w:shd w:val="clear" w:color="auto" w:fill="CFF0FC"/>
          </w:tcPr>
          <w:p>
            <w:pPr>
              <w:spacing w:after="0"/>
              <w:rPr>
                <w:sz w:val="20"/>
                <w:szCs w:val="20"/>
                <w:color w:val="auto"/>
              </w:rPr>
            </w:pPr>
          </w:p>
        </w:tc>
        <w:tc>
          <w:tcPr>
            <w:tcW w:w="36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21,288</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44,775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34,892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(23,839 )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(45,454 )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(91,515 )</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(132,417 )</w:t>
            </w:r>
          </w:p>
        </w:tc>
        <w:tc>
          <w:tcPr>
            <w:tcW w:w="100" w:type="dxa"/>
            <w:vAlign w:val="bottom"/>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7,718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(3,213 )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(18,046 )</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(9,258 )</w:t>
            </w:r>
          </w:p>
        </w:tc>
        <w:tc>
          <w:tcPr>
            <w:tcW w:w="100" w:type="dxa"/>
            <w:vAlign w:val="bottom"/>
          </w:tcPr>
          <w:p>
            <w:pPr>
              <w:spacing w:after="0"/>
              <w:rPr>
                <w:sz w:val="21"/>
                <w:szCs w:val="21"/>
                <w:color w:val="auto"/>
              </w:rPr>
            </w:pPr>
          </w:p>
        </w:tc>
      </w:tr>
      <w:tr>
        <w:trPr>
          <w:trHeight w:val="23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(46,094</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3"/>
        </w:trPr>
        <w:tc>
          <w:tcPr>
            <w:tcW w:w="36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(27,940 )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(46,180 )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(102,338 )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(134,197 )</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9"/>
        </w:trPr>
        <w:tc>
          <w:tcPr>
            <w:tcW w:w="6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6"/>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5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460" w:type="dxa"/>
            <w:vAlign w:val="bottom"/>
            <w:tcBorders>
              <w:top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23,531</w:t>
            </w:r>
          </w:p>
        </w:tc>
        <w:tc>
          <w:tcPr>
            <w:tcW w:w="1200" w:type="dxa"/>
            <w:vAlign w:val="bottom"/>
            <w:gridSpan w:val="5"/>
          </w:tcPr>
          <w:p>
            <w:pPr>
              <w:jc w:val="right"/>
              <w:ind w:right="70"/>
              <w:spacing w:after="0"/>
              <w:rPr>
                <w:sz w:val="20"/>
                <w:szCs w:val="20"/>
                <w:color w:val="auto"/>
              </w:rPr>
            </w:pPr>
            <w:r>
              <w:rPr>
                <w:rFonts w:ascii="Times New Roman" w:cs="Times New Roman" w:eastAsia="Times New Roman" w:hAnsi="Times New Roman"/>
                <w:sz w:val="16"/>
                <w:szCs w:val="16"/>
                <w:color w:val="auto"/>
              </w:rPr>
              <w:t>$  (3,226 )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w w:val="99"/>
              </w:rPr>
              <w:t>(14 )%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59,971</w:t>
            </w:r>
          </w:p>
        </w:tc>
        <w:tc>
          <w:tcPr>
            <w:tcW w:w="2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80,640</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(20,669 )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46"/>
        </w:trPr>
        <w:tc>
          <w:tcPr>
            <w:tcW w:w="20" w:type="dxa"/>
            <w:vAlign w:val="bottom"/>
          </w:tcPr>
          <w:p>
            <w:pPr>
              <w:spacing w:after="0"/>
              <w:rPr>
                <w:sz w:val="21"/>
                <w:szCs w:val="21"/>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24,251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4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r>
      <w:tr>
        <w:trPr>
          <w:trHeight w:val="226"/>
        </w:trPr>
        <w:tc>
          <w:tcPr>
            <w:tcW w:w="20" w:type="dxa"/>
            <w:vAlign w:val="bottom"/>
          </w:tcPr>
          <w:p>
            <w:pPr>
              <w:spacing w:after="0"/>
              <w:rPr>
                <w:sz w:val="19"/>
                <w:szCs w:val="19"/>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1200" w:type="dxa"/>
            <w:vAlign w:val="bottom"/>
            <w:gridSpan w:val="5"/>
          </w:tcPr>
          <w:p>
            <w:pPr>
              <w:jc w:val="right"/>
              <w:ind w:right="70"/>
              <w:spacing w:after="0"/>
              <w:rPr>
                <w:sz w:val="20"/>
                <w:szCs w:val="20"/>
                <w:color w:val="auto"/>
              </w:rPr>
            </w:pPr>
            <w:r>
              <w:rPr>
                <w:rFonts w:ascii="Times New Roman" w:cs="Times New Roman" w:eastAsia="Times New Roman" w:hAnsi="Times New Roman"/>
                <w:sz w:val="16"/>
                <w:szCs w:val="16"/>
                <w:color w:val="auto"/>
              </w:rPr>
              <w:t>(1,696 )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4"/>
          </w:tcPr>
          <w:p>
            <w:pPr>
              <w:jc w:val="right"/>
              <w:ind w:right="40"/>
              <w:spacing w:after="0" w:line="226" w:lineRule="exact"/>
              <w:rPr>
                <w:sz w:val="20"/>
                <w:szCs w:val="20"/>
                <w:color w:val="auto"/>
              </w:rPr>
            </w:pPr>
            <w:r>
              <w:rPr>
                <w:rFonts w:ascii="Times New Roman" w:cs="Times New Roman" w:eastAsia="Times New Roman" w:hAnsi="Times New Roman"/>
                <w:sz w:val="14"/>
                <w:szCs w:val="14"/>
                <w:color w:val="auto"/>
              </w:rPr>
              <w:t xml:space="preserve">(6 )% </w:t>
            </w:r>
            <w:r>
              <w:rPr>
                <w:rFonts w:ascii="Times New Roman" w:cs="Times New Roman" w:eastAsia="Times New Roman" w:hAnsi="Times New Roman"/>
                <w:sz w:val="26"/>
                <w:szCs w:val="26"/>
                <w:color w:val="auto"/>
                <w:vertAlign w:val="superscript"/>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84,222</w:t>
            </w:r>
          </w:p>
        </w:tc>
        <w:tc>
          <w:tcPr>
            <w:tcW w:w="2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99,869</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(15,647 )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-4242435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-4242435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-4242435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-3616960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-3616960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-3616960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-2673985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-2673985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-2673985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-1722755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-1722755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-1722755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-1722755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Product revenue decreased by $3.2 million or 14% for the three months ended September 30, 2024 as compared to the same period in the prior year. This decrease was driven by a $4.8 million decrease in console revenue due to fewer consoles being sold in the current year, which was partially offset by a $1.6 million increase in consumable revenue due to growth in our console installed base.</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21" w:name="page22"/>
    <w:bookmarkEnd w:id="21"/>
    <w:p>
      <w:pPr>
        <w:ind w:right="300" w:firstLine="569"/>
        <w:spacing w:after="0" w:line="266" w:lineRule="auto"/>
        <w:rPr>
          <w:sz w:val="20"/>
          <w:szCs w:val="20"/>
          <w:color w:val="auto"/>
        </w:rPr>
      </w:pPr>
      <w:r>
        <w:rPr>
          <w:rFonts w:ascii="Times New Roman" w:cs="Times New Roman" w:eastAsia="Times New Roman" w:hAnsi="Times New Roman"/>
          <w:sz w:val="18"/>
          <w:szCs w:val="18"/>
          <w:color w:val="auto"/>
        </w:rPr>
        <w:t>Product revenue decreased by $20.7 million, or 26% for the nine months ended September 30, 2024 as compared to the same period in the prior year. This decrease was driven by a $27.0 million decrease in console revenue due to fewer consoles being sold in the current year, which was offset by a $6.3 million increase in consumable revenue attributable to growth in our console installed base.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Service and other revenue increased for the three and nine months ended September 30, 2024 as compared to the same periods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services associated with growth in our console installed base.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9"/>
                <w:szCs w:val="19"/>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56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6,529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9"/>
        </w:trPr>
        <w:tc>
          <w:tcPr>
            <w:tcW w:w="2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34.3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23.6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33.0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21.3</w:t>
            </w:r>
          </w:p>
        </w:tc>
        <w:tc>
          <w:tcPr>
            <w:tcW w:w="88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ind w:right="260" w:firstLine="569"/>
        <w:spacing w:after="0" w:line="256" w:lineRule="auto"/>
        <w:rPr>
          <w:sz w:val="20"/>
          <w:szCs w:val="20"/>
          <w:color w:val="auto"/>
        </w:rPr>
      </w:pPr>
      <w:r>
        <w:rPr>
          <w:rFonts w:ascii="Times New Roman" w:cs="Times New Roman" w:eastAsia="Times New Roman" w:hAnsi="Times New Roman"/>
          <w:sz w:val="18"/>
          <w:szCs w:val="18"/>
          <w:color w:val="auto"/>
        </w:rPr>
        <w:t>Gross profit increased for the three and nine months ended September 30, 2024 as compared to the same periods in the prior year. Gross margin improved by 10.7 percentage points for the three months ended September 30, 2024 and 11.7 percentage points for the nine months ended September 30, 2024 as compared to the same periods in the prior year. These improvements in gross profit and gross margin were primarily driven by a higher mix of consumable and service and other revenue than consoles in the current year as compared to the prior year. Consumables had a higher gross margin than consoles and had improved gross margin year over year. The higher consumable gross margin mainly resulted from lower cost per unit as well as a higher average selling price for consumables.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12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9"/>
                <w:szCs w:val="19"/>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16,076</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(7,937 )</w:t>
            </w:r>
          </w:p>
        </w:tc>
        <w:tc>
          <w:tcPr>
            <w:tcW w:w="260" w:type="dxa"/>
            <w:vAlign w:val="bottom"/>
          </w:tcPr>
          <w:p>
            <w:pPr>
              <w:spacing w:after="0"/>
              <w:rPr>
                <w:sz w:val="18"/>
                <w:szCs w:val="18"/>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(49 )%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44,775</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(14,267 )</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29"/>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(9,303 )</w:t>
            </w:r>
          </w:p>
        </w:tc>
        <w:tc>
          <w:tcPr>
            <w:tcW w:w="26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9"/>
              </w:rPr>
              <w:t>(38 )%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74,038</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(19,445 )</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46"/>
        </w:trPr>
        <w:tc>
          <w:tcPr>
            <w:tcW w:w="20" w:type="dxa"/>
            <w:vAlign w:val="bottom"/>
          </w:tcPr>
          <w:p>
            <w:pPr>
              <w:spacing w:after="0"/>
              <w:rPr>
                <w:sz w:val="21"/>
                <w:szCs w:val="21"/>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(1,712 )</w:t>
            </w:r>
          </w:p>
        </w:tc>
        <w:tc>
          <w:tcPr>
            <w:tcW w:w="260" w:type="dxa"/>
            <w:vAlign w:val="bottom"/>
          </w:tcPr>
          <w:p>
            <w:pPr>
              <w:spacing w:after="0"/>
              <w:rPr>
                <w:sz w:val="21"/>
                <w:szCs w:val="21"/>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9"/>
              </w:rPr>
              <w:t>(14 )%</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34,892</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(661 )</w:t>
            </w:r>
          </w:p>
        </w:tc>
        <w:tc>
          <w:tcPr>
            <w:tcW w:w="24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52,611</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(18,952 )</w:t>
            </w:r>
          </w:p>
        </w:tc>
        <w:tc>
          <w:tcPr>
            <w:tcW w:w="260" w:type="dxa"/>
            <w:vAlign w:val="bottom"/>
          </w:tcPr>
          <w:p>
            <w:pPr>
              <w:spacing w:after="0"/>
              <w:rPr>
                <w:sz w:val="19"/>
                <w:szCs w:val="19"/>
                <w:color w:val="auto"/>
              </w:rPr>
            </w:pPr>
          </w:p>
        </w:tc>
        <w:tc>
          <w:tcPr>
            <w:tcW w:w="900" w:type="dxa"/>
            <w:vAlign w:val="bottom"/>
            <w:gridSpan w:val="3"/>
          </w:tcPr>
          <w:p>
            <w:pPr>
              <w:ind w:left="320"/>
              <w:spacing w:after="0" w:line="226" w:lineRule="exact"/>
              <w:rPr>
                <w:sz w:val="20"/>
                <w:szCs w:val="20"/>
                <w:color w:val="auto"/>
              </w:rPr>
            </w:pPr>
            <w:r>
              <w:rPr>
                <w:rFonts w:ascii="Times New Roman" w:cs="Times New Roman" w:eastAsia="Times New Roman" w:hAnsi="Times New Roman"/>
                <w:sz w:val="14"/>
                <w:szCs w:val="14"/>
                <w:color w:val="auto"/>
              </w:rPr>
              <w:t xml:space="preserve">(36 )% </w:t>
            </w:r>
            <w:r>
              <w:rPr>
                <w:rFonts w:ascii="Times New Roman" w:cs="Times New Roman" w:eastAsia="Times New Roman" w:hAnsi="Times New Roman"/>
                <w:sz w:val="26"/>
                <w:szCs w:val="26"/>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119,332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153,705</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(34,373 )</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three and nine months ended September 30, 2024 as compared to the same periods in the prior year. The decrease was primarily due to an overall decrease in compensation-related and stock-based compensation expense, consulting expense, and infrastructure costs resulting from our cost reduction efforts implemented in the fourth quarter of 2023 and in 2024.</w:t>
      </w:r>
    </w:p>
    <w:p>
      <w:pPr>
        <w:spacing w:after="0" w:line="68"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for the three and nine months ended September 30, 2024 as compared to the same periods in the prior year. The decrease was primarily driven by an overall decrease in compensation-related and stock-based compensation expense, travel and consulting expenses resulting from our cost reduction efforts implemented in the fourth quarter of 2023 and in 2024. The decreases for the nine months ended September 30, 2024 were partially offset by higher freight expenses due to higher consumable unit sales.</w:t>
      </w:r>
    </w:p>
    <w:p>
      <w:pPr>
        <w:spacing w:after="0" w:line="72" w:lineRule="exact"/>
        <w:rPr>
          <w:sz w:val="20"/>
          <w:szCs w:val="20"/>
          <w:color w:val="auto"/>
        </w:rPr>
      </w:pPr>
    </w:p>
    <w:p>
      <w:pPr>
        <w:ind w:right="360" w:firstLine="56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for the three months ended September 30, 2024 as compared to the same period in the prior year. The decrease was primarily due to an overall decrease in compensation-related expense and consulting expense from our cost reduction efforts implemented in the fourth quarter of 2023 and in 2024. Our insurance costs also decreased as compared to the prior year period.</w:t>
      </w:r>
    </w:p>
    <w:p>
      <w:pPr>
        <w:spacing w:after="0" w:line="68" w:lineRule="exact"/>
        <w:rPr>
          <w:sz w:val="20"/>
          <w:szCs w:val="20"/>
          <w:color w:val="auto"/>
        </w:rPr>
      </w:pPr>
    </w:p>
    <w:p>
      <w:pPr>
        <w:ind w:right="200" w:firstLine="56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for the nine months ended September 30, 2024 as compared to the same period in the prior year. The decrease was primarily due to an overall decrease in consulting, compensation-related and travel expenses resulting from our cost reduction efforts implemented in the fourth quarter of 2023 and in 2024. Our insurance costs also decreased as compared to the prior year periods. These decreases were partially offset by $1.8 million of allowance for credit losses recorded in the second quarter of 2024 and an increase in stock-based compensation expense.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26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(424 )</w:t>
            </w:r>
          </w:p>
        </w:tc>
        <w:tc>
          <w:tcPr>
            <w:tcW w:w="2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(171 )</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4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(6,068 )</w:t>
            </w: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(3,213 )</w:t>
            </w:r>
          </w:p>
        </w:tc>
        <w:tc>
          <w:tcPr>
            <w:tcW w:w="1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(2,855 )</w:t>
            </w:r>
          </w:p>
        </w:tc>
        <w:tc>
          <w:tcPr>
            <w:tcW w:w="2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(18,046 )</w:t>
            </w: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(9,258 )</w:t>
            </w:r>
          </w:p>
        </w:tc>
        <w:tc>
          <w:tcPr>
            <w:tcW w:w="16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(8,788 )</w:t>
            </w:r>
          </w:p>
        </w:tc>
        <w:tc>
          <w:tcPr>
            <w:tcW w:w="24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95 %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(3,919 )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(640 )</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(3,279 )</w:t>
            </w:r>
          </w:p>
        </w:tc>
        <w:tc>
          <w:tcPr>
            <w:tcW w:w="260" w:type="dxa"/>
            <w:vAlign w:val="bottom"/>
          </w:tcPr>
          <w:p>
            <w:pPr>
              <w:spacing w:after="0"/>
              <w:rPr>
                <w:sz w:val="19"/>
                <w:szCs w:val="19"/>
                <w:color w:val="auto"/>
              </w:rPr>
            </w:pPr>
          </w:p>
        </w:tc>
        <w:tc>
          <w:tcPr>
            <w:tcW w:w="90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14"/>
                <w:szCs w:val="14"/>
                <w:color w:val="auto"/>
              </w:rPr>
              <w:t xml:space="preserve">512 % </w:t>
            </w:r>
            <w:r>
              <w:rPr>
                <w:rFonts w:ascii="Times New Roman" w:cs="Times New Roman" w:eastAsia="Times New Roman" w:hAnsi="Times New Roman"/>
                <w:sz w:val="26"/>
                <w:szCs w:val="26"/>
                <w:color w:val="auto"/>
                <w:vertAlign w:val="superscript"/>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(10,328 )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(1,369 )</w:t>
            </w:r>
          </w:p>
        </w:tc>
        <w:tc>
          <w:tcPr>
            <w:tcW w:w="1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(8,959 )</w:t>
            </w:r>
          </w:p>
        </w:tc>
        <w:tc>
          <w:tcPr>
            <w:tcW w:w="2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654 %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right="220" w:firstLine="569"/>
        <w:spacing w:after="0" w:line="282" w:lineRule="auto"/>
        <w:rPr>
          <w:sz w:val="20"/>
          <w:szCs w:val="20"/>
          <w:color w:val="auto"/>
        </w:rPr>
      </w:pPr>
      <w:r>
        <w:rPr>
          <w:rFonts w:ascii="Times New Roman" w:cs="Times New Roman" w:eastAsia="Times New Roman" w:hAnsi="Times New Roman"/>
          <w:sz w:val="18"/>
          <w:szCs w:val="18"/>
          <w:color w:val="auto"/>
        </w:rPr>
        <w:t>The changes in interest income and other income, net for the three and nine months ended September 30, 2024 as compared to the same periods in the prior year were driven by the changes in interest rates.</w:t>
      </w:r>
    </w:p>
    <w:p>
      <w:pPr>
        <w:spacing w:after="0" w:line="54"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increases in interest expense for the three and nine months ended September 30, 2024 were primarily due to a higher outstanding balance under the SLR Term Loan Facility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 of stock options and ESPP purchases.</w:t>
      </w:r>
    </w:p>
    <w:p>
      <w:pPr>
        <w:spacing w:after="0" w:line="68" w:lineRule="exact"/>
        <w:rPr>
          <w:sz w:val="20"/>
          <w:szCs w:val="20"/>
          <w:color w:val="auto"/>
        </w:rPr>
      </w:pPr>
    </w:p>
    <w:p>
      <w:pPr>
        <w:ind w:right="160" w:firstLine="569"/>
        <w:spacing w:after="0" w:line="255" w:lineRule="auto"/>
        <w:rPr>
          <w:sz w:val="20"/>
          <w:szCs w:val="20"/>
          <w:color w:val="auto"/>
        </w:rPr>
      </w:pPr>
      <w:r>
        <w:rPr>
          <w:rFonts w:ascii="Times New Roman" w:cs="Times New Roman" w:eastAsia="Times New Roman" w:hAnsi="Times New Roman"/>
          <w:sz w:val="18"/>
          <w:szCs w:val="18"/>
          <w:color w:val="auto"/>
        </w:rPr>
        <w:t>As of September 30, 2024, we had cash, cash equivalents, restricted cash, and short-term investments of $179.0 million. We are required to comply with certain covenants under the SLR Credit Facility Agreements, including ones relating to financial reporting and the delivery of an unqualified audit opinion, the maintenance of minimum cash or revenue, the incurrence of additional debt, and our ability to make capital expenditures or declare dividends. If we fail to comply with any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For further details, see Note 7 of the accompanying condensed financial statements above, as well as the section entitled “Risk Factors” under Part II, Item 1A below.</w:t>
      </w:r>
    </w:p>
    <w:p>
      <w:pPr>
        <w:spacing w:after="0" w:line="81" w:lineRule="exact"/>
        <w:rPr>
          <w:sz w:val="20"/>
          <w:szCs w:val="20"/>
          <w:color w:val="auto"/>
        </w:rPr>
      </w:pPr>
    </w:p>
    <w:p>
      <w:pPr>
        <w:ind w:right="240" w:firstLine="569"/>
        <w:spacing w:after="0" w:line="254" w:lineRule="auto"/>
        <w:rPr>
          <w:sz w:val="20"/>
          <w:szCs w:val="20"/>
          <w:color w:val="auto"/>
        </w:rPr>
      </w:pPr>
      <w:r>
        <w:rPr>
          <w:rFonts w:ascii="Times New Roman" w:cs="Times New Roman" w:eastAsia="Times New Roman" w:hAnsi="Times New Roman"/>
          <w:sz w:val="18"/>
          <w:szCs w:val="18"/>
          <w:color w:val="auto"/>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(including through our existing debt), we may be subject to an increase in our interest expense which may negatively affect our cash flow.</w:t>
      </w:r>
    </w:p>
    <w:p>
      <w:pPr>
        <w:spacing w:after="0" w:line="80"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On September 23, 2024, we received notice from the Listing Qualifications staff of Nasdaq that we no longer complied with the minimum bid price requirement for continued listing on the Nasdaq Global Select Market. If we are unable to regain compliance with the minimum bid price requirement within the applicable compliance period, or are unable to otherwise maintain compliance with other applicable Nasdaq listing rules, we may not be able to maintain the listing of our common stock on Nasdaq, which could adversely affect our ability to issue additional securities or obtain additional financing on terms acceptable to us, or at all. For further details, see the section entitled “Risk Factors” under Part II, Item 1A below.</w:t>
      </w:r>
    </w:p>
    <w:p>
      <w:pPr>
        <w:spacing w:after="0" w:line="75" w:lineRule="exact"/>
        <w:rPr>
          <w:sz w:val="20"/>
          <w:szCs w:val="20"/>
          <w:color w:val="auto"/>
        </w:rPr>
      </w:pPr>
    </w:p>
    <w:p>
      <w:pPr>
        <w:ind w:right="360" w:firstLine="56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cash generated from sales, and proceeds received from the debt financing described in Note 7 of the accompanying condensed financial statements above, will be sufficient to meet our anticipated needs for at least the next 12 months from the issuance date of this Quarterly Report.</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spacing w:after="0"/>
              <w:rPr>
                <w:sz w:val="19"/>
                <w:szCs w:val="19"/>
                <w:color w:val="auto"/>
              </w:rPr>
            </w:pPr>
          </w:p>
        </w:tc>
        <w:tc>
          <w:tcPr>
            <w:tcW w:w="360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(99,815 )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(106,931 )</w:t>
            </w: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(4,215 )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59,601</w:t>
            </w:r>
          </w:p>
        </w:tc>
        <w:tc>
          <w:tcPr>
            <w:tcW w:w="10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68,808</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00" w:type="dxa"/>
            <w:vAlign w:val="bottom"/>
          </w:tcPr>
          <w:p>
            <w:pPr>
              <w:spacing w:after="0"/>
              <w:rPr>
                <w:sz w:val="19"/>
                <w:szCs w:val="19"/>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(35,222 )</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(36,907 )</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net cash used in operating activities of $99.8 million for the nine months ended September 30, 2024 was due to a net loss of $102.3 million,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premiums on investments of $3.9 million and a net cash outflow from the change in our operating assets and liabilities of $27.8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adjusted by stock-based compensation expense of $24.4 million, depreciation and amortization of $4.3 million, non-cash interest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allowance for credit losses of $1.8 million, non-cash lease expense of $1.1 million, and provision for inventories of $0.6 million. The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outflow from operating assets and liabilities was primarily driven by an increase in inventories, decreases in accrued expenses and other 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accounts payable due to timing of vendor payments, a decrease in accrued compensation and related benefit, an increase in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timing of collection and decreases in accrued warranty liability and operating lease liabilities. The net cash outflow from operating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liabilities was partially offset by a decrease in prepaid expenses and other assets and an increase in deferred revenue due to growth in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net cash used in investing activities of $4.2 million for the nine months ended September 30, 2024 was due to the purchases of short-term investment securities of $150.5 million and the purchases of property and equipment of $0.9 million, which was partially offset by the maturities of short-term investment securities of $147.1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net cash provided by financing activities of $68.8 million for the nine months ended September 30, 2024 was due to the net proceeds of $66.5 million from borrowings under the SLR Term Loan Facility and the proceeds from employee exercises of stock options and ESPP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60" w:firstLine="569"/>
        <w:spacing w:after="0" w:line="282" w:lineRule="auto"/>
        <w:rPr>
          <w:sz w:val="20"/>
          <w:szCs w:val="20"/>
          <w:color w:val="auto"/>
        </w:rPr>
      </w:pPr>
      <w:r>
        <w:rPr>
          <w:rFonts w:ascii="Times New Roman" w:cs="Times New Roman" w:eastAsia="Times New Roman" w:hAnsi="Times New Roman"/>
          <w:sz w:val="18"/>
          <w:szCs w:val="18"/>
          <w:color w:val="auto"/>
        </w:rPr>
        <w:t>Our market risks related to interest rate and foreign currency exchange rates are described in Part II Item 7A, “Quantitative and Qualitative Disclosures About Market Risk”, of our 2023 Annual Report. Our exposure to market risks has not changed materially since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920" w:firstLine="569"/>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2023 Annual Report, as updated by the risk factors discussed in Part II, “Item 1A. Risk Factors” in our Quarterly Reports on Form 10-Q for the fiscal quarters ended March 31, 2024 (Q1 2024 Quarterly Report) and June 30, 2024 (Q2 2024 Quarterly Report), which could materially affect our business, financial position, or future results of operations. There have been no material changes to the risk factors described in our 2023 Annual Report, as updated by our Q1 2024 Quarterly Report and Q2 2024 Quarterly Report, except as set forth below. The risks described in our 2023 Annual Report, Q1 2024 Quarterly Report and Q2 2024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the listing of our common stock on Nasdaq, which could adversely affect our liquidity and the trading volume and market price of our common stock.</w:t>
      </w:r>
    </w:p>
    <w:p>
      <w:pPr>
        <w:spacing w:after="0" w:line="5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which imposes continued listing requirements with respect to listed securities, including a minimum bid price requirement.</w:t>
      </w:r>
    </w:p>
    <w:p>
      <w:pPr>
        <w:spacing w:after="0" w:line="5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September 23, 2024, we received notice from the Listing Qualifications staff of The Nasdaq Stock Market LLC (“Nasdaq”) that, because the closing bid price for our common stock had fallen below $1.00 per share for 30 consecutive trading days, we no longer complied with the minimum bid price requirement for continued listing on the Nasdaq Global Select Market under Nasdaq Listing Rule 5450(a)(1). In accordance with Nasdaq listing rules, we have an initial compliance period of 180 calendar days, or until March 24, 2025, to regain compliance with the minimum bid price requirement. To regain compliance, the closing bid price of our common stock must meet or exceed $1.00 per share for a minimum of 10 consecutive trading days prior to March 24, 2025. If we do not regain compliance by March 24, 2025, we may be eligible for an additional 180 calendar day compliance period if we apply to transfer the listing of our common stock to the Nasdaq Capital Market and meet the continued listing requirement for the market value of our publicly held shares and all other initial listing standards for the Nasdaq Capital Market, with the exception of the minimum bid price requirement, and provide written notice of our intention to cure the minimum bid price deficiency during the second compliance period. As part of its review process, Nasdaq will make a determination as to whether it believes we will be able to cure this deficiency. If Nasdaq staff determines that we will not be able to cure the deficiency, or if we are otherwise not eligible for such additional compliance period, Nasdaq will provide notice that our common stock will be subject to delisting. We would have the right to appeal any determination to delist our common stock, and our common stock would remain listed on the Nasdaq Global Select Market until the appeal process is complete.</w:t>
      </w:r>
    </w:p>
    <w:p>
      <w:pPr>
        <w:spacing w:after="0" w:line="7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otherwise maintain compliance with other applicable Nasdaq listing rules, or be successful in appealing any delisting determination. If Nasdaq delists our common stock, it is unlikely that we will be able to list our common stock on another national securities exchange and, as a result, we expect our securities would be quoted on an over-the-counter market. If this were to occur, we and our stockholders could face significant adverse consequences, including limited availability of market quotations and analyst coverage for our common stock, and reduced liquidity for trading of our securities, all of which would likely reduce the market price of our common stock. In addition, our common stock could be considered a “penny stock,” which will require brokers trading in our common stock to adhere to more stringent rules and possibly result in reduced trading activity in the secondary trading market for our common stock. Delisting could result in additional adverse consequences including reduced ability to issue additional securities or obtain additional financing on terms acceptable to us, or at all, as well as the potential loss of confidence of our customers, suppliers and employees, any of which could harm our business and future prospects. Even the perception that we are at heightened risk of delisting could also result in certain of the above these consequences, which could negatively impact the market price and trading volume of our common stock, and harm our stockholders and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For example, on August 29, 2024 and October 18, 2024, two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right="100"/>
        <w:spacing w:after="0" w:line="269" w:lineRule="auto"/>
        <w:rPr>
          <w:sz w:val="20"/>
          <w:szCs w:val="20"/>
          <w:color w:val="auto"/>
        </w:rPr>
      </w:pPr>
      <w:r>
        <w:rPr>
          <w:rFonts w:ascii="Times New Roman" w:cs="Times New Roman" w:eastAsia="Times New Roman" w:hAnsi="Times New Roman"/>
          <w:sz w:val="17"/>
          <w:szCs w:val="17"/>
          <w:color w:val="auto"/>
        </w:rPr>
        <w:t>purported stockholder class action lawsuits were filed against the Company, our Chief Executive Officer and our Chief Financial Officer, in the U.S. District Court for the Northern District of California alleging that the defendants violated federal securities laws by making false or misleading statements about our business, operations and prospects related to the sale and marketing of the Tablo Hemodialysis System and TabloCart with Prefiltration, including concerning the impact of certain FDA processes for these products on our revenue growth. The second lawsuit additionally names our former Chief Financial Officer as a defendant. For further information, see the section entitled “Litigation” in Note 6, Commitments and Contingencies, to our unaudited condensed financial statements included in this Quarterly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7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require us to meet certain operating and financial covenants, place restrictions on our operating and financial flexibility and subject us to interest rate risk, and our ability to access additional borrowings is subject to us achieving certain net revenue milestones and obtaining lenders’ credit approval.</w:t>
      </w:r>
    </w:p>
    <w:p>
      <w:pPr>
        <w:spacing w:after="0" w:line="175"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We entered into the SLR Credit Facilities on November 3, 2022, which provide for (i) up to $250.0 million of term loans pursuant to the SLR Loan Agreement and (ii) up to a $50.0 million asset-based revolving credit facility pursuant to the SLR Revolving Credit Agreement. We have already borrowed $200.0 million of term loans, the full amount available under certain borrowing limitations that limit the maximum principal amount outstanding under the SLR Credit Facilities. In addition, additional borrowings under the SLR Credit Facilities are subject to us achieving certain net revenue milestones and/or obtaining lenders’ credit approval. As a result, we cannot rely on further borrowings under the SLR Credit Facilities to fund our operations. In addition, principal amounts outstanding under each of the SLR Term Loan Facility and the SLR Revolver accrue interest at variable interest rates tied to SOFR. As a result, our borrowings under the facilities are subject to interest rate risk. An adverse change in interest rates for our borrowings would increase our borrowing costs which may restrict our access to capital in the future and, ultimately, could adversely affect our financial condition and results of operations. See the section titled “Management’s Discussion and Analysis of Financial Condition and Results of Operations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Liquidity and Capital Resources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Debt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SLR Debt Financing.”</w:t>
      </w:r>
    </w:p>
    <w:p>
      <w:pPr>
        <w:spacing w:after="0" w:line="15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SLR Credit Facility Agreements contain customary representations and warranties and customary affirmative and negative covenants, including, among others, requirements as to financial reporting (including the timely delivery of audited financial statements together with an unqualified report from our independent registered accountants thereon)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or to pay any dividends or other distributions on capital stock. Accordingly, the terms may restrict our current and future operations, particularly our ability to respond to certain changes in our business or industry or take future actions. In addition, the SLR Credit Facility Agreements also include a financial covenant that, beginning with the fiscal quarter ending December 31, 2023, requires us to either (i) maintain certain levels of cash and cash equivalents in accounts subject to control agreements in favor of Agent and ABL Lender of at least the sum of (a) 50% of the outstanding obligations under the SLR Term Loan Facility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 If we fail to comply with any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In addition, our agent or lender, as applicable, would have the right to proceed against the assets we provided as collateral pursuant to the applicable SLR Credit Facility Agreement. If the debt under either SLR Credit Facility Agreement was accelerated, we may not have sufficient cash or be able to sell sufficient assets to repay this debt, which would harm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none of the Company’s directors or officers has adopted or terminated a Rule 10b5-1 trading arrangement or a non-Rule 10b5–1 trading arrangement (each as defined in Item 408 of Regulation S-K under the Exchange Act).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Amended and Restated Certificate of Incorporation of Outset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Amended and Restated Bylaws of Outset 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Registration Rights Agreement</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appear in the Interactive Data File because its XBRL tags are embedded</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80" w:right="120" w:hanging="1059"/>
        <w:spacing w:after="0" w:line="306" w:lineRule="auto"/>
        <w:tabs>
          <w:tab w:leader="none" w:pos="10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5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0600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5"/>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94"/>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1"/>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bl>
    <w:p>
      <w:pPr>
        <w:sectPr>
          <w:pgSz w:w="11900" w:h="16838" w:orient="portrait"/>
          <w:cols w:equalWidth="0" w:num="2">
            <w:col w:w="6280" w:space="320"/>
            <w:col w:w="4500"/>
          </w:cols>
          <w:pgMar w:left="320" w:top="981" w:right="4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7"/>
              </w:rPr>
              <w:t>Outset Medical, Inc.</w:t>
            </w:r>
          </w:p>
        </w:tc>
        <w:tc>
          <w:tcPr>
            <w:tcW w:w="4340" w:type="dxa"/>
            <w:vAlign w:val="bottom"/>
          </w:tcPr>
          <w:p>
            <w:pPr>
              <w:spacing w:after="0"/>
              <w:rPr>
                <w:sz w:val="20"/>
                <w:szCs w:val="20"/>
                <w:color w:val="auto"/>
              </w:rPr>
            </w:pPr>
          </w:p>
        </w:tc>
      </w:tr>
      <w:tr>
        <w:trPr>
          <w:trHeight w:val="47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32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205"/>
        </w:trPr>
        <w:tc>
          <w:tcPr>
            <w:tcW w:w="3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7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32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Nabeel Ahmed</w:t>
            </w:r>
          </w:p>
        </w:tc>
      </w:tr>
      <w:tr>
        <w:trPr>
          <w:trHeight w:val="205"/>
        </w:trPr>
        <w:tc>
          <w:tcPr>
            <w:tcW w:w="3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Nabeel Ahmed</w:t>
            </w:r>
          </w:p>
        </w:tc>
      </w:tr>
      <w:tr>
        <w:trPr>
          <w:trHeight w:val="214"/>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62"/>
        </w:trPr>
        <w:tc>
          <w:tcPr>
            <w:tcW w:w="3620" w:type="dxa"/>
            <w:vAlign w:val="bottom"/>
          </w:tcPr>
          <w:p>
            <w:pPr>
              <w:spacing w:after="0"/>
              <w:rPr>
                <w:sz w:val="24"/>
                <w:szCs w:val="24"/>
                <w:color w:val="auto"/>
              </w:rPr>
            </w:pPr>
          </w:p>
        </w:tc>
        <w:tc>
          <w:tcPr>
            <w:tcW w:w="2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6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Nabeel Ahmed, certify that:</w:t>
      </w:r>
    </w:p>
    <w:p>
      <w:pPr>
        <w:spacing w:after="0" w:line="198"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5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September 30, 2024,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39"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35" Type="http://schemas.openxmlformats.org/officeDocument/2006/relationships/hyperlink" Target="https://www.sec.gov/Archives/edgar/data/1484612/000119312520241516/d941853dex31.htm" TargetMode="External"/><Relationship Id="rId236" Type="http://schemas.openxmlformats.org/officeDocument/2006/relationships/hyperlink" Target="https://www.sec.gov/Archives/edgar/data/1484612/000119312520241516/d941853dex32.htm" TargetMode="External"/><Relationship Id="rId237" Type="http://schemas.openxmlformats.org/officeDocument/2006/relationships/hyperlink" Target="https://www.sec.gov/Archives/edgar/data/1484612/000119312520241516/d941853dex41.htm" TargetMode="External"/><Relationship Id="rId238" Type="http://schemas.openxmlformats.org/officeDocument/2006/relationships/hyperlink" Target="https://www.sec.gov/Archives/edgar/data/1484612/000119312520226746/d941853dex42.htm" TargetMode="External"/><Relationship Id="rId239" Type="http://schemas.openxmlformats.org/officeDocument/2006/relationships/hyperlink" Target="https://www.sec.gov/Archives/edgar/data/1484612/000119312520226746/d941853dex43.htm" TargetMode="External"/><Relationship Id="rId240"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2024-11-07T05:18:49Z</dcterms:created>
  <dcterms:modified xsi:type="dcterms:W3CDTF">2024-11-07T05:18:49Z</dcterms:modified>
</cp:coreProperties>
</file>