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m-20231231.htm"/>
      <w:bookmarkStart w:id="1" w:name="ksom202312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001-39513</w:t>
      </w:r>
    </w:p>
    <w:p>
      <w:pPr>
        <w:pStyle w:val="TextBody"/>
        <w:bidi w:val="0"/>
        <w:spacing w:before="60" w:after="283"/>
        <w:jc w:val="center"/>
        <w:rPr>
          <w:rFonts w:ascii="Times New Roman" w:hAnsi="Times New Roman"/>
          <w:sz w:val="20"/>
        </w:rPr>
      </w:pPr>
      <w:r>
        <w:rPr>
          <w:rFonts w:ascii="Times New Roman" w:hAnsi="Times New Roman"/>
          <w:b/>
          <w:color w:val="000000"/>
          <w:sz w:val="36"/>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20-0514392</w:t>
            </w:r>
          </w:p>
        </w:tc>
      </w:tr>
      <w:tr>
        <w:trPr/>
        <w:tc>
          <w:tcPr>
            <w:tcW w:w="243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3052 Orchard Dr.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California</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(669) 231-8200</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OM</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7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Aggregate market value of registrant's common stock held by non-affiliates of the registrant, based upon the closing price of a share of the registrant's common stock on June 30, 2023 (the last business day of the registrant's most recently completed second quarter) as reported by Nasdaq Global Market on that date was approximately $1.1</w:t>
      </w:r>
      <w:r>
        <w:rPr>
          <w:rFonts w:ascii="Times New Roman" w:hAnsi="Times New Roman"/>
          <w:color w:val="000000"/>
          <w:sz w:val="20"/>
        </w:rPr>
        <w:t xml:space="preserve"> </w:t>
      </w:r>
      <w:r>
        <w:rPr>
          <w:rFonts w:ascii="Times New Roman" w:hAnsi="Times New Roman"/>
          <w:color w:val="000000"/>
          <w:sz w:val="16"/>
        </w:rPr>
        <w:t>billion.</w:t>
      </w:r>
    </w:p>
    <w:p>
      <w:pPr>
        <w:pStyle w:val="TextBody"/>
        <w:bidi w:val="0"/>
        <w:spacing w:before="60" w:after="283"/>
        <w:jc w:val="left"/>
        <w:rPr>
          <w:rFonts w:ascii="Times New Roman" w:hAnsi="Times New Roman"/>
          <w:sz w:val="20"/>
        </w:rPr>
      </w:pPr>
      <w:r>
        <w:rPr>
          <w:rFonts w:ascii="Times New Roman" w:hAnsi="Times New Roman"/>
          <w:color w:val="000000"/>
          <w:sz w:val="16"/>
        </w:rPr>
        <w:t>The number of shares of the registrant’s common stock, par value $0.001 per share, outstanding as of February 15, 2024 was 50,505,683.</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60"/>
        <w:jc w:val="left"/>
        <w:rPr>
          <w:rFonts w:ascii="Times New Roman" w:hAnsi="Times New Roman"/>
          <w:color w:val="000000"/>
          <w:sz w:val="16"/>
        </w:rPr>
      </w:pPr>
      <w:r>
        <w:rPr>
          <w:rFonts w:ascii="Times New Roman" w:hAnsi="Times New Roman"/>
          <w:color w:val="000000"/>
          <w:sz w:val="16"/>
        </w:rPr>
        <w:t>Portions of the registrant’s Proxy Statement for its 2023 Annual Meeting of Stockholders, which is to be filed with the Securities and Exchange Commission within 120 days of the registrant’ fiscal year ended December 31, 2023, are incorporated by reference into Part III of this Annual Report on Form 10-K to the extent stated herein.</w:t>
      </w:r>
    </w:p>
    <w:p>
      <w:pPr>
        <w:pStyle w:val="HorizontalLine"/>
        <w:pBdr>
          <w:bottom w:val="double" w:sz="2" w:space="0" w:color="808080"/>
        </w:pBdr>
        <w:bidi w:val="0"/>
        <w:spacing w:before="0" w:after="283"/>
        <w:jc w:val="left"/>
        <w:rPr/>
      </w:pPr>
      <w:r>
        <w:rPr/>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563C1"/>
                  <w:sz w:val="20"/>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563C1"/>
                  <w:sz w:val="20"/>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563C1"/>
                  <w:sz w:val="20"/>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563C1"/>
                  <w:sz w:val="20"/>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563C1"/>
                  <w:sz w:val="20"/>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563C1"/>
                  <w:sz w:val="20"/>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563C1"/>
                  <w:sz w:val="20"/>
                  <w:u w:val="single"/>
                </w:rPr>
                <w:t>[</w:t>
              </w:r>
            </w:hyperlink>
            <w:hyperlink w:anchor="item_6_selected_financial_data">
              <w:r>
                <w:rPr>
                  <w:rStyle w:val="InternetLink"/>
                  <w:rFonts w:ascii="Times New Roman" w:hAnsi="Times New Roman"/>
                  <w:color w:val="0563C1"/>
                  <w:sz w:val="20"/>
                </w:rPr>
                <w:t>Reserved</w:t>
              </w:r>
            </w:hyperlink>
            <w:hyperlink w:anchor="item_6_selected_financial_data">
              <w:r>
                <w:rPr>
                  <w:rStyle w:val="InternetLink"/>
                  <w:rFonts w:ascii="Times New Roman" w:hAnsi="Times New Roman"/>
                  <w:color w:val="0563C1"/>
                  <w:sz w:val="20"/>
                  <w:u w:val="single"/>
                </w:rPr>
                <w:t>]</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563C1"/>
                  <w:sz w:val="20"/>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563C1"/>
                  <w:sz w:val="20"/>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563C1"/>
                  <w:sz w:val="20"/>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563C1"/>
                  <w:sz w:val="20"/>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563C1"/>
                  <w:sz w:val="20"/>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_">
              <w:r>
                <w:rPr>
                  <w:rStyle w:val="InternetLink"/>
                  <w:rFonts w:ascii="Times New Roman" w:hAnsi="Times New Roman"/>
                  <w:color w:val="0563C1"/>
                  <w:sz w:val="20"/>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_reg_foreign_jurisdictions">
              <w:r>
                <w:rPr>
                  <w:rStyle w:val="InternetLink"/>
                  <w:rFonts w:ascii="Times New Roman" w:hAnsi="Times New Roman"/>
                  <w:color w:val="0563C1"/>
                  <w:sz w:val="20"/>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563C1"/>
                  <w:sz w:val="20"/>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563C1"/>
                  <w:sz w:val="20"/>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563C1"/>
                  <w:sz w:val="20"/>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563C1"/>
                  <w:sz w:val="20"/>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563C1"/>
                  <w:sz w:val="20"/>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563C1"/>
                  <w:sz w:val="20"/>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563C1"/>
                  <w:sz w:val="20"/>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(this Annual Report) contains forward-looking statements within the meaning of the federal securities laws. All statements other than statements of historical fact contained in this Annual Report are forward-looking statements. In some cases, you can identify forward-looking statements by terms such as “may,” “should,” “expects,” “plans,” “anticipates,” “could,” “intends,” “target,” “projects,” “contemplates,” “believes,” “estimates,” “predicts,” “potential” or “continue” or the negative of these terms or other similar expressions. These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results of operations and financial position, including our expectations and projections regarding our revenues and revenue growth rate, cost of revenues, operating expenses, gross margin, capital expenditures, cash position, cash burn and our ability to achieve and maintain future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strategy, plans and objectives of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factors we believe affect our performance, including our beliefs about the opportunities presented by these factors, our ability to successfully address each of these factors and the anticipated impacts of these factors on our business, financial condition and result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market sizes and growth potential for Tablo, including our estimates of annual spending on dialysis and the number of people affected by kidney failure in the United States, and the total addressable market opportunities for Tablo in the acute care and home settings;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expansion within the home dialysis market and our assumptions about the home market, including expected drivers of home dialysis adoption;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ongoing impact of macroeconomic factors on our business and results of operations, and on our customers and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execution of our various initiatives designed to expand gross margins, including by reducing production costs, continuing to sell Tablo cartridges, services and accessories for Tablo console, and reducing the cost of service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expand our in-house manufacturing capabilities, and leverage and optimize our sales and marketing infrastructure, to support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continue to invest in our research and development efforts to enhance existing products and develop new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respond to any reports, observations or other actions by the FDA or other regulators in a timely and effective manner;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uses and sufficiency of our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Annual Report, including in the sections titled “Risk Factors” under Part I, Item 1A below and “Management’s Discussion and Analysis of Financial Condition and Results of Operations” under Part II, Item 7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like all statements in this Annual Report, speak only as of their date, and except as required by applicable law, we undertake no obligation to update or revise these statements, whether as a result of any new information, future developments or otherwise. These statements are inherently uncertain and investors are cautioned not to unduly rely upon these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all references in this Annual Report to “we,” “us,” “our,” “Outset” and “the “Company” refer to Outset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proprietary rights to trademarks, trade names and service marks appearing in this Annual Report that are important to our business. Solely for convenience, the trademarks, service marks, logos and trade names referred to in this Annual Report are without the ® and  symbols, but such references are not intended to indicate that we will not assert our rights or the rights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licensors in these trademarks, service marks and trade names. All trademarks, trade names and service marks appearing in this Annual Report are the property of their respective 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2" w:name="item_1_business"/>
      <w:bookmarkEnd w:id="2"/>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Outset is a medical technology company pioneering a first-of-its-kind technology to reduce the cost and complexity of dialysis. We believe the Tablo® Hemodialysis System (Tablo) represents a significant technological advancement that transforms the dialysis experience for patients and operationally simplifies it for providers. We designed Tablo from the ground up to be a single enterprise solution that can be utilized across the continuum of care, allowing dialysis to be delivered anytime, anywhere and by virtually anyone. Tablo is currently cleared by the U.S. Food and Drug Administration (FDA) for use in the hospital, clinic or home setting. Our technology is designed to elevate the dialysis experience for patients, and help providers overcome traditional care delivery challenges. Our focus on flexibility, ease of use and user experience translates to meaningfully reduced training times and fixed infrastructure requirements. Requiring only an electrical outlet and tap water to operate,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Tablo leverages cloud technology, making it possible for providers to monitor devices and treatments remotely, perform patient and population analytics and automate clinical recordkeeping. With a simple-to-use touchscreen interface, two-way wireless data transmission and a proprietary data analytics platform, Tablo is a new holistic approach to dialysis care. Unlike traditional hemodialysis machines, which have limited clinical versatility across care settings, Tablo can be used seamlessly across multiple care settings and a wide range of clinical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generated meaningful evidence to demonstrate that providers can realize significant operational efficiencies, including reducing the cost of their dialysis programs by up to 80% in the intensive care unit (ICU).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 </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Kidney failure can be temporary and occur spontaneously due to an underlying medical condition, as is the case in acute kidney injury (AKI), or can worsen gradually over time, as is the case in chronic kidney disease (CKD), which may result in end-stage renal disease (ESRD). Kidney failure is commonly managed with hemodialysis, a procedure by which waste products and excess fluid are directly removed from a patient’s blood using an external dialysis machine. ESRD patients require complex management and the cost burden of administering dialysis is significant. Hemodialysis can be performed in multiple care settings, including the hospital, clinic or the patient’s home. Typically, different types of dialysis machines are used in different care settings and for different clinical needs. Tablo is an enterprise dialysis solution that allows providers to standardize to a single technology platform.</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Driving adoption of Tablo in the acute setting has been our primary focus since Tablo’s clearance by the FDA for use in an acute or chronic care facility in September 2014. We have invested in growing our economic and clinical evidence, built veteran field service, sales and clinical support teams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including our sales, field service and marketing teams, to broaden our installed base in the acute care market, as well as driving utilization and fleet expansion with our existing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also utilized for home-based dialysis. In March 2020, Tablo was cleared by the FDA for patient use in the home. We believe our ability to reduce training time, patient dropout, and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make investments in, and focus on refining our home distribution, logistics, service and support systems to help ensure they continue to scale. We are also working with providers, patients and payors to increase awareness and adoption of transitional care units (TCUs) as a bridge to home based therapy. To demonstrate the cost advantages of Tablo in the home setting, we are continuing to collect additional patient clinical experience and outcomes data.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Tablo Hemodialysis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an FDA-cleared single enterprise solution for hemodialysis, comprised of a compact console with integrated water purification, on-demand dialysate production and advanced software and connectivity capabilities. We designed Tablo from the ground up to be a single enterprise solution that can be utilized across the continuum of care, allowing dialysis to be delivered anytime, anywhere, and by virtually anyone. Unlike traditional hemodialysis machines, Tablo can be used seamlessly across multiple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care settings and a wide range of clinical applications, all with the benefit of remote system management, monitoring and maintenance through two-way wireless data transmission capabilities.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comprised of the following components: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Tablo Console</w:t>
      </w:r>
      <w:r>
        <w:rPr>
          <w:rFonts w:ascii="Times New Roman" w:hAnsi="Times New Roman"/>
          <w:color w:val="000000"/>
          <w:sz w:val="20"/>
        </w:rPr>
        <w:t xml:space="preserve">. A proprietary, compact, mobile and versatile machine consisting of an integrated water purification, on-demand dialysate production system and simple-to-use touchscreen interface with 3D animations that guide the user through treatment from start to finish. Using advanced sensors, the console automates much of treatment setup and management and can automatically self-diagnose for potential machine issues. Tablo console can accommodate a wide range of treatment modalities, durations and flow rates, allowing for broad clinical applications. Tablo console requires only a standard electrical outlet and tap water to operate. This eliminates the need for industrial water treatment rooms, separate water purification machines and pre-filled bags of dialysate associated with traditional dialysis machines. In 2022, we introduced TabloCart with storage drawer, an accessory for Tablo that has 360° wheels for maneuverability and additional storage.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Tablo Cartridge</w:t>
      </w:r>
      <w:r>
        <w:rPr>
          <w:rFonts w:ascii="Times New Roman" w:hAnsi="Times New Roman"/>
          <w:color w:val="000000"/>
          <w:sz w:val="20"/>
        </w:rPr>
        <w:t xml:space="preserve">. A proprietary, disposable single use pre-strung cartridge that easily clicks into place, minimizing steps, touch points and connections, allowing for set up of treatment supplies in less than 12 minutes. Tablo cartridge was designed to simplify and streamline treatment setup to minimize the potential for user error. Tablo cartridge is intended to facilitate extracorporeal blood purification for patients. One cartridge is used per treatment, except in the case of extended therapy, where multiple cartridges can be used if needed. Tablo cartridge consists of a user-friendly pre-configured blood, saline, and infusion tubing. Tablo cartridge requires only two connections to operate as compared to other machines that require stringing, hanging, snapping and tapping multiple lines. In our home IDE trial, patients were able to set up Tablo cartridge and dialysate concentrates in less than 12 minutes, on average. With an average prime period of approximately eight minutes, an uninterrupted patient can initiate therapy in as little as around 20 minutes, representing a significant improvement over traditional machines, which can take approximately 45 minutes to set up.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Tablo Data Ecosystem</w:t>
      </w:r>
      <w:r>
        <w:rPr>
          <w:rFonts w:ascii="Times New Roman" w:hAnsi="Times New Roman"/>
          <w:color w:val="000000"/>
          <w:sz w:val="20"/>
        </w:rPr>
        <w:t>. As further described below in the section entitled “Tablo Data Ecosystem”, with Tablo, we are bringing data to dialysis. Tablo is built to live in a connected setting with cloud-based system monitoring, patient analytics and clinical recordkeeping.</w:t>
      </w:r>
      <w:r>
        <w:rPr>
          <w:color w:val="000000"/>
        </w:rPr>
        <w:t xml:space="preserve"> </w:t>
      </w:r>
    </w:p>
    <w:p>
      <w:pPr>
        <w:pStyle w:val="TextBody"/>
        <w:bidi w:val="0"/>
        <w:spacing w:before="240" w:after="240"/>
        <w:jc w:val="center"/>
        <w:rPr/>
      </w:pPr>
      <w:r>
        <w:rPr/>
        <w:drawing>
          <wp:inline distT="0" distB="0" distL="0" distR="0">
            <wp:extent cx="5029200" cy="427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29200" cy="4276725"/>
                    </a:xfrm>
                    <a:prstGeom prst="rect">
                      <a:avLst/>
                    </a:prstGeom>
                  </pic:spPr>
                </pic:pic>
              </a:graphicData>
            </a:graphic>
          </wp:inline>
        </w:drawing>
      </w: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Tablo Data Ecosystem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Tablo's two-way wireless data transmission and connectedness help reduce maintenance costs and enable ongoing system improvements. This is all made possible by our growing team of experienced software, data science, and machine learning engineers.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leverages cloud technology to make it possible for providers to monitor devices remotely, view treatment data, perform patient and population analytics, and automate clinical recordkeeping. Tablo’s wireless connectivity enables us to release training, new features, and enhancements over-the-air (OTA) without interventions by field service engineers (FSEs). This means that customers can train and upgrade their device on their own schedule. We use these OTA updates to add new features designed to extend Tablo’s clinical applicability and enhance device uptime. We believe these OTA updates help Tablo get smarter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Equipped with this information, our FSEs can visit sites knowing they have the correct parts and consumables to address the issues reported, and sometimes even those that are yet to come. In effect, this contributes to a reduction in service hours and an increase in device uptime.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above functionality is enabled through the following key platforms: TabloHub®, a customer-facing portal; MyTablo, a patient-facing portal; and TabloDash, an internal data analytics platform.</w:t>
      </w:r>
    </w:p>
    <w:p>
      <w:pPr>
        <w:pStyle w:val="TextBody"/>
        <w:bidi w:val="0"/>
        <w:spacing w:before="240" w:after="283"/>
        <w:jc w:val="left"/>
        <w:rPr>
          <w:rFonts w:ascii="Times New Roman" w:hAnsi="Times New Roman"/>
          <w:sz w:val="20"/>
        </w:rPr>
      </w:pPr>
      <w:r>
        <w:rPr>
          <w:rFonts w:ascii="Times New Roman" w:hAnsi="Times New Roman"/>
          <w:i/>
          <w:color w:val="000000"/>
          <w:sz w:val="20"/>
        </w:rPr>
        <w:t>TabloHub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TabloHub is designed to be a one-stop shop for providers that allows customers to monitor treatments in real-time across their fleet, visualize historical treatment records and statistics, see system disinfection and service records, search documentation, read news about Tablo, and perform various training. It is accessible from any device equipped with a web browser, be it a smart phone, a tablet, or a computer.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the Tablo application programming interface (API), providers can integrate Tablo with their Electronic Medical Records (EMR) to receive Tablo treatment data and flowsheets automatically. This helps reduce manual record keeping, record-entry errors, and auditing risks. This additional point of connectedness is designed to deliver data in compliance with the federal Health Insurance Portability and Accountability Act (HIPAA) Security Rule, and does not require any special equipment from the providers: it connects to the cloud using any standard Ethernet or Wi-Fi internet connections. TabloHub strengthens care, simplifies meeting documentation requirements, and makes system management easy.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MyTablo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MyTablo is a version of TabloHub designed for patients who are dialyzing at home or performing self-care at a clinic. Using MyTablo, patients can access training and download their treatment reports.</w:t>
      </w:r>
    </w:p>
    <w:p>
      <w:pPr>
        <w:pStyle w:val="TextBody"/>
        <w:bidi w:val="0"/>
        <w:spacing w:before="240" w:after="283"/>
        <w:jc w:val="left"/>
        <w:rPr>
          <w:rFonts w:ascii="Times New Roman" w:hAnsi="Times New Roman"/>
          <w:sz w:val="20"/>
        </w:rPr>
      </w:pPr>
      <w:r>
        <w:rPr>
          <w:rFonts w:ascii="Times New Roman" w:hAnsi="Times New Roman"/>
          <w:i/>
          <w:color w:val="000000"/>
          <w:sz w:val="20"/>
        </w:rPr>
        <w:t>TabloDash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TabloDash is a powerful data analytics platform used by Outset team members to analyze diagnostic data produced by connected devices across all fleets, data from our customer relationship management system, and various other sources. Tablo captures more than 500,000 machine performance data points during every treatment, which is then used to fuel data analytics and machine learning algorithms that drive our research and development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TabloDash, data can be visualized, graphed, aggregated, and queried to answer complex business intelligence questions, and build performance monitoring dashboards. For example, our service team uses TabloDash to analyze field response times, categorize failures by types, diagnose specific device issues, and monitor customer fleet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real-time nature of TabloDash allows our FSEs to troubleshoot and adjust a device remotely during a call with a customer and avoid the need to send FSEs to a site unnecessarily. If it is necessary to dispatch an FSE, we can use TabloDash to help ensure they arrive with the correct parts to complete the repair and are able to address any preventive maintenance predicted by our algorithms, all during the same visit. TabloDash is the linchpin that helps us optimize the cost of service while increasing the quality of service by reducing unnecessary visits, time spent on-site, and device downtime.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the above features and benefits in mind, we believe Tablo is well-positioned as a differentiated, all-in-one solution enabling transformational dialysis across the continuum of care, from hospital to home, in one of the largest, most expensive, least changed areas of healthcare.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dialysis machine manufacturers in the United States, Europe and Asia. Notable competitors in the United States include Fresenius Medical Care AG &amp; Co. KGaA (Fresenius), Baxter International, Inc. (Baxter) and B. Braun. Medical Inc. (B. Braun). In addition, Quanta Dialysis Technologies Ltd’s (Quanta) dialysis system received FDA 510(k) clearance for use in acute and/or chronic settings. Of these competitors, Fresenius is the largest, and is vertically integrated, both manufacturing dialysis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and operating dialysis clinics along with providing inpatient dialysis services to hospitals and health systems. Additionally, companies with dialysis machine development programs include Medtronic plc (Medtronic). With the exception of Quanta,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demonstrate the value of Tablo, maintain and improve product quality and feature functionality, build the infrastructure to support the operating needs of the business and achieve cost reductions.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Acute Care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historically customers in this market have focused on machine functionality and price, we believe they are increasingly focused on the total cost of patient care, which favors technology that can provide clinical versatility and improve operational efficiency. In the acute care setting, the dialysis machine manufacturers that we compete with include Fresenius, Baxter and B. Braun. We compete primarily on the basis that Tablo is designed to drive operational efficiency through ease of use and cost reduction by reducing infrastructure and supplies cost.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hospital customers in this market have generally outsourced their dialysis services to third party providers, for example, Fresenius, rather than offering on-site inpatient dialysis services on their own. We may also compete against these outsourced dialysis providers. In such instances, we believe our ability to compete effectively will depend on our ability to demonstrate Tablo’s economic, clinical and operational benefits relative to outsourcing dialysis services.</w:t>
      </w:r>
    </w:p>
    <w:p>
      <w:pPr>
        <w:pStyle w:val="TextBody"/>
        <w:bidi w:val="0"/>
        <w:spacing w:before="240" w:after="283"/>
        <w:jc w:val="left"/>
        <w:rPr>
          <w:rFonts w:ascii="Times New Roman" w:hAnsi="Times New Roman"/>
          <w:sz w:val="20"/>
        </w:rPr>
      </w:pPr>
      <w:r>
        <w:rPr>
          <w:rFonts w:ascii="Times New Roman" w:hAnsi="Times New Roman"/>
          <w:b/>
          <w:i/>
          <w:color w:val="000000"/>
          <w:sz w:val="20"/>
        </w:rPr>
        <w:t>Home Care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competition in the home setting is based on a system’s clinical performance, its cost efficiency, its ease of use and patient preference. In the home hemodialysis setting, competitors include Fresenius (through its acquisition of NxStage). We believe through Tablo’s unique advantages it is easier and faster for patients to learn, and simpler for patients to operate at home, which may position us well against existing or future competitors. We believe these factors will reduce patient or caregiver burn-out, thereby extending patient retention, increasing home hemodialysis growth and improving associated margin for providers. We do not consider peritoneal dialysis (PD) to be competitive to our products given the differences in treatment modality, that PD is clinically limited to patients with certain pre-existing conditions such as congestive heart failure and obesity and that PD is regarded as a “temporary” modality since approximately 80% of patients are on the therapy for less than three years.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proprietary technology and intellectual property rights. We rely on a combination of federal, state, common law and international rights, as well as contractual restrictions, to protect our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patent protection for certain of our key innovations, processes and other inventions. We pursue the registration of our trademarks, service marks and domain names in the United States and in certain other locations. We control access to our proprietary technology by entering into confidentiality and invention assignment agreements with our employees and contractors, and confidentiality agreements with third parties. Our intellectual property includes specific algorithms for Tablo console, including those related to pressure sensors, blood leakage and pump control loops.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22 issued U.S. patents, as well as 7 pending U.S. patent applications. We had an aggregate of 39 issued patents in Australia, Canada, China, France, Germany, Hong Kong, Japan, Spain, Sweden and the United Kingdom, as well as 35 pending patent applications in Australia, Brazil, Canada, China, the European Patent Office, Hong Kong, Japan, Saudi Arabia, United Arab Emirates and under the Patent Cooperation Treaty. Some of our patents and other intellectual property cover aspects of Tablo that enable it to be used by anyone, including the patient, through the automation of functions formerly performed by dialysis center technicians using traditional dialysis systems. Our proprietary data ecosystem provides what we believe is a unique way of connecting providers and patients for real-time treatment monitoring, automated treatment documentation, and simplified compliance and record-keeping.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patents expire between October 2025 and December 2039.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 granting a patent, or it may be shortened if a patent is terminally disclaimed over a commonly owned patent or a patent naming a common inventor and having an earlier expiration date. We cannot be sure that our pending patent applications or future patent applications will result in issued patents or that any patents that have issued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might issue in the future will protect our current or future products, provide us with any competitive advantage or will not be challenged, invalidated, or circumvented.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aspects of Tablo, including, without limitation, sensor technology, connectivity, automation, analytics and interface are covered by software, algorithms, processes, trade secret or other proprietary rights. We protect our trade secrets through a variety of measures, including confidentiality agreements and proprietary information agreements with suppliers, employees, consultants and others who may have access to our proprietary information. Trade secrets and proprietary information can be difficult to protect, however. While we have confidence in the measures we take to protect and preserve our trade secrets and proprietary information, such measures can be breached, and we may not have adequate remedies for any such breach. In addition, our trade secrets and proprietary information may otherwise become known or be independently discovered by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active patent litigation involving any of our patents, and we have not received any notices claiming that our activities infringe a third party’s patent.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 Supply Chain and Logistics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direct the manufacturing and supporting supply chain, distribution and logistics for Tablo console, Tablo cartridge and other consumables (electrolyte concentrates and plastic tubing that transports the concentrates into Tablo to enable on-demand dialysate production). We operate under a Quality Management System that has been certified to ISO 13485 Medical Device Quality Management System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manufacture our Tablo consoles and a majority of Tablo cartridges at our manufacturing facility in Tijuana, Mexico. We are operating in Mexico in collaboration with TACNA Services (TACNA), a well-known outsourced business administration service provider that provides all the back-office and facility infrastructure support, allowing us to focus on our core competencies – design and high-volume manufacturing for reliability and cost reduction. Tablo consoles manufactured in our Mexico facility are tested at the facility using an integrated system testing protocols designed by us, and then direct-shipped to our distribution centers, using a network of short-haul and long-haul freight forwarders optimized for time and cost efficiency.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our manufacturing services agreement with TACNA (the TACNA Agreement), TACNA provides support services in connection with our manufacturing activities in Mexico. Under the TACNA Agreement, TACNA hires employees as requested by us and is responsible for human resource functions including maintenance of employee files and reports. TACNA is also responsible for performing internal statutory accounting and payroll services, as well as payables processing. Additional services that TACNA is obligated to provide under the TACNA Agreement include interfacing with both Mexican and U.S. governmental agencies, preparing import-export documentation, coordinating shipment of equipment, raw materials and finished products, and obtaining necessary permits and licenses required in Mexico. Under the TACNA Agreement, TACNA’s services are generally performed under a pass-through cost model under which costs incurred are approved by us. We are also obligated to pay TACNA fees based on the number of employees under the TACNA Agreement. The TACNA Agreement has an initial three-year term and will continue thereafter until terminated by us or TACNA in accordance with the terms of the TACNA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manufacture a portion of Tablo cartridges through two contract manufacturing partners, Providien Medical (Providien), part of Carlisle Companies Incorporated, a contract manufacturer with a facility in Mexico, and Infus Medical Co. Ltd. (Infus), a contract manufacturer with two facilities in Thailand. We intend to continue to increase the quantity of Tablo cartridges produced in-house at our manufacturing facility in Mexico, while continuing to rely on one or more of our contract manufacturers as additional sources for cartridge production.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suppliers required for Tablo console production is in excess of 200 worldwide. We consider a discrete number of these suppliers, located in the United States, Mexico, Europe and Asia, as critical providers of components such as pumps, motors, valves and PCBA boards. The various components for Tablo cartridge are manufactured by approximately 30 different single-source suppliers located in various countries including the United States, Mexico, Europe and Asia.</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United States Food and Drug Administration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our products are subject to regulation by the FDA as medical devices pursuant to the Federal Food Drug and Cosmetic Act (FDCA).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 </w:t>
      </w:r>
    </w:p>
    <w:p>
      <w:pPr>
        <w:pStyle w:val="TextBody"/>
        <w:bidi w:val="0"/>
        <w:spacing w:before="240" w:after="283"/>
        <w:jc w:val="left"/>
        <w:rPr>
          <w:rFonts w:ascii="Times New Roman" w:hAnsi="Times New Roman"/>
          <w:sz w:val="20"/>
        </w:rPr>
      </w:pPr>
      <w:r>
        <w:rPr>
          <w:rFonts w:ascii="Times New Roman" w:hAnsi="Times New Roman"/>
          <w:i/>
          <w:color w:val="000000"/>
          <w:sz w:val="20"/>
        </w:rPr>
        <w:t>FDA Premarket Clearance and Approval Requirements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an exemption applies, each medical device commercially distributed in the United States requires either FDA clearance of a 510(k) premarket notification, approval of a de novo application, or approval of a premarket approval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 Tablo is a Class II device subject to 510(k) clearance. </w:t>
      </w:r>
    </w:p>
    <w:p>
      <w:pPr>
        <w:pStyle w:val="TextBody"/>
        <w:bidi w:val="0"/>
        <w:spacing w:before="240" w:after="283"/>
        <w:jc w:val="left"/>
        <w:rPr>
          <w:rFonts w:ascii="Times New Roman" w:hAnsi="Times New Roman"/>
          <w:sz w:val="20"/>
        </w:rPr>
      </w:pPr>
      <w:r>
        <w:rPr>
          <w:rFonts w:ascii="Times New Roman" w:hAnsi="Times New Roman"/>
          <w:i/>
          <w:color w:val="000000"/>
          <w:sz w:val="20"/>
        </w:rPr>
        <w:t>510(k) Clearance Marketing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PMA,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 If a de novo request is granted, the device may be legally marketed and a new classification is established. If the device is classified as Class II, the device may serve as a predicate for future 510(k) submissions. If the device is not approved through de novo review, then it must go through the standard PMA process for Class III devices.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Also, in these circumstances, the manufacturer may be subject to significant regulatory fines or penalties. </w:t>
      </w:r>
    </w:p>
    <w:p>
      <w:pPr>
        <w:pStyle w:val="TextBody"/>
        <w:bidi w:val="0"/>
        <w:spacing w:before="240" w:after="283"/>
        <w:jc w:val="left"/>
        <w:rPr>
          <w:rFonts w:ascii="Times New Roman" w:hAnsi="Times New Roman"/>
          <w:sz w:val="20"/>
        </w:rPr>
      </w:pPr>
      <w:r>
        <w:rPr>
          <w:rFonts w:ascii="Times New Roman" w:hAnsi="Times New Roman"/>
          <w:i/>
          <w:color w:val="000000"/>
          <w:sz w:val="20"/>
        </w:rPr>
        <w:t>PMA Approval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Class III devices require approval of a PMA before they can be marketed, although some pre-amendment Class III devices for which the FDA has not yet required a PMA are cleared through the 510(k) process. 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PMA application must also contain a full description of the device and its components, a full description of the methods, facilities, and controls used for manufacturing, and proposed labeling. Following receipt of a PMA application, the FDA determines whether the application is sufficiently complete to permit a substantive review. If the FDA accepts the application for review, it has 180 days under the FDCA to complete its review of a PMA application,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or suppliers’ manufacturing facility or facilities to ensure compliance with the QSR. PMA devices are also subject to the payment of user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will approve the new device for commercial distribution if it determines that the data and information in the PMA application constitute valid scientific evidence and that there is reasonable assurance that the device is safe and effective for its intended use(s). A PMA may include post-approval conditions intended to ensure the safety and effectiveness of the device, including, among other things, restrictions on labeling, promotion, sale and distribution, and collection of long-term follow-up data from patients in the clinical study that supported the PMA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None of our products are currently marketed pursuant to a PMA. </w:t>
        <w:b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 novo Classification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device types that the FDA has not previously classified as Class I, II or III are automatically classified into Class III regardless of the level of risk they pose. To market low to moderate risk medical devices that are automatically placed into Class III due to the absence of a predicate device, a manufacturer may request a de novo down-classification.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application. A medical device may be eligible for de novo classification if the manufacturer first submitted a 510(k) premarket notification and received a determination from the FDA that the device was not substantially equivalent, or a manufacturer may request de novo classification directly without first submitting a 510(k) premarket notification to the FDA and receiving a not substantially equivalent determination. The FDA is required to classify the device within 120 calendar days following receipt of the de novo application, although in practice, the FDA’s review may take significantly longer. During the pendency of the FDA’s review, the FDA may issue an additional information letter, which places the de novo request on hold and stops the review clock pending receipt of the additional information requested. In the event the de novo requestor does not provide the requested information within 180 calendar days, the FDA will consider the de novo request to be withdrawn. If the manufacturer seeks reclassification into Class II, the manufacturer must include a draft proposal for special controls that are necessary to provide a reasonable assurance of the safety and effectiveness of the medical device. In addition, the FDA may reject the de novo request for classification if it identifies a legally marketed predicate device that would be appropriate for a 510(k) or determines that the device is not low to moderate risk or that general controls would be inadequate to control the risks and special controls cannot be developed. In the event the FDA determines the data and information submitted demonstrate that general controls or general and special controls are adequate to provide reasonable assurance of safety and effectiveness, the FDA will grant the de novo request for classification. When the FDA grants a de novo request for classification, the device is granted marketing authorization and further can serve as a predicate for future devices of that type, through a 510(k) premarket notification.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Breakthrough Device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implemented a Breakthrough Device Program that is intended to help patients receive more timely access to breakthrough medical technologies that have the potential to provide more effective treatment or diagnosis for life-threatening or irreversibly debilitating diseases or conditions. A device also must meet one of the following criteria: (i) it represents breakthrough technology; (ii) there is no approved or cleared alternative; (iii) it offers significant advantages over existing cleared or approved devices; or (iv) availability of the device is in the best interest of patients. Under the program, a manufacturer is eligible to receive priority review and interactive communications from the FDA regarding device development and clinical trial protocols, all the way through to commercialization decisions.</w:t>
      </w:r>
    </w:p>
    <w:p>
      <w:pPr>
        <w:pStyle w:val="TextBody"/>
        <w:bidi w:val="0"/>
        <w:spacing w:before="240" w:after="283"/>
        <w:jc w:val="left"/>
        <w:rPr>
          <w:rFonts w:ascii="Times New Roman" w:hAnsi="Times New Roman"/>
          <w:sz w:val="20"/>
        </w:rPr>
      </w:pPr>
      <w:r>
        <w:rPr>
          <w:rFonts w:ascii="Times New Roman" w:hAnsi="Times New Roman"/>
          <w:i/>
          <w:color w:val="000000"/>
          <w:sz w:val="20"/>
        </w:rPr>
        <w:t>Clinical Trials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are almost always required to support a PMA and are sometimes required to support a 510(k) submission.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study must be approved by, and conducted under the oversight of, an Institutional Review Board (IRB) for each clinical site. The IRB is responsible for the initial and continuing review of the IDE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 </w:t>
      </w:r>
    </w:p>
    <w:p>
      <w:pPr>
        <w:pStyle w:val="TextBody"/>
        <w:bidi w:val="0"/>
        <w:spacing w:before="240" w:after="283"/>
        <w:jc w:val="left"/>
        <w:rPr>
          <w:rFonts w:ascii="Times New Roman" w:hAnsi="Times New Roman"/>
          <w:sz w:val="20"/>
        </w:rPr>
      </w:pPr>
      <w:r>
        <w:rPr>
          <w:rFonts w:ascii="Times New Roman" w:hAnsi="Times New Roman"/>
          <w:i/>
          <w:color w:val="000000"/>
          <w:sz w:val="20"/>
        </w:rPr>
        <w:t>Post-market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a device is cleared or approved for marketing, numerous and pervasive regulatory requirements continue to apply. These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registration and device listing with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QSR requirements, which require manufacturers, including third-party manufacturers, to follow stringent design, testing, control, documentation and other quality assurance procedures during all aspects of the design and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labeling regulations and FDA prohibitions against the promotion of investigational products, or the promotion of ‘‘off-label’’ uses of cleared or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related to promotional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clearance or approval of product modifications to 510(k)-cleared devices that could significantly affect safety or effectiveness or that would constitute a major change in intended use of one of our cleared devices, or approval of certain modifications to PMA-approved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recall authority, whereby the agency can order device manufacturers to recall from the market a product that is in violation of governing laws and regulations;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Quality Systems Regulation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The QSR also requires, among other things, maintenance of records and certain documentation, a device master file, device history file, and complaint files. QSR compliance is necessary to receive and maintain FDA clearance or approval to market new and existing products. As a manufacturer, we are subject to periodic scheduled or unscheduled audits or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untitled letters, FDA Form 483s, FDA warning letters, it has come to our attention letters, fines, injunctions, consent decrees and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expenditures to address or defend such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notifications or repair, replacement, refunds, recall, detention or seizure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detention or seizure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refusing or delaying our requests for regulatory approvals or clearances of new products or modified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withdrawing of 510(k) clearances or PMA approvals that have already been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grant export approval for our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FDA Regulatory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regulatory clearances required to market Tablo in the U.S. for use in patients with acute and/or chronic renal failure, with or without ultrafiltration, in an acute or chronic care facility. Tablo is also indicated for use in the home and observed by a trained individual. Treatments must be administered under a physician’s prescription and observed by a trained individual who is considered competent in the use of the device. The FDA’s authorizations for the Tablo System and Tablo Cartridge have thus far been granted as 510(k) clearances.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Tablo’s original clearance by the FDA for home use in March 2020, we have made certain changes to the device over time and, where appropriate, have submitted 510(k) applications for certain modifications to Tablo. In May 2021, we submitted a 510(k) application to the FDA covering the design changes for patient use in the home. In May 2022, after further discussions with the FDA and receiving indications that the clearance of this 510(k) application would be delayed beyond our original expectations, we implemented a shipment hold on the distribution and marketing of Tablo for use in the home environment pending the FDA’s review and clearance of this 510(k) application. In late July 2022, the FDA cleared this 510(k) application of Tablo for patient use in the home and we resumed marketing and shipping Tablo for home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seek opportunities for product improvements and feature enhancements, which will, from time to time, require FDA clearance or approval before commercial launch. For example, in October 2022,we submitted a 510(k) notification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seeking clearance of a new software version intended to offer new commercial features and enhancements designed to improve the reliability and serviceability of Tablo, as well as other previously implemented modifications. In June 2023, the FDA cleared this 510(k)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2022, the FDA published a Letter to Healthcare Providers entitled "Potential Risk of Exposure to Toxic Compounds When Using Certain Hemodialysis Machines Manufactured by Fresenius Medical Care – Letter to Health Care Providers." In that communication, the agency stated that it is evaluating the potential risk of exposure to non-dioxin-like (NDL) polychlorinated biphenyl acids (PCBAs) and NDL polychlorinated biphenyls (PCBs) with certain hemodialysis machines marketed in the United States. The FDA stated that the source of the NDL PCBAs and NDL PCBs is from the silicone tubing used as a part of the hydraulics in those machines and the dialysate lines. Although Tablo was not the subject of the FDA’s Letter to Healthcare Providers, the FDA reached out to Outset regarding the tubing used in Tablo. In a series of discussions with the FDA, the agency requested that we conduct a targeted analysis and a screening analysis on the tubing currently used in Tablo. After aligning with the FDA on testing and screening protocols, we are concluding our analysis of the data. In parallel, we filed a 510(k) application, and received subsequent 510(k) clearance from the FDA for, PCB-free silicone tubing in December 2023. During the first quarter of 2024, we intend to proactively initiate a workstream to replace the remaining few silicone segments in new and existing Tablo consoles with the new, PCB-free, silicone tubing. While we intend to continue to partner with the FDA on next steps and take appropriate action with respect to this matter, there is no assurance that the FDA will not publish a safety notice specific to Tablo, classify this action as a recall, require us to conduct a recall of previously marketed products, or subject us to other enforcement actions, any of which could damage our reputation and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conducted their first quality system inspection of our San Jose, California facility which concluded in February 2023. At completion, the FDA issued a Form FDA-483 identifying four inspectional observations. We provided our response plan to the FDA in March 2023 and have since completed the associated remediation workstreams to fully address these observations. We continue to provide the FDA with monthly updates as to the status of these 483-related workstreams. Although we believe we are in material compliance with the QSR and have addressed the observations identified in the Form-483, there is no guarantee that subsequent inspections of our facility by the FDA or other regulatory authorities will not result in similar observations with respect to our quality system,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received a warning letter (the “Warning Letter”) from the FDA that raised two observations. The first observation asserts that certain content reviewed by the FDA and found on our website promotes Continuous Renal Replacement Therapy (CRRT), a modality outside of the current indications for Tablo. The second observation asserts that TabloCart with Prefiltration requires prior 510(k) clearance for marketing authorization. TabloCart with Prefiltration is an accessory to Tablo launched in the third quarter of 2022. 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been effectively addressed with two actions. First, although we evaluated TabloCart with Prefiltration prior to marketing and distributing the product and concluded that no marketing authorization was necessary, we paused distribution of TabloCart with Prefiltration pending the FDA’s review and clearance of a 510(k) application. Second, we submitted to the FDA a 510(k) application for TabloCart with Prefiltration in September 2023, and have been engaged in constructive interactive review with the FDA reviewing team. In addition, we have provided monthly updates to the FDA as to the status of these Warning Letter-related workstreams since July 2023 and believe we have taken appropriate measures to resolve the matters raised in the Warning Letter. While we remain committed to fully cooperating with the FDA to expeditiously and completely resolve the Warning Letter, we cannot guarantee that the FDA will be satisfied with our response or the remedial measures we have taken, nor can we give any assurances as to the timing of the resolution of such matters, including the clearance of the 510(k) application and our resumption of distribution of TabloCart with Prefiltration.</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Fraud and Abuse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U.S. federal healthcare fraud and abuse laws apply to our business because our customers submit claims for payment for our products and services to federal healthcare programs (as that term is defined at 42 U.S.C. § 1320a–7b(f)), such as Medicare and Medicaid. The principal federal fraud and abuse laws that apply in these circumstances are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is a broad criminal statute that prohibits, among other things, the knowing and willful offer, solicitation, receipt, or payment of any remuneration, directly or indirectly, overtly or covertly, in cash or in kind, for the purpose of inducing or rewarding the order, purchase, use or recommendation of items or services that may be paid for, in whole or in part, by a federal healthcare program, such as Medicare or Medicaid. This includes products, like Tablo, that are purchased and used in a service that is paid for by such programs. A person or entity does not need to have actual knowledge of the statute or specific intent to violate it in order to have committed a violation. Further, the term “remuneration” has been broadly interpreted to include anything of value. The Patient Protection and Affordable Care Act and the Health Care Reconciliation Act of 2010, as amended (collectively, the ACA), specified that any claims submitted as a result of a violation of the federal Anti-Kickback Statute constitute false claims and are subject to enforcement under the federal False Claims Act, which is discussed in more detail below. Government officials continue to focus their enforcement efforts on the sales and marketing activities of medical device manufacturers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companies, and routinely bring cases under the federal Anti-Kickback Statute and False Claims Act against individuals or entities who allegedly offer unlawful inducements to potential or existing customers in an attempt to procure their business. Judgments and settlements of these cases by healthcare companies have involved significant fines and, in some instances, criminal pleas and convictions, as well as exclusion from participation in federal healthcare programs. A violation of the federal Anti-Kickback Statue includes per violation civil monetary penalties and significant criminal fines under the statute, additional civil penalties and treble damages under the False Claims Act, as discussed in more detail below, possible imprisonment, and mandatory exclusion from participation in the federal healthcare programs, meaning that federal healthcare programs would no longer reimburse (directly or indirectly) for products or services furnished by the excluded entity or individuals.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breadth of the federal Anti-Kickback Statute, and to allow innocuous or beneficial arrangements that may otherwise implicate the law, there are statutory exceptions and regulatory safe harbors that protect certain arrangements from liability under the law when all elements of an applicable exception or safe harbor are met. However, these exceptions and safe harbors are narrowly drawn, and there is no exception or safe harbor for many common business activities like the provision of meals, educational grants or reimbursement support programs, among others. Given that the Anti-Kickback Statute is an intent-based law, the failure of a transaction or arrangement to fit precisely within an exception or safe harbor does not necessarily mean that it is illegal or that prosecution will be pursued. Rather, the determination of a violation then turns on the specific facts and circumstances, and arrangements that fall outside an available exception or safe harbor are typically subject to greater scrutiny.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Act (FCA) imposes civil penalties against individuals or entities for, among other things, knowingly presenting, or causing to be presented, claims for payment of government funds that are false or fraudulent,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for each false claim submitted or statement made, which currently set at $13,946 up to $27,894 per false claim or statement for penalties assessed after January 15, 2024. Government enforcement agencies and private whistleblowers have investigated medical device manufacturers for, or asserted liability under, the FCA for a variety of alleged inappropriate promotional and marketing activities, including those involving the provision of free product or other items of value to customers, certain financial arrangements with healthcare providers, the provision of billing, coding, and reimbursement advice, and purported “off-label” promotion of products, among other things.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Another key federal healthcare law is the federal healthcare fraud statute, which was added by HIPAA. The federal healthcare fraud statute imposes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(Sunshine Act) requires us to track and report annually certain data on payments and other transfers of value we make to U.S. teaching hospitals and U.S.-licensed physicians, physician assistants, nurse practitioners, clinical nurse specialists, certified nurse anesthetists, anesthesiology assistants, and certified nurse-midwives. Manufacturers are also required to report ownership and investment interests held by the physicians described above and their immediate family members. The data are sent to the Center for Medicare and Medicaid Services (CMS) for public disclosure on the Open Payments website. Failure to timely and accurately report information in accordance with the Sunshine Act may result in significant financial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these federal laws, there are often state laws and regulations, including state anti-kickback and false claims laws, that may apply to our business practices, including but not limited to: research, sales and marketing arrangements; claims involving healthcare items or services reimbursed by any third- party payor, including private insurers; state laws that require medical device companies to comply with the medical device industry’s voluntary compliance guidelines and the relevant compliance guidance promulgated by the U.S. federal government, or otherwise restrict payments that may be made to healthcare providers and other potential referral sources; and state laws and regulations that require drug and device manufacturers to file reports relating to pricing and marketing information, which requires tracking gifts and other remuneration and items of value provided to healthcare professionals and entities. In some states, applicable state anti-kickback laws apply with respect to all payors, including commercial health insurance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our compliance efforts, we strive to design our business operations and relationships with our customers to comply with all applicable law. However, many of the laws and regulations applicable to us are broad in scope and may be interpreted or applied by prosecutorial, regulatory or judicial authorities or whistleblowers in ways that we cannot predict. Thus, it is possible that governmental entities or other parties could interpret these laws differently or assert non-compliance with respect to one or more of our business operations and relationships. If our operations are found to be in violation of any of these laws or any other governmental regulations that may apply to us, we may be subject to significant civil, criminal and administrative penalties, damages, fines,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imprisonment, and/or exclusion from government-funded healthcare programs, such as Medicare and Medicaid. In addition, we may become subject to additional oversight and reporting requirements under a corporate integrity agreement as part of a settlement to resolve allegations of non-compliance with these laws (even if we do not admit violations). We may also need to curtail or restructure our operations as a result of being found to violate these laws, having such violations asserted against us, or based on enforcement actions instituted with respect to comparable practices by others. Any of these outcomes could have an adverse effect on our financial condition and ability to conduct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Privacy and 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performing our business we obtain personally identifiable information (PII), including health-related information. Numerous federal and state laws and regulations, including HIPAA, govern the collection, dissemination, security, use and confidentiality of patient-identifiable health information or personal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a set of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which are persons or entities that perform a function or provide certain services for, or on behalf of, a covered entity that involve creating, receiving, maintaining or transmitting PHI. HIPAA also imposes breach reporting obligations on such covered entities and their respective business associates. Penalties for failure to comply with a requirement of HIPAA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 Finally, on December 10, 2020, OCR issued proposed revisions to the Privacy Rule aimed at reducing regulatory burdens that may exist in discouraging coordination of care, including creating an exception to the minimum necessary standard for healthcare coordination, and other proposals to increase patient access to their health information, among other changes. While a final rule has not yet been issued, if adopted, these proposed changes may require us to update our HIPAA policies and procedures to comply with the new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various federal and state legislative and regulatory bodies, or self-regulatory organizations, may expand current laws or regulations, enact new laws or regulations or issue revised rules or guidance regarding privacy, data protection and consumer protection. For instance, the California Consumer Privacy Act, as amended by the California Privacy Rights Act (CCPA) gives California residents rights to access, correct and delete their personal information, to opt out of the sale or sharing of certain personal information, to limit uses of certain sensitive data under certain circumstances, and to receive detailed information about how their personal information is used by requiring covered companies to provide disclosures to California consumers (as that term is broadly defined). The 2020 amendments also created a California data protection agency authorized to issue substantive regulations and could result in increased privacy and information security enforcement. The CCPA regulations also impose proscriptive requirements on businesses regarding how to properly demonstrate compliance with the law’s requirements. The CCPA provides for civil penalties for violations, as well as a private right of action for data breaches that is expected to increase data breach litigation. Although there are limited exemptions for PHI and the CCPA’s implementation standards and enforcement practices are likely to remain uncertain for the foreseeable future, the CCPA may increase our compliance costs and potential liability. Additional compliance investment and potential business process changes may be required. Laws similar to the California laws have passed or have been proposed in several other states and also have been proposed at the federal level. To the extent these laws apply to our operations, they may ultimately have conflicting requirements that would further complicate compliance. Further, new health information standards, whether implemented pursuant to HIPAA, congressional action or otherwise, could have a significant effect on the manner in which we handle health-related information, and the cost of complying with these standards could be significant. If we do not comply with existing or new laws and regulations related to patient health information, we could be subject to criminal or civil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Federal Trade Commission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At the state level, for example, the Washington State My Health My Data Act, which largely goes into effect in 2024, contains requirements such as the provision of specific health-data consumer disclosures and consumer rights (including the right to consent to the processing of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data) in addition to other compliance and security requirements. The My Health My Data Act considers violations of this law to be an unfair or deceptive act in trade or commerce and an unfair method of competition and subject to the Washington Consumer Protection Act. To the extent this or other similar laws apply to us, and the information that we publish is considered untrue or our practices are deemed not to comply with these requirements,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laws and regulations in foreign countries covering data privacy and other protection of health and employee information that may be more onerous than corresponding U.S. laws. These regulations may require that we obtain individual consent before we collect or process personal data, restrict our use or transfer of personal data, impose technical and organizational measures to ensure the security of personal data, add obligations to our data analytics services, and require that we notify regulatory agencies, individuals or the public about any data security breaches. As we expand our international operations, we may be required to expend significant time and resources to put in place additional mechanisms to ensure compliance with multiple robust and evolving data privacy laws as they become applicable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applicable data protection laws and regulations could result in government enforcement actions (which could include civil and/or criminal penalties), private litigation and/or adverse publicity and could negatively affect our operating results and business. Compliance with these laws is difficult, constantly evolving, time consuming, and requires a flexible privacy framework and substantial resources. Compliance efforts will likely be an increasing and substantial cost in the future.</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related to our cybersecurity risk management, strategy and governance, see the section entitled “Cybersecurity” under Part I, Item 1C below.</w:t>
      </w:r>
    </w:p>
    <w:p>
      <w:pPr>
        <w:pStyle w:val="TextBody"/>
        <w:bidi w:val="0"/>
        <w:spacing w:before="240" w:after="283"/>
        <w:jc w:val="left"/>
        <w:rPr>
          <w:rFonts w:ascii="Times New Roman" w:hAnsi="Times New Roman"/>
          <w:sz w:val="20"/>
        </w:rPr>
      </w:pPr>
      <w:r>
        <w:rPr>
          <w:rFonts w:ascii="Times New Roman" w:hAnsi="Times New Roman"/>
          <w:b/>
          <w:i/>
          <w:color w:val="000000"/>
          <w:sz w:val="20"/>
        </w:rPr>
        <w:t>Reimbursement in the Clinic and Home Settings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our Tablo to dialysis clinics. These clinics, in turn, provide equipment and services to the patient and are reimbursed by Medicare, Medicaid, and other third-party payors, such as private insurance.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clinic and home setting, the largest payor of dialysis services is Medicare, and Medicare requires all dialysis patients to be under the care of a dialysis clinic provider, whether they are in the clinic or in the home.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Most patients who require regular dialysis, that is, those with ESRD, have coverage through Medicare Part B, which, effective January 1, 2011, pays dialysis clinics through a prospective, bundled payment system. Reimbursement is generally provided on a per treatment basis, and it is the same whether the patient is treated in the clinic or in the home setting. We believe that the current per treatment reimbursement amount received by our customers under Medicare Part B adequately covers the amortization of the cost of capital equipment, and specifically our Tablo console, as well as the per treatment supplies and disposables cost for Tablo, whether it is in the home or the in-clinic setting. Dialysis clinics’ continuing use of Tablo, however, will depend on whether the cost of treatments involving Tablo (including the amortized cost of Tablo console and other capital equipment) will continue to be adequately covered by the reimbursement that the dialysis clinics receive from Medicare and any other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ESRD Prospective Payment System (PPS), CMS generally makes a single bundled payment to the dialysis facility for each dialysis treatment that covers all renal dialysis services, which is broadly defined and includes home dialysis and most related drugs. On November 6, 2023, CMS published the final rule for Calendar Year (CY) 2024, which increased the base reimbursement rate per dialysis treatment to $271.02, an increase of $5.45 over the CY 2023 base rate of $265.57. CMS may adjust the base rate to account for factors that increase the cost of providing dialysis to a certain patient, for example, based on patient factors such as age, body surface area, low body mass index, and certain comorbidities, and based on facility factors like volume and geographic location. With a vast majority of U.S. ESRD patients covered by Medicare, the Medicare reimbursement rate is an important factor in a healthcare provider’s decision to use Tablo and limits the fees for which we can sell or rent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current CMS rules limit the number of hemodialysis treatments paid for by Medicare Part B to three times a week, unless there is medical justification provided by the dialysis facility based on information from the patient’s physician for additional treatments. Using currently available technology, most patients who receive home dialysis have been prescribed to receive more than three treatments per week. Tablo can allow providers to prescribe as few as three home dialysis treatments per week. However, to the extent that providers continue to prescribe more than three home dialysis treatments per week and Medicare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contractors determine they will not pay for such additional treatments, use of Tablo could be adversely impacted.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with Tablo and, if greater than three, the level of confidence the center has in the predictability of receiving reimbursement from Medicare for additional treatments per week based on submitted claims for medical justification. </w:t>
      </w:r>
    </w:p>
    <w:p>
      <w:pPr>
        <w:pStyle w:val="TextBody"/>
        <w:bidi w:val="0"/>
        <w:spacing w:before="120" w:after="283"/>
        <w:jc w:val="left"/>
        <w:rPr>
          <w:rFonts w:ascii="Times New Roman" w:hAnsi="Times New Roman"/>
          <w:sz w:val="20"/>
        </w:rPr>
      </w:pPr>
      <w:r>
        <w:rPr>
          <w:rFonts w:ascii="Times New Roman" w:hAnsi="Times New Roman"/>
          <w:color w:val="000000"/>
          <w:sz w:val="20"/>
        </w:rPr>
        <w:t>Beginning January 1, 2021, more dialysis patients enrolled in coverage under a Medicare Advantage plan when changes from the 21</w:t>
      </w:r>
      <w:r>
        <w:rPr>
          <w:rFonts w:ascii="Times New Roman" w:hAnsi="Times New Roman"/>
          <w:color w:val="000000"/>
          <w:sz w:val="13"/>
        </w:rPr>
        <w:t>st</w:t>
      </w:r>
      <w:r>
        <w:rPr>
          <w:rFonts w:ascii="Times New Roman" w:hAnsi="Times New Roman"/>
          <w:color w:val="000000"/>
          <w:sz w:val="20"/>
        </w:rPr>
        <w:t xml:space="preserve"> Century Cures Act went into effect. While Medicare Advantage plans must provide at least the same level of coverage for Medicare beneficiaries as traditional Medicare, reimbursement to dialysis facilities is most often higher than traditional Medicare with a wide range of variability in payment rates to providers. Reimbursement rates depend on each Medicare Advantage plan’s contracts and network agreements with each dialysis facility. The CY 2021 Medicare ESRD PPS final rule, among other things, encouraged the development of new and innovative home dialysis machines to give Medicare beneficiaries more dialysis treatment options in the home and improve their quality of life. Specifically, the CY 2021 final rule included capital equipment in transitional add-on payment adjustments for new and innovative equipment and supplies (TPNIES). For home dialysis equipment CMS provided a pathway for capital related assets (CRA) to secure TPNIES. We applied for and received CRA TPNIES in connection with the use of Tablo by one patient per one machine in the home, pursuant to which Medicare paid 65% of the Medicare Administrative Contractor-determined pre-adjusted per treatment amount for two calendar years beginning in CY 2022. However, this two-year eligibility period ended on December 31, 2023, meaning Tablo is no longer eligible for, and providers will no longer receive, TPNIES as of January 1,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Medicaid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ESRD patients also have Medicaid coverage that is supplemental to Medicare coverage, as it helps cover Medicare Part B coinsurance and items and services not covered by Medicare Part B. Some ESRD patients, however, may have Medicaid as their primary coverage. Because Medicaid is a state-administered program, Medicaid reimbursement for dialysis services varies by state.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Private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Finally, some patients may have coverage through private insurance, for example through a marketplace plan set up under the Affordable Care Act or through an employer or union group health plan. Private insurance reimbursement is generally higher than government reimbursement, but private insurance coverage and reimbursement varies by sponsor and plan. </w:t>
      </w:r>
    </w:p>
    <w:p>
      <w:pPr>
        <w:pStyle w:val="TextBody"/>
        <w:bidi w:val="0"/>
        <w:spacing w:before="240" w:after="283"/>
        <w:jc w:val="left"/>
        <w:rPr>
          <w:rFonts w:ascii="Times New Roman" w:hAnsi="Times New Roman"/>
          <w:sz w:val="20"/>
        </w:rPr>
      </w:pPr>
      <w:r>
        <w:rPr>
          <w:rFonts w:ascii="Times New Roman" w:hAnsi="Times New Roman"/>
          <w:b/>
          <w:i/>
          <w:color w:val="000000"/>
          <w:sz w:val="20"/>
        </w:rPr>
        <w:t>Reimbursement in the Critical Care Setting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Medicare patients, both acute kidney failure (AKI) and fluid overload therapies provided in an in-patient hospital setting are reimbursed under Medicare Part A through the Hospital Inpatient Prospective Payment System using the Medicare Severity Diagnosis Related Group System (MS-DRG). Under this system, reimbursement is determined based on a patient’s diagnoses, demographics, and procedures furnished during the stay, and is intended to cover all of the hospital’s costs of treating the patient. Longer hospitalization stays and higher labor needs, which are typical for patients with acute kidney failure and fluid overload, must be managed in order for care of these patients to be cost-effective. Similar to dialysis clinics that are reimbursed by Medicare Part B under the ESRD bundled payment methodology, we believe that there is a significant incentive for hospitals to find the most cost-efficient way to treat these patients in order to improve hospital economics for these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in-patient setting under Medicare, dialysis and ultrafiltration (UF) are not directly reimbursed, but rather are paid for out of the amount paid to inpatient hospitals in connection with the patient's applicable MS-DRG for his/her admission. In most cases, AKI or fluid overload requiring dialysis or ultrafiltration will increase the severity of the underlying diagnosis, and therefore could result in higher reimbursement than those cases without dialysis. Given that dialysis is a “fixed cost” for providers within the MS-DRG, we believe that there is significant motivation for providers to attempt to reduce costs associated with dialysis in order to improve overall service line profitability.</w:t>
      </w:r>
    </w:p>
    <w:p>
      <w:pPr>
        <w:pStyle w:val="TextBody"/>
        <w:bidi w:val="0"/>
        <w:spacing w:before="240" w:after="283"/>
        <w:jc w:val="left"/>
        <w:rPr>
          <w:rFonts w:ascii="Times New Roman" w:hAnsi="Times New Roman"/>
          <w:sz w:val="20"/>
        </w:rPr>
      </w:pPr>
      <w:r>
        <w:rPr>
          <w:rFonts w:ascii="Times New Roman" w:hAnsi="Times New Roman"/>
          <w:b/>
          <w:i/>
          <w:color w:val="000000"/>
          <w:sz w:val="20"/>
        </w:rPr>
        <w:t>United States Health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healthcare policy could increase our costs and subject us to additional legislative and regulatory requirements that may interrupt commercialization of our current and future products, decrease our revenue and adversely impact sales of, and pricing of and reimbursement for, our current and future products. The United States and some foreign jurisdictions are considering or have enacted a number of other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the Affordable Care Act in the United States, for example, has changed healthcare financing and delivery by both governmental and private insurers substantially, and affected medical device manufacturers significantly. The Affordable Care Act, among other things,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encouraged expanded eligibility criteria for Medicaid programs and created a new Patient-Centered Outcomes Research Institute to oversee, identify priorities in, and conduct comparative clinical effectiveness research, along with funding for such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judicial and Congressional challenges to various elements of the Affordable Care Act, as well as efforts to modify certain aspects of the Affordable Care Act. For example, Congress eliminated, starting January 1, 2019, the tax penalty for not complying with the Affordable Care Act’s individual mandate to carry health insurance. The Further Consolidated Appropriations Act of 2020, Pub. L. No. 116-94, signed into law December 20, 2019, fully repealed the Affordable Care Act’s “Cadillac Tax” on certain high-cost employer-sponsored insurance plans, the annual fee imposed on certain health insurance providers based on market share (repeal effective in 2021), and the medical device excise tax on non-exempt medical devices. The American Rescue Plan of 2021, Pub. L. No. 117-2, enacted on March 11, 2021, temporarily increased premium tax credit assistance for those eligible for subsidies for 2021 and 2022 and removed the 400% federal poverty level limit that otherwise applies for purposes of eligibility to receive premium tax credits. Recently, the Inflation Reduction Act of 2022 extended this increased tax credit assistance and removal of the 400% federal poverty limit through 2025. It is unclear if efforts to challenge, or modify, or alter the implementation or interpretation of the Affordable Care Act will affect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Affordable Care Act was enacted. For example, the Budget Control Act of 2011, among other things, resulted in reductions in payments to Medicare providers of 2% per fiscal year, which went into effect on April 1, 2013 and, due to subsequent legislative amendments to the statute, will remain in effect into 2032 unless additional Congressional action is taken, with the exception of a temporary suspension of the 2% cut in Medicare payments from May 1, 2020 through July 1, 2022 due to the COVID-19 pandemic. The law provided for 1% Medicare sequestration in the second quarter of 2022, with the full 2% sequestration going into effect thereafter through the first six months of the FY 2032 sequestration order, unless additional Congressional action is taken. As long as these cuts remain in effect, they could adversely impact payment for any products we may commercialize in the future. Additionally, the American Taxpayer Relief Act of 2012, among other things, reduced CMS payments to several types of providers, including hospitals, and extended the statute of limitations period for the government to recover Medicare overpayments to providers from three to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other legislative and executive actions have encouraged the development of new payment and care models for ESRD patients. For example, an executive order signed in July 2019 directed the Secretary of HHS to develop, among other things, Medicare payment models designed to identify and treat at-risk populations earlier in disease development, and in connection with the executive order, HHS announced a goal of having 80% of new ESRD patients in 2025 either receive dialysis at home or receive a transplant. CMS subsequently published a final rule on September 29, 2020, among other things, to implement the End-Stage Renal Disease Treatment Choices (ETC) Model. The ETC Model is a mandatory payment model that adjusts certain Medicare payments to selected ESRD facilities, nephrologists, and other clinicians managing beneficiaries with ESRD starting January 1, 2021 and continuing through June 30, 2027. Specifically, the ETC Model adjusts certain ESRD facilities’ treatment base rates under the ESRD Prospective Payment System and managing clinicians’ monthly Medicare capitation payments to incentivize greater use of home dialysis and kidney transplants. CMS continues to propose modifications to the ETC Model as it evaluates the model against the agency’s stated goals for the program. Additionally, on January 1, 2022, CMS implemented the Kidney Care Choices Model, a voluntary Medicare payment model with four distinct payment options designed to help providers reduce costs and improve quality of care for patients with late-stage chronic kidney disease and ESRD, to delay the need for dialysis, and to encourage kidney transplantation.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 failure to implement our expansion into home dialysis could have a material adverse impact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that there will continue to be proposals and other actions by legislators and other policymakers at both the federal and state levels, and by regulators and third-party payors to reduce costs and/or expand individual healthcare coverage. Changes to federal and state legislatures and executive offices have resulted in and will likely continue to result in further healthcare policy changes. For example, on July 9, 2021, President Biden issued an executive order to promote competition in the American economy, including in the healthcare sector. Among the provisions in the executive order was a directive to HHS to standardize plan options in the national health insurance marketplaces (i.e., the Exchanges) to facilitate improved comparison shopping for insurance plans. Additionally, on June 21, 2022, in the case of </w:t>
      </w:r>
      <w:r>
        <w:rPr>
          <w:rFonts w:ascii="Times New Roman" w:hAnsi="Times New Roman"/>
          <w:i/>
          <w:color w:val="000000"/>
          <w:sz w:val="20"/>
        </w:rPr>
        <w:t>Marietta v. DaVita</w:t>
      </w:r>
      <w:r>
        <w:rPr>
          <w:rFonts w:ascii="Times New Roman" w:hAnsi="Times New Roman"/>
          <w:color w:val="000000"/>
          <w:sz w:val="20"/>
        </w:rPr>
        <w:t xml:space="preserve">, the Supreme Court of the United States addressed the question of whether a group health plan that provides limited benefits for outpatient dialysis – but does so uniformly for all plan participants – violates the Medicare Secondary Payer Act (MSPA), a law which makes Medicare a “secondary” payer to an individual’s existing insurance plan for certain medical services, including dialysis, when that plan already covers the same services. Specifically, the Supreme Court held that because the Plan’s terms apply uniformly to all covered individuals, the Plan does not “differentiate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benefits it provides” to individuals with ESRD or “take into account” whether an individual is entitled to or eligible for Medicare, and thus does not violate the MSPA.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actions by the Biden administration, the Congress, state governments, third-party payors, and others could impact our business in ways that are difficult to predict but that could have a material adverse effect on our business and financial condition. For example,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also have a material adverse effect on our business and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480 full-time employees, with 48% in our field sales and service teams and 52% in the rest of the company. Our workforce hails from across industries, including technology, medical devices, life sciences and retail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our manufacturing facility in Tijuana, Mexico had 300 full-time team members on-site across quality, engineering, manufacturing, supply chain, and other support functions. TACNA facilitates the hiring of new team members and is responsible for human resource functions and payroll processing.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unions represented within our employee base and no members of our workforce are covered under collective bargaining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about our human capital programs and initiatives can be found in our most recent Environmental, Social &amp; Governance (ESG) Report, which is available on our website. Nothing contained on or accessible through our website, including our ESG Report or sections thereof, shall be deemed incorporated by reference into this Annual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Talent and Pay Philosophies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attracting the best talent we can find, while providing our employees with challenging work in a fast-paced environment. We recruit broadly and purposefully, and welcome diverse candidates. We have a principle that “everyone is a recruiter” and often hold crowd recruiting sessions to identify candidates collectively.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work environment is goal-driven, and we believe in paying for outstanding performance and future potential. We offer competitive, market-based salaries, an annual cash bonus program tied to individual and company performance, a broad-based equity incentive compensation program including an employee stock purchase plan, a 401(k) retirement savings plan with company match, a comprehensive benefits package, team incentives and peer incentives.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Management, Career Development and Engagement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structured approach for employee performance management, development and growth. Managers generally have two key performance conversations per year with their team members. Our year-end performance conversation is focused on evaluating the success and learning of the past year. Our mid-year performance conversation is focused on skill development and future growth opportunities.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numerous avenues for employees to gain experience, exposure and build new skills. For example, we have invested in various training and development opportunities for our employees, including programs taught by internal leaders or external speakers, a management development program, and access to on-demand learning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strongly believe in growing from within and provide opportunities for in-role stretch assignments, cross-group short assignments, internal mobility, and promotions. We conduct an enterprise-wide employee survey at least annually to monitor employee engagement and identify areas of focus for our human capital management program. Information on the results of these surveys is included in our ESG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Diversity, Equity and Inclusion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creating and nurturing an inclusive workplace, where everyone feels respected, valued, and included – not only because it’s the right thing to do, but also because we strongly believe that it’s vital to our success and crucial to fully support the diverse communities we serve. We embrace diversity and equal opportunity in an intentional way. We are committed to building a team that represents a variety of backgrounds, perspectives, and skills. We believe that creating an environment where employees feel comfortable to speak up and share ideas means we all do great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diversity, equity and inclusion strategy includes: broadening the diversity of our talent pools, supporting kidney health and raising awareness of disparity in kidney care access across different demographics, and elevating community volunteering opportunities. Our diversity, equity and inclusion strategy and related initiatives are overseen by our People Operations team,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active participation from our executive team. Our Board and/or Compensation Committee receive periodic updates at least annually on our diversity, equity and inclusion efforts. Additional information on our diversity, equity and inclusion strategy, including data regarding our U.S. workforce and new hire demographics by gender and ethnicity, are publicly disclosed in our ESG Report.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Health and 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Outset, safety is a priority and is part of everyone’s job. We are committed to providing a safe workplace and we comply with applicable health and safety laws and regulations. We strictly prohibit any violent or threatening behavior on our premises or during any work-related activities. Our employees participate in applicable emergency response training and periodic drills to help maintain awareness of security, safety and emergency response protocols.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an organization, one of our top priorities is to maintain the wellbeing of our employees and their families. Our comprehensive and competitive benefits program is designed to help employees balance their work lives and personal lives by giving them a sense of peace of mind related to their healthcare. We maintain a whole person wellbeing approach, providing resources to support physical, mental, financial, professional and social wellbeing.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make our Annual Reports on Form 10-K, Quarterly Reports on Form 10-Q, Current Reports on Form 8-K, and amendments to those reports, available free of charge at our website as soon as reasonably practicable after they have been filed with the Securities and Exchange Commission (SEC). Our website address is www.outsetmedical.com. Information on our website is not part of this report. The SEC maintains a website that contains the materials we file with the SEC at www.sec.gov.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About Our Executive Officers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information concerning our executive officers and directors as of the date of this Annual Report:</w:t>
      </w:r>
    </w:p>
    <w:tbl>
      <w:tblPr>
        <w:tblW w:w="7427" w:type="dxa"/>
        <w:jc w:val="left"/>
        <w:tblInd w:w="0" w:type="dxa"/>
        <w:tblLayout w:type="fixed"/>
        <w:tblCellMar>
          <w:top w:w="28" w:type="dxa"/>
          <w:left w:w="28" w:type="dxa"/>
          <w:bottom w:w="28" w:type="dxa"/>
          <w:right w:w="28" w:type="dxa"/>
        </w:tblCellMar>
      </w:tblPr>
      <w:tblGrid>
        <w:gridCol w:w="1726"/>
        <w:gridCol w:w="146"/>
        <w:gridCol w:w="146"/>
        <w:gridCol w:w="316"/>
        <w:gridCol w:w="146"/>
        <w:gridCol w:w="146"/>
        <w:gridCol w:w="480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Age</w:t>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8" w:space="0" w:color="4BACC6"/>
              <w:bottom w:val="single" w:sz="8" w:space="0" w:color="4BACC6"/>
            </w:tcBorders>
            <w:tcMar>
              <w:left w:w="0" w:type="dxa"/>
              <w:right w:w="0" w:type="dxa"/>
            </w:tcMar>
            <w:vAlign w:val="center"/>
          </w:tcPr>
          <w:p>
            <w:pPr>
              <w:pStyle w:val="TableContents"/>
              <w:bidi w:val="0"/>
              <w:spacing w:before="0" w:after="283"/>
              <w:jc w:val="left"/>
              <w:rPr>
                <w:sz w:val="4"/>
                <w:szCs w:val="4"/>
              </w:rPr>
            </w:pPr>
            <w:r>
              <w:rPr>
                <w:sz w:val="4"/>
                <w:szCs w:val="4"/>
              </w:rPr>
            </w:r>
          </w:p>
        </w:tc>
        <w:tc>
          <w:tcPr>
            <w:tcW w:w="4801" w:type="dxa"/>
            <w:tcBorders>
              <w:top w:val="single" w:sz="8" w:space="0" w:color="4BACC6"/>
              <w:bottom w:val="single" w:sz="8" w:space="0" w:color="4BACC6"/>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w:t>
            </w:r>
          </w:p>
        </w:tc>
      </w:tr>
      <w:tr>
        <w:trPr/>
        <w:tc>
          <w:tcPr>
            <w:tcW w:w="172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Officers</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Chair of the Board</w:t>
            </w:r>
          </w:p>
        </w:tc>
      </w:tr>
      <w:tr>
        <w:trPr/>
        <w:tc>
          <w:tcPr>
            <w:tcW w:w="172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Nabeel Ahmed</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L. Brottem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72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Nash</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Operations and R&amp;D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Jean-Olivier Racine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Technology Officer</w:t>
            </w:r>
          </w:p>
        </w:tc>
      </w:tr>
      <w:tr>
        <w:trPr/>
        <w:tc>
          <w:tcPr>
            <w:tcW w:w="172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Williamson</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2EA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tcBorders/>
            <w:shd w:fill="D2EA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Commercial Officer</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Leslie Trigg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Leslie Trigg has served as our President and Chief Executive Officer and a member of our board of directors since November 2014 and as Chair of our Board since February 2022. Ms. Trigg joined the Company from Warburg Pincus, a private equity firm, where she was an Executive in Residence from March 2012 to March 2014. Prior to that, Ms. Trigg served in several roles at Lutonix (acquired by CR Bard), a medical device company, from January 2010 to February 2012, most recently as Executive Vice President, and as Chief Business Officer of AccessClosure (acquired by Cardinal Health), a medical device company, from September 2006 to June 2009. She also previously held positions with FoxHollow Technologies (acquired by ev3/Covidien), a manufacturer of devices to treat peripheral artery disease, Cytyc, a diagnostic and medical device company, Pro-Duct Health (acquired by Cytyc), a medical device company, and Guidant, a cardiovascular medical device company. Ms. Trigg has served on the board of directors of Adaptive Biotechnologies Corporation, a biotechnology company, since March 2021, and on the board of directors of ARYA Sciences Acquisition Corp IV, a special purpose acquisition company, since March 2021. Ms. Trigg also serves as the Chair of the board of directors of the Medical Device Manufacturers Association. Ms. Trigg holds a B.S. degree from Northwestern University and an M.B.A. from The Haas School of Business, UC Berkeley.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Nabeel Ahmed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Nabeel Ahmed has served as our Chief Financial Officer since August 2021. Mr. Ahmed joined the Company in May 2020 as Vice President, Controller, was named Vice President, Finance in May 2021, and was appointed as Interim Chief Financial Officer effective July 2021. Prior to joining the Company, Mr. Ahmed served as Vice President, Finance at 8x8, Inc., a communications platform provider, from April 2019 through January 2020, and as Vice President, Finance at Vocera Communications, Inc., a provider of clinical communication and workflow solutions, from December 2014 through April 2019. Prior to that, he held various leadership positions in accounting and finance, including as CFO at Wanderful Media from 2013 to 2014, as well as Vice President, Finance and then CFO at MarketTools, Inc. from 2009 to 2012. Earlier in his career, Mr. Ahmed held various positions of increasing responsibility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Ernst &amp; Young LLP from 1997 to 2004 and at eBay, Inc. from 2004 to 2008. Mr. Ahmed holds a Bachelor of Commerce degree from Laurentian University and an M.B.A. from The Wharton School, University of Pennsylvania.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John L. Brottem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John L. Brottem has served as our General Counsel and Secretary since May 2020. Prior to joining the Company, Mr. Brottem served in a number of roles at Omnicell, Inc., a leading provider of medication management automation solutions and adherence tools for healthcare systems and pharmacies: as Vice President, Legal and Deputy General Counsel from September 2019 to May 2020; as Vice President, Legal and Associate General Counsel from April 2016 to September 2019; and Senior Director, Legal and Associate General Counsel from November 2011 to April 2016. Prior to Omnicell, Mr. Brottem was Corporate Counsel at Brocade Communications Systems, Inc., a networking solutions company, from January 2009 to November 2011; Corporate Counsel at Foundry Networks, Inc., a networking solutions company, from February 2008 to January 2009; and Associate at Cooley Godward Kronish LLP, an international law firm, from November 2001 to February 2008. Mr. Brottem holds a B.A. from Occidental College and a J.D. from the University of California, Davis, School of Law.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Marc Nash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 Nash has served as our Senior Vice President, Operations and R&amp;D since July 2023. Mr. Nash joined the Company in December 2019 as Senior Director of Operations and was named Vice President, Manufacturing in March 2021. Prior to joining the Company, from June 2016 through June 2019, Mr. Nash served as Director of Operations at Epocal Inc., a medical technology company (and a subsidiary of Alere, Inc. acquired by Siemens Healthineers), during which time he was responsible for the end-to-end manufacturing operations of point of care diagnostics products and platforms. From 2012 through 2016, Mr. Nash held various positions of increasing responsibility at Alere Inc., a medical technology company, where he was responsible for the transfer, consolidation and enhancement of class II and class III point of care and rapid diagnostic products globally. Mr. Nash holds a B.S. from Union College and an M.B.A. from the University of Haifa, Israel.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Jean-Olivier Racine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Jean-Olivier Racine has served as our Chief Technology Officer since June 2021. Mr. Racine joined the Company from Amazon.com, Inc., an electronic commerce and cloud computing company, where he served in a number of roles: as Head of Engineering and Science, AWS Health AI from June 2020 to June 2021, Head of Cloud Services and Alexa, Halo (a health wearable device) from October 2018 to June 2020, as Head of Digital Media Catalog Services, Fire TV from January 2013 to October 2018, and as Fluidity and Performance Lead, Fire Tablet, Launcher and Platform from November 2011 to February 2013. Prior to that, Mr. Racine was a Senior Programmer-Analyst at the Montréal Exchange from January 2011 to November 2011, and a Projects Leader at NexGen Ergonomics, Inc. from January 2008 to January 2011. Mr. Racine holds a B.Eng. degree and a M.Eng. degree from École de Technologie Supérieure.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Steve Williamson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Steve Williamson has served as our Chief Commercial Officer since November 2020. Prior to joining the Company, Mr. Williamson was Worldwide President, Peripheral Intervention at Becton, Dickinson and Company, a medical technology company, from January 2018 to November 2020, and President, Peripheral Vascular at C.R. Bard (now part of Becton, Dickinson and Company) from August 2012 to December 2017. Prior to that, he was Senior Vice President and General Manager, Gyn Surgical Products from December 2009 to August 2012 and Vice President of Sales and Marketing, Gyn Surgical Products from October 2007 to December 2009 with Hologic, Inc., a medical technology company. Mr. Williamson holds a B.B.A. from University of Massachusetts Amherst and an M.B.A. from Bentley University.</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3" w:name="item_1a_risk_factors"/>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Business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history of net losses and expectation that we will continue to incur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sustainable gross margins, including by reduce manufacturing and service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attain market acceptance for Tablo among providers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Concentration of our revenues in a single product and concentration of a large percentage of our revenues from a limited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pressures faced by our customers including capital budget constraints, staffing shortages and increased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into the home hemodialysis market and the expansion of the home hemodialysis market itself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our international manufacturing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suppliers, including single source suppliers and contract manufacturers, and our ability to overcome any manufacturing or 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innovating and improving Tablo, ensure strong product performance and reliability, offer high quality support, ensure proper training and use of Tablo, and increase our sales and marketing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manufacturers and new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privacy, information and data security risks, including our ability to adequately defend against, respond to and manage increasingly sophisticated cyberattacks in an increasingly complex cyber ecosystem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the sizes of the markets for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forecast customer demand and manage our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recent pandemic, natural or man-made disasters and similar events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disruptions of service provided by third parties that host our cloud-based ecosystem and information technology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litigation, including product liability claims, and the expense and potential unavailability of insurance coverage for any liabilities resulting from Tablo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our credit agreements, including interest rate risk and our ability to access additional capital and/or meet certain covenants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recover from disruptions to our business and operations as a result of the prior shipment hold on Tablo for home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FDA and other medical device regulations applicable to our products and operations, including our ability to: resolve the warning letter we recently received from the FDA, comply with the post-market surveillance order recently issued by the FDA for Tablo and resume our distribution of TabloCart with Prefiltration pending the FDA’s review and clearance of the submitted 510(k) application; obtain and maintain necessary FDA regulatory clearance or approvals for Tablo, related products, or any future product modifications or new products; comply with ongoing FDA requirements, including related to the manufacturing, marketing and promotion of our products, and the ability of our suppliers to so comply; and manage the risks and expenses associated any clinical trials necessary to support future product submissions to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potential changes to scope of coverage and reimbursement rates for dialysis treatments or healthcare reform measures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potential adverse medical events associated with Tablo, product failures or malfunctions, or our failure to report such events to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various laws and regulations regarding healthcare, data privacy and security, and environmental and occupational safety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including our patents, copyrights, trademarks and trade secrets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Related to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market price of our common stock in response to numerous factors regardless of our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Influence of principal stockholders and management over matters subject to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organizational documents include certain provisions that may make a change of control more difficult, as well as exclusive forum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financial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resources associated with complying with the laws and regulations affecting public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and retain key personnel and maintain our corporate culture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potential future acquisitions or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anti-corruption, anti-bribery, anti-money laundering and similar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or judgments relating to our accounting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relating to ESG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and the other information set forth in this Annual Report, including our financial statements and the related notes and the section entitled “Management’s Discussion and Analysis of Financial Condition and Results of Operations”, as well as in other documents that we file with the SEC. The risks summarized above or described in full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history of net losses, and we expect to continue to incur losses for the foreseeable future. If we ever achieve profitability, we may not be able to sustain 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since our inception and expect to continue to incur significant net losses for the foreseeable future. We have incurred net losses of $172.8 million, $163.0 million and $131.9 million for the years ended December 31, 2023, 2022, and 2021, respectively. As of December 31, 2023, we had $206.7 million in cash, cash equivalents, restricted cash and short-term investments, and an accumulated deficit of $961.7 million. Based on our current planned operations, we expect our existing cash, cash equivalents and short-term investments, cash generated from revenues from our products and services, and proceeds received from the debt financing described in Note 7, Term Loans, to our audited financial statements included in this Annual Report, will be sufficient to meet our anticipated needs for at least the next 12 months from the date of this Annual Report. We have based this estimate on assumptions that may prove to be wrong, and we could use our capital resources sooner than we currently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derived, and we expect it to continue to be derived, primarily from sales of Tablo, its associated consumables and related services. Because of its recent commercial introduction, Tablo currently has limited product and brand recognition. In addition, demand for Tablo may decline or may not increase as quickly as we expect. Our ability to generate revenue from sales of Tablo, associated consumables and related services, or from any products we may develop in the future, may not be sufficient to enable us to transition to profitability and generate positive cash flows within the timeframe we anticipate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time, we expect that our cost of service, sales and marketing, research and development, regulatory and other expenses will continue to increase as we expand our marketing efforts to increase adoption of Tablo, expand existing relationships with our customers, obtain regulatory clearances or approvals for future product enhancements to Tablo, and conduct clinical trials on Tablo. In addition, we expect our general and administrative expenses to increase over the long-term due to the additional costs associated with scaling our business operations and continuing to operate as a public company, including due to legal, accounting, insurance, exchange listing and SEC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achieve sustainable gross margins depends on the success of our various initiatives designed to expand gross margin.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undertaken a number of initiatives designed to reduce the cost of producing our products. </w:t>
      </w:r>
      <w:r>
        <w:rPr>
          <w:rFonts w:ascii="Times New Roman" w:hAnsi="Times New Roman"/>
          <w:color w:val="212121"/>
          <w:sz w:val="20"/>
        </w:rPr>
        <w:t>Over the past three years, we have moved the production of Tablo consoles and a majority of Tablo cartridges in-house at our manufacturing facility in Tijuana, Mexico which we operate in collaboration with our outsourced business administration service provider, TACNA. This has helped further our long-term gross margin expansion and supply continuity strategies while reducing the costs of Tablo console production and improving the flexibility of our operations. We plan to continue to use our design, engineering, supply chain, and manufacturing capabilities to help further advance and improve the efficiency of our manufacturing processes, lower the cost of parts and components, and lower our costs of production. However, t</w:t>
      </w:r>
      <w:r>
        <w:rPr>
          <w:rFonts w:ascii="Times New Roman" w:hAnsi="Times New Roman"/>
          <w:color w:val="000000"/>
          <w:sz w:val="20"/>
        </w:rPr>
        <w:t>here is no guarantee that we will be able to sustain cost reductions, achieve planned cost reductions, or otherwise achieve the anticipated benefits from our various initiatives. For example, we may be unable to sustain the savings associated with producing Tablo consoles at our manufacturing facility with TACNA, or the benefits we anticipate will result from insourcing Tablo cartridge production at this same facility may not materialize or be as significant as projected or realized within the timeframe we currently estimate. There may also be unforeseen occurrences that increase our costs, such as increased prices of raw materials, changes to labor costs, less favorable terms with third party suppliers, freight providers, or contract manufacturing partners, or disruptions to the operations of our contract manufacturers or third-party suppliers including as a result of the recent COVID-19 pandemic. If we are unable to reduce our costs or if cost reductions or other anticipated benefits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212121"/>
          <w:sz w:val="20"/>
        </w:rPr>
        <w:t xml:space="preserve">Moreover, our ability to expand gross margins will also depend in part on our ability to control the average selling prices of our products and services, including by selling higher-margin accessories, consumables and services. </w:t>
      </w:r>
      <w:r>
        <w:rPr>
          <w:rFonts w:ascii="Times New Roman" w:hAnsi="Times New Roman"/>
          <w:color w:val="000000"/>
          <w:sz w:val="20"/>
        </w:rPr>
        <w:t>Our ability to maintain our product pricing is dependent on our customers’ recognition that the benefits outweigh the higher upfront purchase price. If we are unable to maintain our product pricing or continue to sell higher-margin accessories, consumables and services at the levels we anticipate, our ability to expand gross margins will be adversely affected, which would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Lastly, our ability to expand gross margins is also dependent on the success of our initiatives to better leverage our field service team and drive down service costs per console, including through our cloud-based data system, remote monitoring, remote diagnostics and repairs, and other enhancements designed to improve the performance and reliability of Tablo. If we are unable to continuously improve the performance and reliability of Tablo, broaden our installed base or if these initiatives are otherwise unsuccessful, we may fail to better leverage our field service team and drive down service costs per console within the timeframe we anticipate or at all, which could delay or prevent us from achieving sustainable gross margins, and adversely impact our financial condition, results of operation and future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The commercial success of Tablo will depend upon attaining significant market acceptance among providers and patients.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the acceptance of Tablo as safe, easy to learn, easy to use, clinically flexible, operationally versatile and, with respect to providers, cost effective. We began commercializing Tablo throughout the United States in 2018 and began the process to commercialize Tablo for home-based dialysis in 2020. Our relatively limited commercialization experience makes it more difficult to evaluate our current business and predict our future prospects. It is difficult to predict how quickly, if at all, providers and patients will accept Tablo or, if accepted, how frequently it will be used. These constituents must believe that Tablo offers benefits over traditional machines. The degree of market acceptance of Tablo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providers and others in the medical community consider Tablo to be a safe and cost-effective treatment method;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Tablo over traditional machines;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Tablo relative to our customers’ other capital and operating purchase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maintenance and upkeep using Tablo in relation to traditional machines;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and convenience and ease of use of Tablo in the acute setting relative to outsourcing dialysis services to third-party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ease of use of Tablo relative to traditional machines;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and marketing efforts for Tablo;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provide incremental data that show the clinical benefits and cost effectiveness of, and operational benefits from, Tablo;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changes to the availability of coverage and adequate reimbursement for dialysis from payors, including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pressure, including from Group Purchasing Organizations (GPOs), seeking to obtain discounts on Tablo based on the collective buying power of the GPO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by the FDA or other regulatory authorities;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cleared or approved by the FDA or other authorities</w:t>
        <w:b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Tablo achieves widespread market acceptance, it may not maintain that market acceptance over time if competing products or technologies, which are more cost effective or received more favorably, are introduced. Failure to achieve or maintain market acceptance and/or market share would limit our ability to generate revenue and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derive substantially all of our revenue from the sale of Tablo and associated consumables and are therefore highly dependent on Tablo for our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substantially all of our revenues from sales of Tablo and its associated consumables, with the remainder of our revenues largely coming from services provided for the support and maintenance of Tablo. Accordingly, our business is exposed to risks that our revenues are concentrated in a single product. As a result, any event that adversely affects Tablo or the market for Tablo and associated consumables could adversely affect our business, financial condition and results of operation.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customers are facing financial pressures including capital budget constraints, staffing shortages and increased costs, that have had, and may continue to have, a negative impact on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in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in turn, contributed to an adverse impact on our bookings and revenues for the second half of 2023, and we expect these negative impacts to continue into 2024. During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If our customers continue to face prolonged periods of rising interest rates, capital budget constraints, volatility, uncertainty, staffing shortages, rising costs and other financial pressures, whether due to general macroeconomic conditions or otherwise,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However, our pilot clinical and administrative services program may not be successful in achieving the objectives we intend and anticipate, may fail to meet our customers’ expectations, may not generate sufficient returns to justify our investment, or may result in unanticipated costs, which could harm our reputation and customer relationships and adversely impact our operating margins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generate revenue from home-based dialysis is subject to certain risks and uncertainties, including around the use of Tablo in the home setting.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Tablo was cleared by the FDA for patient use in the home of patients with acute and/or chronic renal failure, with or without ultrafiltration, and we intend to expand within the home market. However, this goal is subject to certain risks, including our ability to attract, retain and manage patients, as well as our ability to further evolve our commercial infrastructure and sales processes as we scale our business in the home market. Our business strategy, including our pricing of Tablo, while informed by our limited history of selling Tablo in the home care setting, continues to be based in part on certain assumptions about the adoption of Tablo by home dialysis patients, as well as patient retention. If these assumptions about the home market are inaccurate and we are unable to increase our share of the home dialysis market by attracting new patients, or retain such market share once achieved, we would need to significantly change certain aspects of our business strategy, including the pricing of Tablo console, associated consumables and support and maintenance, which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limited experience in the distribution, logistics and service support that relate to the use of Tablo in the home care setting may also negatively impact our ability to generate revenue from home-based dialysis. Currently, the provision of in-clinic and home dialysis is largely dominated by DaVita and Fresenius, and our expansion within the home dialysis market is dependent on our ability to grow new home programs with health systems and innovative dialysis clinic partners. In addition, patients and their care partners using Tablo for home dialysis may not successfully operate Tablo or may require increased service and support from us. Moreover, given the home dialysis market remains a relatively novel one for us, we also face the risk that we may encounter difficulties whose precise nature or magnitude we cannot accurately predict at this time, but which may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With a significant portion of our manufacturing operations located outside of the United States, we may experience manufacturing disruptions, and be subject to additional risks associated with international manufacturing operations, including uncertain or changing regulatory and/or labor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insourced the production of Tablo consoles, and a majority of Tablo cartridges, at our manufacturing facility in Tijuana, Mexico which we operate in collaboration with our outsourced business administration service provider, TACNA, and we intend to continue to increase the quantity of Tablo cartridges produced at this facility. Under our arrangement with TACNA, we control the operations, engineering, quality and materials supply functions at the facility, while TACNA provides manufacturing space, the workforce, utilities, cross-border logistics, local permits and licenses. We are subject to a number of additional risks associated with operating our Mexico-based manufacturing facility, and many of these risks may heighten to the extent we continue to ramp our cartridge manufacturing capabilities and increase our dependence on our Mexico-based manufacturing operations. We may experience strikes, work stoppages, work slowdowns, high personnel turnover, grievances, complaints, claims of unfair labor practices, other collective bargaining disputes or other labor disputes at our new facility. Our manufacturing operations at the facility may also suffer disruptions from global or regional public health crises such as the recent COVID-19 pandemic, natural disasters, cyber security attacks, vandalism, terrorism or other political hostilities. Any such occurrences could negatively impact our ability to produce Tablo consoles and cartridges. We are also subject to a variety of foreign laws and regulations, including trade and labor restrictions and laws relating to importation, exportation and taxation of goods, and U.S. laws and regulations relating to foreign operations, including anti-corruption, anti-bribery and anti-money laundering laws. For example, Mexico’s Congress is considering proposals to amend Mexico’s federal labor law, including a reduction in maximum workweek hours from 48 to 40 hours. These proposed legislative changes are expected to increase our labor costs and, ultimately, could potentially negatively impact the productivity of our manufacturing operations to the extent our efforts to mitigate the impact of the changes are not successful. In addition, because certain of our Mexico-based manufacturing operations incur costs that are denominated in Mexican Pesos (MXN), we are exposed to additional risk of currency fluctuations between the U.S. dollars (USD) and MXN, which could increase our product and labor costs, thus reducing our gross profit. Moreover, while certain members of our management team have some manufacturing experience, as an organization, we do not have any prior experience in this type of manufacturing arrangement, and we could accordingly experience other risks, the nature and magnitude of which we are unable to assess precisely at this time. Furthermore, we are subject to increased risks related to changes in export or import regulation, other trade barriers, security measures and uncertainties impacting the cost and the ability to move inventory and manufacturing equipment across the United States-Mexico border. These risks may disrupt our Mexico-based manufacturing operations, subject us to increased costs, restrict or delay our ability to deliver products to our customers and meet our customers’ demand on a timely basis, and result in customer dissatisfaction, all of which would adversely impact our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continue to rely on contract manufacturing partners in Mexico and Southeast Asia, for the production of a portion of our Tablo cartridges. If either of our contract manufacturing partners’ facilities were disrupted, by labor disputes, work stoppages, public health crises such as the recent COVID-19 pandemic, riots, terrorism, vandalism, cyber security attacks, natural disaster, regulatory action or otherwise, it could cause substantial delays in our operations and result in our having insufficient Tablo cartridge in inventory to fulfill orders. For example, in late 2021, supply chain disruptions exacerbated by COVID-19 outbreaks and protocols escalated, and we faced increased supply constraints, which increased freight costs associated with the transportation of Tablo cartridges. Further, to the extent we seek to renew or renegotiate our arrangements with either of our contract manufacturing partners, and cannot agree to the terms and conditions of future contract manufacturing arrangements, or if either of our contract manufacturing partners terminate existing agreements with us, our ability to produce and sell Tablo cartridges could be delayed until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able to ramp our own in-house manufacturing capabilities to meet demand, or until an alternative manufacturing partner or arrangement is identified, a new contract manufacturing agreement is negotiated and new production lines are established.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upon third-party suppliers, including contract manufacturers and single source suppliers, making us vulnerable to supply problems and price fluctuations.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including in some instances single source suppliers, to provide us with certain components of Tablo. The number of suppliers required for Tablo console production is in excess of 200 worldwide. We consider a discrete number of these suppliers, located in the United States, Mexico, Europe and Asia, as critical providers of components such as pumps, motors, valves and Printed Circuit Board Assembly (PCBA) boards. While we are undertaking a second source qualification process for the majority of these critical components, we may not ultimately be successful in securing second sourcing for all of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purchase supplies through purchase orders and do not have long-term supply agreements with, or guaranteed commitments from, our suppliers, including single source suppliers. Moreover, while we manufacture a majority of Tablo cartridges in-house, we rely on contract manufacturers for the production of a portion of Tablo cartridges. Many of our suppliers and contract manufacturers are not obligated to perform services or supply products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including as a result of public health crises such as the recent COVID-19 pandemic, labor disputes, work stoppages, damage or interruption from fires, severe weather or other natural disasters, vandalism, terrorism or other political hostilities,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Further, if we fail to effectively manage our relationships with our suppliers and contract manufacturers, we may be required to change suppliers or contract manufacturers. While we believe replacement suppliers exist for all materials, components and services necessary to continue manufacturing Tablo, establishing additional or replacement suppliers for any of these materials, components or services could be time-consuming and expensive, may result in interruptions in our operations and product delivery, may affect the performance specifications of Tablo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Tablo, the supply of our products to customers and the development of any future products will be delayed, limited or prevented,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faced increased supply chain constraints during late 2021, resulting in increased transportation and related costs associated with delivering adequate supply of Tablo treatments to our customers from our contract manufacturing partner in Southeast Asia. During 2023, we saw moderation in these costs. Moreover, we believe that localizing production of a majority of Tablo cartridges in Mexico (to our Mexico-based contract manufacturer and, more recently,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provide strong product performance, customer dissatisfaction could adversely affect our reputation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need to maintain and continuously improve the performance and reliability of Tablo to achieve our profitability objectives. Poor product performance and reliability could lead to customer dissatisfaction, adversely affect our reputation and revenues, and increase our service and distribution costs and working capital requirements. Software and hardware incorporated into Tablo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 In addition, with our relatively recent transition to manufacturing Tablo consoles and a majority of Tablo cartridges at our facility in Mexico operated in collaboration with TACNA, we are more exposed to risks relating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quality and reliability as we continue to refine our manufacturing processes. Like all transitions of this nature, they could increase our costs in the near-term and accordingly adversely affect our business,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continue to innovate and improve Tablo, we could lose customers or market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will depend on our ability to keep ahead of developments in the dialysis industry. It is critical to our competitiveness that we continue to innovate and make improvements to Tablo’s functionality and efficiency. If we fail to make improvements to Tablo’s functionality over time, our competitors may develop products that offer features and functionality similar or superior to those of Tablo. If we fail to make improvements to Tablo’s efficiency, our competitors may develop products that are more cost effective than Tablo. Our failure to make continuous improvements to Tablo to keep ahead of the products of our competitors could result in the loss of customers or market share that would adversely affect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competition from many sources, including larger companies and new entrants, and we may be unable to compete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dialysis machine manufacturers in the United States, Europe and Asia. Notable competitors in the United States include Fresenius Medical Care AG &amp; Co. KGaA (Fresenius), Baxter International, Inc. (Baxter) and B. Braun Medical Inc. (B. Braun). In addition, Quanta Dialysis Technologies Ltd’s (Quanta) dialysis system received FDA 510(k) clearance for use in acute and/or chronic settings. Of these competitors, Fresenius is the largest and it supplies dialysis products, operates a significant number of dialysis clinics and provides outsourced dialysis services in many hospitals. Fresenius, Baxter and B. Braun all supply machines and supplies in both the acute and home care settings. With the exception of Quanta, all of these organizations are currently significantly larger with greater financial and personnel resources than us, enjoy significantly greater market share than ours and have greater resources than we do. As a consequence, they are able to spend more on product development, marketing, sales and other product initiatives than we can. Additionally, companies with dialysis machine development programs include Medtronic. Some of our competitors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greater name recognition;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broader, deeper or longer-term relations with healthcare professionals, customers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established distribution networks;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lines of products and the ability to offer rebates or bundle products to offer greater discounts or other incentives to gain a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experience in conducting research and development, manufacturing, clinical trials, marketing and obtaining regulatory clearance or approval for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greater financial and human resources for product development, sales and marketing and patent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may compete with third party providers of outsourced dialysis services, including Fresenius. These organizations are significantly larger with greater financial, personnel and other resources than us and enjoy significantly greater market share and name recognition than us. As a result, these competitors may be able to adopt more aggressive pricing policies and devote greater resources to the promotion, marketing and sales of their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success depends on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penetrate the acute care market and drive utilization and fleet expansion among our existing customers in the acute care setting;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expand within the home dialysis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and widen our technology lead over competitors by continuing to innovate and deliver new product enhancements on a continuous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cost-effectively manufacture Tablo and its component parts as well as drive down the cost of service;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adoption of Tablo in the chronic outpatient facility setting via transitional care programs within existing dialysis clinics;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Tablo’s economic, clinical, compliance and operational benefits relative to outsourcing dialysis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overcome the adverse impact in the field from the Warning Letter and our distribution pause on TabloCart with Prefiltration which created a certain amount of marketplace confusion (exacerbated, we believe, in some cases by our competitors) particularly regarding Tablo’s use in the intensive care unit (ICU).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competitors, including those with greater financial resources than ours, could acquire, combine with or partner with other companies to gain enhanced name recognition and market share, as well as new technologies, products or services that could effectively compete with our existing solutions, which may cause our revenue to decline and would harm our business. For example, in April 2023, Medtronic and DaVita launched a new independent company focused on kidney care, and in August 2022, Fresenius Health Partners (the value-based care division of Fresenius), InterWell Health and Cricket Health, Inc. merged the three businesses into a new independent company focused on kidney care. In the future, we may also face competition from new entrants or companies spun off from our larger competitors. For example, in January 2023, Baxter announced its plans to spin off its renal care business unit into a new independent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also compete with us in recruiting and retaining qualified scientific, management and commercial personnel, as well as in acquiring technologies complementary to, or necessary for, Tablo. Because of the complex and technical nature of Tablo and the dynamic market in which we compete, any failure to attract and retain a sufficient number of qualified employees could materially harm our ability to develop and commercialize Tablo, which would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attain greater commercial success, our competitors are likely to develop products that offer features and functionality similar to Tablo. Improvements in existing competitive products or the introduction of new competitive products may make it more difficult for us to compete for sales, particularly if those competitive products demonstrate better reliability, convenience or effectiveness or are offered at lower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generally, the development of viable medical, pharmacological and technological advances in treating or preventing kidney failure may also limit the opportunity for Tablo and our services. While kidney transplantation is the treatment of choice for most patients with ESRD, it is not currently a viable treatment for most patients. This may change, however, with the development of new medications designed to reduce the incidence of kidney transplant rejection, progress in using kidneys harvested from genetically engineered animals as a source of transplants as demonstrated by the first pig-to-human kidney transplant in 2021, and other advances in kidney transplantation. Moreover, developments in the healthcare marketplace related to new or innovative technologies, drugs and other treatments have the potential to impact the rate of growth of the ESRD patient population or otherwise reduce demand for dialysis treatments. For example, in October 2023, a pharmaceutical manufacturer announced the early termination of its study, which sought to demonstrate the effectiveness of its glucagon-like peptide (GLP-1) receptor agonist indicated for type 2 diabetes in delaying the progression of CKD and lowering the risk of cardiovascular mortality, as a result of the study having met certain endpoints. This development generated uncertainty in the marketplace with respect to the potential impact of these or other similar classes of drugs or new classes of drugs or treatments on the rate of growth of the ESRD patient population. We believe increased adoption of GLP-1 receptor agonists has the potential to reduce cardiovascular disease and events, which is the leading cause of mortality amongst patients with chronic kidney disease and on dialysis, resulting in lower mortality rates and likely an increase in the ESRD patient population over time. However, any sustained or significant decline in the rate of growth of the ESRD patient population or demand for Tablo, whether as a result of developments related to new or innovative technologies, drugs, treatments or otherwise, may adversely impact our business, results of operation, financial condition, cash flows and stock price.</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face additional costs, loss of revenue, significant liabilities, harm to our brand, decreased use of our platform and business disruption if there are any security or data privacy breaches or other unauthorized or improper access.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various facets of our business, we collect and use a variety of personal information as part of the Tablo data ecosystem, such as name, street address, email addresses, mobile telephone number, and prescription information. Security breaches, computer malware and computer hacking attacks have become more prevalent across industries and may occur on our systems or those of our third-party service providers, suppliers or other partners. Despite the implementation of security measures, our internal computer systems and those of our third-party service providers, suppliers and other partners are vulnerable to damage from computer viruses, hacking and other means of unauthorized access, denial of service and other attacks,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Further, we may face increased cybersecurity risks due to our reliance on internet technology and the number of our employees who may work remotely, which may create additional opportunities for cybercriminals to exploit vulnerabilities.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Any failure to prevent or mitigate security breaches or improper access to, or use or disclosure of, our data or consumers’ personal information, including information hosted by third party service providers such as Amazon Web Services (AWS), could result in significant liability under applicable data protection laws, such as state breach notification laws and the HIPAA and its implementing regulations. Such an incident may also cause a material loss of revenue from the potential adverse impact to our reputation and brand, affect our ability to retain or attract new users of Tablo and potentially disrupt our business, as well as require significant expenditure of resources to contain, mitigate and remediate the incident. Because the techniques used to obtain unauthorized access, disable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degrade service or sabotage systems change frequently or may be designed to remain dormant until a predetermined or other future event and often are not recognized until launched against a target, we and our partners may be unable to anticipate these techniques or to implement adequate preventative measures. Further, we do not have any direct control over the operations of the facilities or technology of AWS or our other cloud and service providers. Our systems, servers and platforms, those of our cloud service providers, and Tablo’s two-way wireless communication system, may be vulnerable to computer viruses or physical or electronic break-ins that our or their security measures may not detect or effectively block, and may be breached due to the actions of outside parties, employee error or misconduct, malfeasance, or a combination of these and, as a result, an unauthorized party may obtain access to our data or the personal information maintained by us or on our behalf. Additionally, outside parties may attempt to fraudulently induce employees to disclose sensitive information in order to gain access to the data and personal information we maintain, including through phishing or smishing attacks. Threat actors, including individuals, criminal groups, state sponsored actors or others may be able to circumvent such security measures and misappropriate our confidential or proprietary information, disrupt our operations, corrupt our data, damage our computers or otherwise impair our reputation and business. Although we currently invest in our resources and infrastructure, we may need to expend significant resources and make significant capital investment in the future to protect against security breaches or to mitigate the impact of any such breaches.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480 full-time employees. We may not be able to recruit and train additional qualified personnel and expand our operations in the timeframe that we desire for various reasons which include our limited financial resources, the impact of macroeconomic conditions on us or our customers, or any inability to overcome the adverse impacts of regulatory, competitive or other challenges. Our growth may, instead, require us to leverage and optimize our existing personnel while increasing the scale of our operations in an effort to grow our revenue and expand gross margins. If we are unable to effectively manage our growth in the face of these challenges, the execution of our business plans could be delayed, which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The home hemodialysis market may not expand sufficiently to support our growth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a significant growth opportunity exists within the home hemodialysis market. However, home hemodialysis therapies to date have not been extensively adopted. We believe that the home hemodialysis market is sufficient to fuel our growth in the near term if we are able to capture sufficient market share; however, there can be no assurance that we will be successful in increasing our market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long-term growth will require us to shift patients’ and the medical community’s understanding and view of home hemodialysis and will require greater acceptance of home hemodialysis from patients as compared to current levels, physicians who are willing to prescribe home hemodialysis, and dialysis centers that are willing to support home hemodialysis growth. Most dialysis centers presently do not have the infrastructure to support a significant home hemodialysis patient population, including the availability of home hemodialysis training nurses, and may not be motivated to invest in home hemodialysis programs. The nationwide shortage of nurses and other clinical personnel poses increased challenges for dialysis centers looking to retain or attract the staff necessary to support a home hemodialysis program. We will need to continue to devote significant resources to support the expansion of the home hemodialysis market, but these efforts ultimately may not be successful. </w:t>
      </w:r>
    </w:p>
    <w:p>
      <w:pPr>
        <w:pStyle w:val="TextBody"/>
        <w:bidi w:val="0"/>
        <w:spacing w:before="240" w:after="283"/>
        <w:jc w:val="left"/>
        <w:rPr>
          <w:rFonts w:ascii="Times New Roman" w:hAnsi="Times New Roman"/>
          <w:sz w:val="20"/>
        </w:rPr>
      </w:pPr>
      <w:r>
        <w:rPr>
          <w:rFonts w:ascii="Times New Roman" w:hAnsi="Times New Roman"/>
          <w:b/>
          <w:i/>
          <w:color w:val="000000"/>
          <w:sz w:val="20"/>
        </w:rPr>
        <w:t>We traditionally have had significant customer concentration.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31,2023, our largest customer accounted for 13% of revenues. There are risks whenever a large percentage of total revenues are concentrated with a limited number of customers. It is not possible for us to predict the level of demand for Tablo that will be generated by any of these customers in the future. In addition, revenues from these larger customers may fluctuate from time to time based on these customers’ business needs and customer experience, the timing of which may be affected by market conditions or other factors outside of our control. Furthermore, because our business model consists of an upfront capital purchase by our customers, and relatively lower recurring revenue from future sales of consumables and services, revenues from these larger customers may not represent a substantial portion of our revenues in future periods. These customers could also potentially pressure us to reduce the prices we charge for Tablo, which could have an adverse effect on our margins and financial position and could negatively affect our revenues and results of operations. If any of our largest customers terminates its relationship with us, such termination could negatively affect our revenues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Any failure to offer high-quality product support for Tablo may adversely affect our relationships with providers and negatively impact our reputation among patients and providers, which may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a multichannel model, including remote and on-site product support to respond to and resolve issues reported to us by providers and nurses on behalf of their patients. In implementing and using Tablo, providers depend on our support to resolve product quality- and performance-related issues in a timely manner. We may be unable to respond quickly enough to accommodate short-term increases in demand for customer support. Increased customer demand for product support could increase costs and adversely affect our business, financial condition and results of operations. Our sales are highly dependent on our reputation and on positive recommendations from our existing patients, care partners and providers. Any failure to maintain high-quality customer support for our products, or a market perception that we do not maintain high-quality customer support for our products, could adversely affect our reputation, our ability to sell Tablo, and in turn our business, results of operations, and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results of operations will be materially harmed if we are unable to accurately forecast customer demand for, and utilization of, Tablo and manage our 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ensure adequate inventory supply, we must forecast inventory needs and manufacture Tablo consoles and Tablo cartridges based on our estimates of future demand for Tablo. Our ability to accurately forecast demand for Tablo could be negatively affected by many factors, including our failure to accurately manage our expansion strategy, product introductions by competitors, an increase or decrease in customer demand for Tablo or for products of our competitors, our failure to accurately forecast customer acceptance of new products, potential disruption in our supply chain from regional or global public health crises such as the recent COVID-19 pandemic,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Tablo,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 pandemic, epidemic or outbreak of an infectious disease in the United States or worldwide such as the recent COVID-19 pandemic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pandemic, epidemic or outbreak of an infectious disease occurs in the United States or worldwide, our business may be adversely affected. For example, precautionary measures designed and in recent years implemented to contain the spread and mitigate the impact of COVID-19, such as travel restrictions, “shelter-in-place” orders, quarantines and business shutdowns impacted many of the regions in which we, our customers and our suppliers operate. Disruptions or potential disruptions to our business from a future pandemic include the inability of our suppliers to manufacture components and parts and to deliver these to us on a timely basis, or at all; disruptions in our production schedule and ability to manufacture and assemble products;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or to certain third parties, including suppliers and customers; delays to any clinical trials we are conducting or plan to conduct; delays in our ability to timely submit 510(k) notifications or PMAs or PMA supplements, as applicable, and to obtain clearance or approval from the FDA to market our products; and additional government requirements or other incremental mitigation efforts that may further impact our or our suppliers’ capacity to manufacture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 pandemic, epidemic or other outbreak could disrupt our business operations and adversely impact the health and availability of our workforce. For example, in response to the recent COVID-19 pandemic, we made modifications to our normal operations, employing precautionary measures designed to help protect our employees while providing ongoing support for our customers and their patients. Among other measures, we restricted non-essential travel of our employees and asked the majority of our employees to work from home. If significant or critical portions of our workforce become unable to work effectively, or at all, as a result of a future pandemic, including because of illness, quarantines, facility closures, ineffective remote work arrangements or technology failures or limitations, our operations would be materially adversely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recent COVID-19 pandemic resulted in, and future pandemics, epidemics or other outbreaks may result in, significant disruption of global financial markets, which could result in a reduction in our ability to access capital and delays in payments of outstanding receivables that could adversely affect our liquidity. While the potential economic impact brought by, and the duration of any pandemic, epidemic or outbreak may be difficult to assess or predict, a recession or market correction resulting from the spread of an infectious disease, including COVID-19 or the resurgence of it, could materially affect our business. Such economic recession could very likely have a material adverse effect on our long-term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Natural or man-made disasters and other similar events may significantly disrupt our business, and negatively impact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portion of our employee base, operating facilities and infrastructure are centralized in Northern California. Any of our facilities may be harmed or rendered inoperable by natural or man-made disasters, including earthquakes, wildfires, floods, nuclear disasters, riots, acts of terrorism or other criminal activities, infectious disease outbreaks or pandemic events, such as the recent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our facility in Mexico and the facilities of our suppliers and manufacturers may be harmed or rendered inoperable by such natural or man-made disasters, which may cause disruptions, difficulties or otherwise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training of, and improper use of Tablo by, nurses, dialysis technicians, care partners and patients may lead to negative patient outcomes, affect use of Tablo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Tablo depends in part on the proper training and use of Tablo by nurses and dialysis technicians in the acute setting and patients and care partners in the home setting. We train nurses and dialysis technicians on the appropriate use of Tablo, as well as how to train other users, including patients and care partners who use Tablo in the home setting, on the appropriate use of Tablo. If nurses and dialysis technicians, including those we train directly and those trained by others, or patients and care partners, who are not trained by us directly, use Tablo inappropriately or incorrectly, or with supplies that are not compatible with Tablo or without adhering to or completing training sessions, patient outcomes may not be consistent with expected results. This may result in adverse events, including reduced treatment efficacy, and may negatively impact the perception of patient benefit and safety and limit adoption of Tablo, which would have a material adverse effect on our business, financial condition and results of operations. In addition, we may face liability for inadequate training and training materials for nurses and other providers who use our products.</w:t>
      </w:r>
    </w:p>
    <w:p>
      <w:pPr>
        <w:pStyle w:val="TextBody"/>
        <w:bidi w:val="0"/>
        <w:spacing w:before="24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results of operation, including our revenue, gross margin, profitability and cash flows,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Tablo, which may vary significantly, our ability to accurately forecast and meet customer demand and the timing of customer orders and installation schedules;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Tablo, which may vary depending on the quantity of production, the terms of our agreements with third-party suppliers and manufacturers, costs of raw materials and components, and any related foreign currency impact;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pricing pressures;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competition in our industry and any change in the competitive landscape of our industry, including product enhancements or the introduction of new products or technologies by our competitors, or consolidation among our competitors or future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dialysis equipment, and potential future products that compete with Tablo;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clinical trials for Tablo or any enhancements to Tablo we develop, or changes made to competing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positive or negative coverage, or public perception, of Tablo or products of our competitors or broader industry trends;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if any, that public health crises such as the recent COVID-19 pandemic may have on our operations, financial results and the number of patients treated;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and level of investment in, research, development, licenses, regulatory approval, commercialization activities, acquisitions and other strategic transactions, or other significant events relating to Tablo, which may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leverage and optimize our existing sales force, and the speed at which any newly hired salespeople become effective, and the cost and level of investment therein;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obtaining and maintaining regulatory approvals or clearances for our products or product enhancements, or other regulatory actions with respect to our products (such as the Warning Letter we received in July 2023 and our subsequent pause on the distribution of TabloCart with Prefiltration);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discounts for Tablo or competing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accounting and other expenses we may incur as a result of operating as a public company, including costs related to compliance with new compliance initiatives 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financial market conditions or political instability, including changes in tariff or trade laws and policies, as well as inflationary pressures (such as current inflation related to global supply chain disruptions).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The sizes of the markets for Tablo in the acute and home settings have not been established with precision and may be smaller than we estimate and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of the annual total addressable market for Tablo are based on a number of internal and third-party estimates, including, without limitation, the assumed prices at which we can sell Tablo in the acute and home markets.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our estimates of the annual total addressable market for Tablo in different settings may prove to be incorrect. If the actual number of patients who would benefit from Tablo, the price at which we can sell Tablo, or the total addressable market for Tablo is smaller than we have estimated, it may impair our sales growth and negatively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use Amazon Web Services to support Tablo’s cloud connectivity and any disruption of service could interrupt or delay our ability to receive and deliver certain treatment and reporting information from and to providers and patients.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use AWS to host our cloud-based ecosystem. We also use other cloud service providers in our operations. We do not have direct control over the operations of the facilities of AWS or of our other cloud service providers and these facilities are vulnerable to damage or interruption from earthquakes, hurricanes, floods, fires, cyber security attacks, terrorist attacks, power losses, telecommunications failures and similar events. The occurrence of a natural disaster or an act of terrorism, a decision by AWS or another cloud service provider to close the facilities without adequate notice, or other unanticipated problems could result in lengthy interruptions in, or curtailment of, Tablo’s functionality and our ability to provide software updates or analyze patient and machine data. The facilities also could be subject to break-ins, computer viruses, sabotage, intentional acts of vandalism and other misconduct. The continuing and uninterrupted performance of Tablo is critical to our success. Because our customer-facing software platform is used by providers to gain insight into treatment performance, it is critical that our customer facing software platform be accessible without interruption or degradation of performance or data. Providers and patients may become dissatisfied by any system failure that interrupts our ability to provide the full suite of Tablo capabilities to them. Outages could lead to the triggering of our service level agreements and the issuance of credits to our clients, in which case, we may not be fully indemnified for such losses pursuant to our agreement with AWS or our agreements with our other cloud service providers. We may not be able to easily switch our AWS operations to another cloud provider if there are sustained disruptions or interference with our use of AWS. Repeated or prolonged system failures may reduce the attractiveness of Tablo to providers and patients and result in a decreased demand for Tablo, thereby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adversely affecting our business, financial condition and results of operations. Moreover, negative publicity arising from these types of disruptions could damage our reputation and may adversely impact use of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AWS and our other cloud service providers are not obligated to renew agreements with us on commercially reasonable terms, or at all. If we are unable to renew our agreements with AWS or our other cloud service providers on commercially reasonable terms, if our agreements with AWS or our other cloud service providers are prematurely terminated, or if in the future we add additional data providers, we may experience costs or downtime in connection with the transfer to, or the addition of, new providers. If these providers were to increase the cost of their services, we may have to increase the price of Tablo or take other measures to offset such cost increases, which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experience significant disruptions in our information technology systems,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our information technology systems for the efficient functioning of our business, including the manufacture, distribution and maintenance of Tablo,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or malicious insiders,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or malfunction would disrupt our operations, including our ability to timely ship and track Tablo orders, project inventory requirements, ensure the integrity of our data analytics services, manage our supply chain and otherwise adequately service our customers or disrupt our customers’ ability to use Tablo. In the event we experience significant disruptions, we may be unable to repair our data or systems in an efficient and timely manner. Accordingly, such events may disrupt or reduce the efficiency of our entire operation and have a material adverse effect on our business, financial condition and results of operations. Currently, we carry business interruption coverage to mitigate certain potential losses but this insurance is limited in amount, and we cannot be certain that such potential losses will not exceed our policy limits.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or halt the marketing and sale of Tablo. The expense and potential unavailability of insurance coverage for liabilities resulting from Tablo could harm us and our ability to sell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marketing and sale of Tablo. For example, we may be sued if Tablo or any of its component parts causes, or is perceived to cause, injury or is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For example, nurses, dialysis technicians, care partners and patients operate Tablo. If these nurses, dialysis technicians, care partners or patients are not properly trained, are negligent or use Tablo incorrectly, the capabilities of Tablo may be diminished or the patient may suffer critical injury. We may also be subject to claims that are caused by the activities of our suppliers, such as those who provide us with components and sub-assemblies, or manufacturers who produce Tablo consoles and cartridges.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successfully defend ourselves against product liability claims, we may incur substantial liabilities or be required to limit or halt the marketing and sale of Tablo.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Tablo;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harm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which could result in enforcement action against us or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Tablo.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 </w:t>
      </w:r>
    </w:p>
    <w:p>
      <w:pPr>
        <w:pStyle w:val="TextBody"/>
        <w:bidi w:val="0"/>
        <w:spacing w:before="240" w:after="283"/>
        <w:jc w:val="left"/>
        <w:rPr>
          <w:rFonts w:ascii="Times New Roman" w:hAnsi="Times New Roman"/>
          <w:sz w:val="20"/>
        </w:rPr>
      </w:pPr>
      <w:r>
        <w:rPr>
          <w:rFonts w:ascii="Times New Roman" w:hAnsi="Times New Roman"/>
          <w:b/>
          <w:i/>
          <w:color w:val="000000"/>
          <w:sz w:val="20"/>
        </w:rPr>
        <w:t>We expect to continue to incur net losses for the next several years and we may require substantial additional capital to finance our planned operations, which may include future equity and debt financings. This additional capital may not be available to us on acceptable terms or at all. Our failure to obtain additional financing when needed on acceptable terms, or at all, could force us to delay, limit, reduce or eliminate our commercialization, sales and marketing efforts, product development programs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financing to fund working capital and pay our obligations. While we entered into two senior secured credit facilities on November 3, 2022, which provide for (i) up to $250.0 million of term loans (the SLR Term Loan Facility) pursuant to a loan and security agreement with certain lenders and SLR Investment Corp., as agent (the SLR Loan Agreement) and (ii) up to a $50.0 million asset-based revolving credit facility (the SLR Revolver, together with the SLR Term Loan Facility, the SLR Credit Facilities) pursuant to a credit agreement with Gemino Healthcare Finance, LLC d/b/a SLR Healthcare ABL, as lender (the SLR Revolving Credit Agreement, together with the SLR Loan Agreement, the SLR Credit Facility Agreements), we have already borrowed $200.0 million of term loans and the additional $100.0 million borrowings under the SLR Credit Facilities is subject to us achieving certain net revenue milestones and obtaining lenders’ credit approval. We may seek to raise any necessary additional capital through a combination of public or private equity offerings or debt financings. There can be no assurance, however,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offerings, such offerings could result in dilution, including potentially significant dilution, of the ownership interest of our existing stockholders, and the terms of these securities may include liquidation or other preferences that adversely affect our stockholders’ rights. If we raise additional capital through debt financing (including through refinancing our existing debt), we may be subject to, among other things, an increase in our interest expense which may negatively affect our cash flow and covenants limiting or restricting our ability to take specific actions, such as incurring additional debt, making capital expenditures or declaring dividends. Additional capital may not be available on reasonable terms,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The terms of our credit agreement require us to meet certain operating and financial covenants, place restrictions on our operating and financial flexibility and subject us to interest rate risk, and our ability to access additional borrowings is subject to us achieving certain net revenue milestones and obtaining lenders’ credit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the SLR Credit Facilities on November 3, 2022, which provide for (i) up to $250.0 million of term loans pursuant to the SLR Loan Agreement and (ii) up to a $50.0 million asset-based revolving credit facility pursuant to the SLR Revolving Credit Agreement. We have already borrowed $200.0 million of term loans and the additional $100.0 million of borrowings under the SLR Credit Facilities is subject to us achieving certain net revenue milestones and obtaining lenders’ credit approval. If we achieve a certain net revenue milestone, calculated on a trailing six-month basis (First Revenue Milestone), on or before June 30, 2024 and the additional tranche under the SLR Revolver has been approved, we will be permitted to borrow up to an additional $50.0 million under the SLR Credit Facilities. If we achieve a subsequent additional net revenue milestone, calculated on a trailing six-month basis (Second Revenue Milestone, and together with First Revenue Milestone, the Revenue Milestones), on or before June 30, 2025 and obtain lenders’ credit approval, we will be permitted to further borrow up to an additional $50.0 million under the SLR Credit Facilities. If we fail to achieve either or both of these Revenue Milestones or obtain lenders’ credit approval, we will not be able to access the remaining $100.0 million of borrowings under the SLR Credit Facilities. The SLR Credit Facilities are secured by substantially all of our assets, including all of our intellectual property, subject to certain exceptions. The SLR Credit Facility Agreements contain a number of restrictive covenants, and the terms may restrict our current and future operations, particularly our ability to respond to certain changes in our business or industry or take future actions. In addition, as principal amounts outstanding under each of the SLR Term Loan Facility and the SLR Revolver accrue interest at variable interest rates tied to SOFR, any borrowings under the facilities will be subject to interest rate risk. An adverse change in interest rates for our borrowings could increase our future borrowing costs which may restrict our access to capital in the future and, ultimately, could adversely affect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condition and results of operations. See the section titled “Management’s Discussion and Analysis of Financial Condition and Results of Operations ‒ Liquidity and Capital Resources ‒ Debt Obligations ‒ SLR Debt Financing.”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SLR Credit Facility Agreements contain customary representations and warranties and affirmative covenants and also contain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SLR Credit Facility Agreements also include a financial covenant that, beginning with the fiscal quarter ending December 31, 2023, requires us to either (i) maintain certain levels of cash and cash equivalents in accounts subject to control agreements in favor of Agent and ABL Lender of at least the sum of (a) 50% of the outstanding obligations under the SLR Term Loan Facility and (b) the amount of the Company’s accounts payable that have not been paid within 120 days from the invoice date thereof or (ii) generate net product and product related revenue in excess of specified amounts and maintain gross profit margins in excess of specified percentages, in each case, for applicable measuring periods. The SLR Credit Facility Agreements also contain customary events of default. If we fail to comply with such covenants, payments or other terms of either SLR Credit Facility Agreement, our agent or lender, as applicable, could declare an event of default, which would give it the right to declare all borrowings outstanding, together with accrued and unpaid interest and fees, to be immediately due and payable. In addition, our agent or lender, as applicable, would have the right to proceed against the assets we provided as collateral pursuant to the SLR Loan Agreement or SLR Revolving Credit Agreement, as applicable. If the debt under either SLR Credit Facility Agreement was accelerated, we may not have sufficient cash or be able to sell sufficient assets to repay this debt, which would harm our business and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Performance issues, service interruptions or price increases by our shipping carriers and warehousing providers could adversely affect our business and harm our reputation and ability to provide our services on a timely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Expedited, reliable shipping and secure warehousing are essential to our operations. We rely heavily on providers of transport services for reliable and secure point-to-point transport of Tablo to our customers and for tracking of these shipments, and from time to time require warehousing for our products. Should a carrier encounter delivery performance issues such as loss, damage or destruction of any systems, it would be costly to replace such systems in a timely manner and such occurrences may damage our reputation and lead to decreased demand for Tablo and increased cost and expense to our business. In addition, any significant increase in shipping or warehousing rates could adversely affect our operating margins and results of operations. For example, in late 2021, surges and shifts in consumer demand as the economy reopened, further exacerbated by COVID-19 outbreaks and protocols, strained the global freight network and placed significant stress on air, ocean and freight ground carriers, resulting in increased freight costs associated with our transportation of Tablo cartridges. If freight costs escalate and/or remain high for a sustained period of time, our operating margins and results of operations would be adversely impacted. Similarly, strikes, severe weather, natural disasters or other service interruptions affecting delivery or warehousing services we use would adversely affect our ability to process orders for Tablo on a timely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We bear the risk of warranty claims on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bear the risk of warranty claims on Tablo. We may not be successful in claiming recovery under any warranty or indemnity provided to us by our suppliers or vendors in the event of a successful warranty claim against us by a customer or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Cost-containment efforts of our customers, purchasing groups and governmental organizations could have a material adverse effect on our sales and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 effort to reduce costs, many hospitals in the United States are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Tablo, thereby reducing our revenue and margins.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terminable without cause by the GPO or IDN upon 60 to 90 days’ notice. Accordingly, the members of such groups may choose to purchase alternative products due to the price or quality offered by other companies, which could result in a decline in our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retain our sales and marketing personnel, fail to increase our sales and marketing capabilities or develop broad awareness of Tablo in a cost-effective manner, we may not be able to generate revenue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marketing and selling Tablo. We currently rely on our direct sales force to sell Tablo in the United States, and any failure to maintain, leverage and optimize our direct sales force will negatively affect our business, financial condition and results of operations. The members of our direct sales force are highly trained and possess substantial technical expertise, which we believe is critical in increasing adoption of Tablo.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 In addition, our services revenue is dependent in part on our FSEs, and any failure to maintain, or adequately train, our team of FSEs could negatively impact our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generate future growth, we plan to leverage and optimize our sales and marketing infrastructure to increase the number of customers that adopt Tablo. In addition, identifying and recruiting qualified sales and marketing personnel and training them on Tablo,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Tablo. In addition, our ability to generate revenue growth depends on the success of our efforts to further evolve our commercial infrastructure and sales processes to support the growth of our business in the home and acute markets. Any failure to hire, develop and retain talented sales personnel, to achieve desired productivity levels in a reasonable period of time or timely reduce fixed costs, or to evolve and scale our commercial infrastructure and sales processes, could negatively affect our business, financial condition and results of operations. Our ability to increase our customer base and achieve broader market acceptance of Tablo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Tablo in a cost-effective manner is critical to achieving broad acceptance of Tablo.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Tablo.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 and other legal proceedings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For example, on July 8, 2022, a purported stockholder class action lawsuit was filed against the Company, our Chief Executive Officer, Chief Financial Officer and former Chief Financial Officer, in the U.S. District Court for the Northern District of California alleging that the defendants violated federal securities laws by making false or misleading statements regarding the Company’s regulatory studies of Tablo for at home use and the Company’s prospects related to the sale of the system for at home use. On September 7, 2022, the plaintiff filed a notice of voluntary dismissal of this action without prejudice, and this action is now concluded.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strategic alliances, joint ventures or collaborations, or enter into licensing or partnership arrangements in the future and may not be successful in doing so, and even if we are, we may not realize the benefits or costs of such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form or seek strategic alliances, make minority investments, create joint ventures or collaborations or enter into licensing or partnership arrangements with third parties that we believe will compliment or augment our sales and marketing and/or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efforts with respect to Tablo. We may not be successful in our efforts to establish such collaborations for Tablo.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Tablo. We cannot be certain that, following a strategic alliance or similar arrangement, we will achieve the revenue, cash flows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our sales and marketing efforts, which would harm our business prospects, financial condition and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To the extent we enter into foreign markets, we would be subject to additional regulatory burdens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we enter into foreign markets in the future, we would face additional risks and uncertainties. We are not permitted to market or promote Tablo before we receive regulatory approval from the applicable regulatory authority in that foreign market, and we may never receive such regulatory approval for Tablo. To obtain separate regulatory approvals in other countries we may be required to comply with numerous and varying regulatory requirements of such countries regarding the safety and efficacy of Tablo and governing, among other things, clinical trials and commercial sales, pricing and distribution of our product, and we cannot predict success in these jurisdictions. Such activities may result in incremental expenses and diversion of management’s time and attention, and we may not ultimately obtain the requisite approvals in a timely manner or at all. If we obtain approval of Tablo and sell Tablo in foreign markets, we would be subject to additional risks and uncertainties in those markets,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exchange rate fluctuations and currency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costs associated with maintaining compliance, sales and marketing, and service for customers outside the United States, especially as we establish ourselves in these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adverse and/or unexpected tax consequences, including penalties due to the failure of tax planning or due to the challenge by tax authorities on the basis of transfer pricing and liabilities imposed from inconsistent enforcement;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of complying with complex and changing regulatory, tax, accounting and legal requirements, many of which vary between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medical practices and customs in multiple countries affecting acceptance of medical products in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tariffs, trade barriers, import or export licensing requirements or other restrictive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or loss of protection of intellectual property rights in some foreign countries;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becoming subject to the different, complex and changing laws, regulations and court systems of multiple jurisdictions and compliance with a wide variety of foreign laws, treaties and regulations.</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utilize our net operating loss carryforwards and research and development credit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U.S. federal and state net operating loss (NOL) carryforwards of $643.4 million and $380.2 million, respectively. If not utilized, our U.S. federal NOLs generated in taxable years beginning before 2018 will begin to expire in 2024 and our state NOLs began to expire in 2024. Deductibility of U.S. federal NOLs generated in taxable years beginning after 2017 and used in taxable years beginning after 2020 do not expire but are limited to 80% of our taxable income before the deduction of such NOLs. As of December 31, 2023, we also had U.S. federal and state research and development credits of $8.8 million and $7.5 million, respectively. Our U.S. federal research and development credits will begin to expire in 2030. State research and development credits do not expire.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net operating losses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 and research and development credit carryforwards could be further limited by Sections 382 and 383 of the Code. Similar rules may apply under state tax laws. In addition, our ability to deduct net interest expense may be limited if we have insufficient taxable income for the year during which the interest is incurred, and any future carryovers of such disallowed interest would be subject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 rules similar to those applicable to NOLs and other attributes. Future changes in our stock ownership, some of which might be beyond our control, could result in an ownership change under Section 382 of the Code. For these reasons, in the event we experience a change of control, we may not be able to utilize a material portion of the existing NOLs, research and development credit carryforwards or future disallowed interest expense carryovers, even if we attain profitability. Any limitation on using NOLs could adversely impact operating results and result in our retaining less cash after payment of U.S. federal and state income taxes.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Governmental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risks related to the warning letter we recently received from the FDA and the pause we recently implemented on the distribution of TabloCart with Prefiltration.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received a warning letter (the “Warning Letter”) from the FDA that raised two observations. The first observation asserts that certain content reviewed by the FDA and found on our website promotes CRRT, a modality outside of the current indications for Tablo. The second observation asserts that TabloCart with Prefiltration requires prior 510(k) clearance for marketing authorization. TabloCart with Prefiltration is an accessory to Tablo launched in the third quarter of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been effectively addressed with two actions. First, although we evaluated TabloCart with Prefiltration prior to marketing and distributing the product and concluded that no marketing authorization was necessary, we paused distribution of TabloCart with Prefiltration pending the FDA’s review and clearance of a 510(k) application. Second, we submitted to the FDA a 510(k) application for TabloCart with Prefiltration in September 2023, and have been engaged in constructive interactive review with the FDA reviewing team. In addition, we have provided monthly updates to the FDA as to the status of these Warning Letter-related workstreams since July 2023, and believe we have taken appropriate measures to resolve the matters raised in the Warning Letter.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remain committed to fully cooperating with the FDA to expeditiously and completely resolve the Warning Letter, we cannot guarantee that the FDA will be satisfied with our response or the remedial measures we have taken, nor can we give any assurances as to the timing of the resolution of such matters, including the clearance of the 510(k) application and our resumption of distribution of TabloCart with Prefiltration. Failure to promptly and fully address the matters raised in the Warning Letter to the FDA’s satisfaction or to comply with FDA regulations in general could result in further regulatory and enforcement actions being initiated by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actions may include, among other things, additional inspections, requirements to implement additional remedial measures, recommending or requiring that we cease manufacturing or producing TabloCart with Prefiltration or that we withdraw or recall the product from the marketplace, until clearance is obtained (which may not happen in a timely manner or at all), as well as product seizures, injunctions, civil monetary penalties, fines, or criminal prosecution. In addition, although we have paused distribution of TabloCart with Prefiltration pending the FDA’s review and clearance of the submitted 510(k) application, the FDA could specifically mandate that we do so, which would result in the resumption of such distribution being outside of our sole control. Any such actions could materially and adversely disrupt and harm our business, reputation, financial condition, results of operations and future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have submitted a 510(k) application for TabloCart with Prefiltration, we cannot predict with certainty when the FDA will complete its review of our application, whether the FDA will ultimately grant clearance of our application, or when we will resume distribution of the product. Based on the results of the FDA’s review, we may be required to take additional actions, which may include making changes to the product, temporarily withdrawing or recalling TabloCart with Prefiltration until clearance is obtained (which may not happen in a timely manner or at all), and/or we may be subject to other enforcement actions or proceedings and litigation, any of which could materially and adversely disrupt and harm our business and future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even if we are able to expeditiously and definitively resolve the Warning Letter, we will continue to incur incremental expenses relating to doing so, and we have experienced and expect to continue to experience related disruptions to our business, including reputational harm, customer uncertainty regarding the matters addressed in the Warning Letter and diversion of management’s time and attention. Furthermore, our business and operations have experienced and may continue to experience disruptions as a result of our pause on the distribution of TabloCart with Prefiltration, including reputational harm and adverse impacts on our bookings and revenues, and may experience further disruptions which could include adverse impacts on our backlog, our ability to expand customer relationships or attract new customers, as well as reduced demand for TabloCart and/or, potentially, Tablo. Any of these factors could materially and adversely affect our results of operations, financial condition and growth prospects. For example, beginning in the third quarter of 2023, we observed more customers than we anticipated choosing to defer their Tablo console purchasing and installation until TabloCart with Prefiltration becomes available again, and we also experienced marketplace confusion in relation to the Warning Letter (exacerbated, we believe, in some cases by our competitors), particularly regarding Tablo’s use in the ICU. These factors, combined with other macroeconomic factors, served to elongate our sales cycle and the timing of delivery and installations which, in turn, had an adverse impact on our bookings and revenues for the second half of 2023. We anticipate that the negative impacts from the Warning Letter and our distribution pause will continue into 2024. Moreover, these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adverse impacts will be exacerbated if the FDA’s review of our pending 510(k) application for TabloCart with Prefiltration and the current distribution pause (or any mandated distribution pause by the FDA) continues for an extended period of time, or if the FDA ultimately does not grant clearance of our 510(k) application.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we continue to modify Tablo from time to time, such modifications may require new clearances or approvals from the FDA, which we may not be able to obtain on a timely basis or at all.</w:t>
      </w:r>
    </w:p>
    <w:p>
      <w:pPr>
        <w:pStyle w:val="TextBody"/>
        <w:bidi w:val="0"/>
        <w:spacing w:before="120" w:after="283"/>
        <w:jc w:val="left"/>
        <w:rPr>
          <w:rFonts w:ascii="Times New Roman" w:hAnsi="Times New Roman"/>
          <w:sz w:val="20"/>
        </w:rPr>
      </w:pPr>
      <w:r>
        <w:rPr>
          <w:rFonts w:ascii="Times New Roman" w:hAnsi="Times New Roman"/>
          <w:color w:val="000000"/>
          <w:sz w:val="20"/>
        </w:rPr>
        <w:t>Although we currently market our products exclusively under 510(k) clearances, modifications to Tablo and associated consumables may require new regulatory approvals or clearances, including additional 510(k) clearances, de novo classification, or approval of PMAs or PMA supplements. As we continue to modify Tablo from time to time, we may determine that such modifications could significantly affect safety and effectiveness of the device or represent a major change in its intended use and thereby require new 510(k) clearances. Further, even in instances where we determine modifications to Tablo do not require a new 510(k) clearance or a PMA, the FDA may review our decision and disagree, or otherwise determine on its own initiative that a new clearance or approval is required. In this case, we may ultimately be required to make additional changes to Tablo, we may need to submit a new 510(k) application or a PMA and obtain clearance or approval, we may be required to temporarily suspend shipment of, withdraw or recall Tablo until such clearance or approval is obtained (which may not happen in a timely manner or at all), and/or we may be subject to other enforcement actions or proceedings and litigation, all of which would materially and adversely disrupt and harm our business and future growth. Where we determine that modifications to Tablo do require a new 510(k) clearance from the FDA or PMA approval, we may not be able to obtain such clearance or approval in a timely manner, or at all. Obtaining clearances or approvals can be a time-consuming and costly process</w:t>
      </w:r>
      <w:r>
        <w:rPr>
          <w:rFonts w:ascii="Times New Roman" w:hAnsi="Times New Roman"/>
          <w:color w:val="000000"/>
          <w:sz w:val="24"/>
        </w:rPr>
        <w:t>,</w:t>
      </w:r>
      <w:r>
        <w:rPr>
          <w:rFonts w:ascii="Times New Roman" w:hAnsi="Times New Roman"/>
          <w:color w:val="000000"/>
          <w:sz w:val="20"/>
        </w:rPr>
        <w:t xml:space="preserve"> which may in some cases require us to conduct clinical trials, and delays in obtaining required future clearances or approval could adversely affect our ability to make updates and enhancements to Tablo in a timely manner, which in turn would harm our future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since Tablo’s original clearance by the FDA for home use in March 2020, we have made certain changes to the device over time and, where appropriate, have submitted 510(k) applications for certain modifications to Tablo. In May 2021, we submitted a 510(k) application to the FDA covering the design changes for patient use in the home. In May 2022, after further discussions with the FDA and receiving indications that the clearance of this 510(k) application would be delayed beyond our original expectations, we implemented a shipment hold on the distribution and marketing of Tablo for use in the home environment pending the FDA’s review and clearance of this 510(k) application. In late July 2022, the FDA cleared this 510(k) application of Tablo for patient use in the home and we resumed marketing and shipping Tablo for home use.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to the reimbursement rates for dialysis treatments and measures to reduce healthcare costs may adversely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depend upon reimbursement by government and other third-party insurance payors for dialysis services using our products. With a vast majority of U.S. patients with ESRD covered by Medicare, the Medicare reimbursement rate is an important factor in a customer’s decision to use Tablo and limits the prices we may charge for our products. For patients with Medicare fee-for-service coverage, virtually all payments for renal dialysis services are currently made under a single bundled payment rate which provides a fixed payment rate to encompass virtually all goods and services provided during the dialysis treatment. The bundled payment rate is also adjusted for certain patient characteristics, a geographic wage index, and other factors. The ESRD PPS is subject to rebasing, which can have a positive financial effect, or a negative one if the government fails to rebase in a manner that adequately addresses the costs borne by dialysis facilities. For example, on November 6, 2023, CMS issued a final rule updating the PPS to, among other things, increase the base rate from $265.57 to $271.02, an increase that CMS projects will increase the total payments to all ESRD facilities by 2.1% in CY 2024. Additionally, reimbursement rates and coverage policies under Medicare Advantage plans may also be subject to change. We cannot anticipate whether the government and/or Medicare Advantage plans will decrease payment rates in the coming years or if any future rate increases will adequately cover facilities’ costs, which could adversely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federal regulations provide for transitional add-on payment adjustments under the Medicare ESRD PPS for certain TPNIES. For home dialysis equipment, CMS provided a pathway for CRA to secure TPNIES. We applied for and received CRA TPNIES in connection with the use of Tablo by one patient per one machine in the home, pursuant to which Medicare paid 65% of the Medicare Administrative Contractor-determined pre-adjusted per treatment amount for two calendar years beginning with CY 2022. However, our TPNIES approval, which temporarily increased provider reimbursement, expired on December 31, 2023. We cannot fully assess the impact of the expiration of our TPNIES approval on our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CMS rules limit the number of hemodialysis treatments paid for by Medicare Part B to three times a week, unless there is medical justification provided by the dialysis facility based on information from the patient’s physician for additional treatments. To the extent that over three treatments per week are prescribed for Tablo patients and Medicare contractors determine they will not pay for additional treatments, adoption of Tablo could be impaired.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and if greater than three, the level of confidence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center has in the predictability of receiving reimbursement from Medicare for additional treatments per week based on submitted claims for medical justification. </w:t>
      </w:r>
    </w:p>
    <w:p>
      <w:pPr>
        <w:pStyle w:val="TextBody"/>
        <w:bidi w:val="0"/>
        <w:spacing w:before="120" w:after="283"/>
        <w:jc w:val="left"/>
        <w:rPr>
          <w:rFonts w:ascii="Times New Roman" w:hAnsi="Times New Roman"/>
          <w:sz w:val="20"/>
        </w:rPr>
      </w:pPr>
      <w:r>
        <w:rPr>
          <w:rFonts w:ascii="Times New Roman" w:hAnsi="Times New Roman"/>
          <w:color w:val="000000"/>
          <w:sz w:val="20"/>
        </w:rPr>
        <w:t>Although most ESRD patients are currently covered by traditional Medicare, beginning January 1, 2021, when changes from the 21</w:t>
      </w:r>
      <w:r>
        <w:rPr>
          <w:rFonts w:ascii="Times New Roman" w:hAnsi="Times New Roman"/>
          <w:color w:val="000000"/>
          <w:sz w:val="13"/>
        </w:rPr>
        <w:t>st</w:t>
      </w:r>
      <w:r>
        <w:rPr>
          <w:rFonts w:ascii="Times New Roman" w:hAnsi="Times New Roman"/>
          <w:color w:val="000000"/>
          <w:sz w:val="20"/>
        </w:rPr>
        <w:t xml:space="preserve"> Century Cures Act entered into effect, more dialysis patients were eligible to enroll in Medicare Advantage managed care plans. While Medicare Advantage plans must provide at least the same level of coverage for Medicare beneficiaries as traditional Medicare, reimbursement to dialysis facilities is most often higher than traditional Medicare with a wide range of variability in payment rates to providers. Reimbursement rates depend on each Medicare Advantage plan’s contracts and network agreements with each dialysis facility. In March 2023, CMS released the Announcement of CY 2024 Medicare Advantage Capitation Rates and Payment Policies. Among other changes, this announcement includes information about future Medicare Advantage rate increases and updates certain policies associated with risk adjustments.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ESRD patients have Medicaid coverage that is supplemental to Medicare coverage, and some ESRD patients may have Medicaid as their primary coverage. Because Medicaid is a state-administered program, Medicaid reimbursement for dialysis services varies by state. Changes in state Medicaid or other non-Medicare government-based programs or payment rates could have an adverse effect on our customers’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some patients may have coverage through private insurance, for example through a marketplace plan set up under the Affordable Care Act or through an employer or union group health plan. Private insurance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 for dialysis services.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Recent litigation regarding payor coverage of ESRD services may also affect our business. Specifically, on June 21, 2022, in the case of </w:t>
      </w:r>
      <w:r>
        <w:rPr>
          <w:rFonts w:ascii="Times New Roman" w:hAnsi="Times New Roman"/>
          <w:i/>
          <w:color w:val="000000"/>
          <w:sz w:val="20"/>
        </w:rPr>
        <w:t>Marietta v. DaVita</w:t>
      </w:r>
      <w:r>
        <w:rPr>
          <w:rFonts w:ascii="Times New Roman" w:hAnsi="Times New Roman"/>
          <w:color w:val="000000"/>
          <w:sz w:val="20"/>
        </w:rPr>
        <w:t>, the Supreme Court of the United States addressed the question of whether a group health plan that provides limited benefits for outpatient dialysis – but does so uniformly for all plan participants – violates the MSPA, a law which makes Medicare a “secondary” payer to an individual’s existing insurance plan for certain medical services, including dialysis, when that plan already covers the same services. Specifically, the Supreme Court held that because the Plan’s terms apply uniformly to all covered individuals, the Plan does not “differentiate in the benefits it provides” to individuals with ESRD or “take into account” whether an individual is entitled to or eligible for Medicare, and thus does not violate the MSPA.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anticipate what the impact of the Court’s decision will be on our business, including whether adverse ESRD coverage actions may be taken by health plans or whether regulatory guidance or new legislation may be issued limiting ESRD coverage.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reduction in reimbursement rates for dialysis treatments may adversely affect our customers’ businesses and cause them to enact cost reduction measures that may result in reducing the scope of their home hemodialysis programs, which could result in reduced demand for our product or additional pricing pressures.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measures could hinder or prevent the commercial success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have been, and we expect there will continue to be, a number of legislative and regulatory changes to the healthcare system that may harm our future revenues and profitability and the demand for Tablo. As discussed in the section titled “Business – Government Regulation – United States Health Reform” above, federal and state lawmakers regularly propose and, at times, enact legislation and propose and finalize regulations that would result in significant changes to the healthcare system, some of which are intended to contain or reduce the costs of medical products and services, improve quality and/or expand access. Current and future legislative or regulatory proposals to further reform healthcare or reduce healthcare costs may limit coverage of and/or lower reimbursement for the procedures associated with the use of Tablo. The cost containment measures that payors and providers are instituting and the effect of any healthcare reform initiative implemented in the future could impact our revenue from the sale of Tablo.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way of example, in the United States, the Affordable Care Act substantially changed the way healthcare is financed by both governmental and private insurers, and continues to significantly impact our industry. The Affordable Care Act contains a number of provisions, including those governing enrollment in federal healthcare programs, reimbursement changes and fraud and abuse measures, all of which impact existing government healthcare programs and have resulted in the development of new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the section titled “Business – Government Regulation – United States Health Reform” above, there have been, and continue to be, judicial and Congressional challenges to several elements of the Affordable Care Act, as well as efforts by both the executive and legislative branches of the federal government to modify certain aspects of the Affordable Care Act. It is unclear how these and other efforts to challenge or modify, or alter the implementation or interpretation of the Affordable Care Act will affect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discussed in the section titled “Business – Government Regulation – United States Health Reform” above, other legislative and executive actions have encouraged the development of new payment and care models for ESRD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the implementation of the ETC Model, a failure to implement our expansion into home dialysis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payors of healthcare services to contain or reduce costs of healthcare may harm our ability to set a price that we believe is fair for Tablo, our ability to generate revenue and achieve or maintain profitability, and the availability of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there will continue to be proposals and other actions by legislators and other policymakers at both the federal and state levels, and by regulators and third-party payors to reduce costs and/or expand individual healthcare coverage. We cannot predict what other healthcare policies will ultimately be proposed or implemented at the federal or state level or the effect of any future legislation or regulation in the United States on our business, financial condition and results of operations. Future changes in healthcare policy could increase our costs and subject us to additional legislative and regulatory requirements that may interrupt commercialization of our current and future solutions, decrease our revenue and impact sales of and pricing for our current and future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must comply with anti-kickback, fraud and abuse, false claims, transparency, and other healthcare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operations are subject to various federal and state healthcare laws and regulations. These laws affect our sales, marketing and other promotional activities by limiting the kinds of financial arrangements, including sales programs, we may have with dialysis providers, hospitals, physicians or other potential purchasers or users, including patients, of medical devices and services. They also impose additional administrative and compliance burdens on us. In particular, these laws influence, among other things, how we structure our sales and rental offerings, including discount practices, customer support, education and training programs and physician consulting and other service arrangements. These laws include, but are not limited to, the healthcare fraud and abuse laws described in the section titled “Business – Government Regulation – Healthcare Fraud and Abuse Laws” above, and the Federal Food, Drug, and Cosmetic Act, which governs, among other things, the misbranding and adulteration of medical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compliance oversight and reporting requirements and the curtailment or restructuring of our operations. Moreover, any investigation into our practices could cause adverse publicity and require a costly and time-consuming response. </w:t>
      </w:r>
    </w:p>
    <w:p>
      <w:pPr>
        <w:pStyle w:val="TextBody"/>
        <w:bidi w:val="0"/>
        <w:spacing w:before="240" w:after="283"/>
        <w:jc w:val="left"/>
        <w:rPr>
          <w:rFonts w:ascii="Times New Roman" w:hAnsi="Times New Roman"/>
          <w:sz w:val="20"/>
        </w:rPr>
      </w:pPr>
      <w:r>
        <w:rPr>
          <w:rFonts w:ascii="Times New Roman" w:hAnsi="Times New Roman"/>
          <w:b/>
          <w:i/>
          <w:color w:val="000000"/>
          <w:sz w:val="20"/>
        </w:rPr>
        <w:t>Tablo and our operations are subject to extensive government regulation and oversight in the United States. If we fail to obtain or maintain necessary regulatory approvals for Tablo and related products, or if approvals or clearances for future products are delayed or not issued, it will negatively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is a medical device subject to extensive regulation in the United States and elsewhere, including by the FDA and its foreign counterparts. Government regulations specific to medical devices are wide ranging and govern,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design, development, manufacture, and release;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and clinical testing, labeling, packaging, storage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safety and efficacy;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premarketing clearance 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record keeping;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marketing, promotion and advertising, sales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post-marketing surveillance, including reporting of deaths or serious injuries and recalls and correction and removals;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post-market approval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import and export.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obtained 510(k) clearances to market Tablo for use in patients with acute and/or chronic renal failure, with or without ultrafiltration, in the settings of an acute or chronic care facility and the home.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regulators could delay, limit, or deny clearance or approval of a device for many reasons,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demonstrate to the satisfaction of the FDA or the applicable regulatory entity or notified body that Tablo, or any other future device, and any accessories are substantially equivalent to a legally marketed predicate device or safe or effective for their proposed intended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disagreement of the FDA with the design or implementation of any clinical trials or the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and unexpected adverse device effects experienced by participants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insufficiency of the data from preclinical studies or clinical trials to support clearance or approval, where required;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demonstrate that the clinical and other benefits of the device outweigh the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our manufacturing process or facilities to meet applicable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approval policies or regulations of the FDA or applicable foreign regulatory bodies to change significantly in a manner rendering our clinical data or regulatory filings insufficient for clearance 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warning letters (such as the Warning Letter we received in July 2023), untitled letters, it has come to our attention letters, fines, injunctions, consent decrees and civil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repair, replacement, refunds, recall or seizure of Tablo;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restrictions, partial suspension or total shutdown of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denial of our requests for regulatory clearance or PMA approval of new products or services, new intended uses or modifications to existing products or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regulatory clearance or PMA approvals that have already been granted;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were to occur, it would negatively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important to our business that we build a pipeline of product offerings that address limitations of current dialysis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any new product offering or enhancement to an existing product will depend on a number of factors, including our ability to,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and anticipate physician and patient needs properly;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and introduce new products or product enhancements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 infringing upon the intellectual property rights of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demonstrate, if required, the safety and efficacy of new products with data from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the necessary regulatory clearances or approvals for new products or product enhancements;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fully with the FDA and applicable foreign regulations on marketing of new products or modified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adequate training to potential users of Tablo.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develop new products or product enhancements in time to meet market demand or if there is insufficient demand for these products or enhancements, or if our competitors introduce enhanced or new products with functionalities that are superior to ours, our results of operations will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our suppliers fail to comply with ongoing FDA or other foreign regulatory authority requirements, or if we experience unanticipated problems with our products, these products could be subject to restrictions or withdrawal from the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QSR compliance is necessary to receive and maintain FDA clearance or approval to market new and existing products. Regulatory bodies, such as the FDA, enforce the QSR and other regulations through periodic audits and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untitled letters, FDA Form 483s, FDA warning letters, it has come to our attention letters, fines, injunctions, consent decrees and civil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expenditures to address or defend such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notifications for repair, replacement, refunds;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detention or seizure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restrictions or partial suspension or total shutdown of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refusing or delaying our requests for 510(k) clearance or PMA approval of new products or modified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510(k) clearances or PMA approvals that have already been granted;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grant export approval for our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 FDA conducted their first quality system inspection of our San Jose, California facility which concluded in February 2023. At completion, the FDA issued a Form FDA-483 identifying four inspectional observations. We provided our response plan to the FDA in March 2023 and have since completed the associated remediation workstreams to fully address these observations. We continue to provide the FDA with monthly updates as to the status of these 483-related workstreams. Although we believe we are in material compliance with the QSR and have addressed the observations identified in the Form-483, there is no guarantee that subsequent inspections of our facility by the FDA or other regulatory authorities will not result in similar observations with respect to our quality system, which could adversely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 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For example, in May 2022, the FDA published a Letter to Healthcare Providers entitled "Potential Risk of Exposure to Toxic Compounds When Using Certain Hemodialysis Machines Manufactured by Fresenius Medical Care – Letter to Health Care Providers." In that communication, the agency stated that it is evaluating the potential risk of exposure to NDL PCBA and NDL PCBs with certain hemodialysis machines marketed in the United States. The FDA stated that the source of the NDL PCBAs and NDL PCBs is from the silicone tubing used as a part of the hydraulics in those machines and the dialysate lines. Although Tablo was not the subject of the FDA’s Letter to Healthcare Providers, the FDA reached out to Outset regarding the tubing used in Tablo. In a series of discussions with the FDA, the agency requested that we conduct a targeted analysis and a screening analysis on the tubing currently used in Tablo. After aligning with the FDA on testing and screening protocols, we are concluding our analysis of the data. In parallel, we filed a 510(k) application, and received subsequent 510(k) clearance from the FDA for, PCB-free silicone tubing in December 2023. During the first quarter of 2024, we intend to proactively initiate a workstream to replace the remaining few silicone segments in new and existing Tablo consoles with the new, PCB-free, silicone tubing. While we intend to continue to partner with the FDA on next steps and take appropriate action with respect to this matter, there is no assurance that the FDA will not publish a safety notice specific to Tablo, classify this action as a recall, require us to conduct a recall of previously marketed products, or subject us to other enforcement actions, any of which could damage our reputation and harm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Manufacturers are also expected to maintain certain policies, procedures, and records regarding complaints and medical device reporting. If we fail to comply with our reporting and recordkeeping obligations, the FDA could take action, including warning letters, untitled letters, it has come to our attention letters, administrative actions, criminal prosecution, imposition of civil monetary penalties, revocation of our device clearance or approval, seizure of our products or delay in clearance or approval of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For example, in January 2022 we proactively initiated a recall to replace a component in Tablo consoles at customer sites due to the possibility of heat-related damage to the device as a result of the component.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products, such as Tablo, may in the future be subject to product recalls that could harm our reputation, business and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regulatory or enforcement actions if we engage in improper marketing or promotion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Tablo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any of which could have an adverse impact on our reputation and financial results. For example, one of the observations raised in the Warning Letter we received in July 2023 asserted that certain content reviewed by the FDA and found on our website promotes CRRT, a modality outside of the current indications for Tablo. We believe this concern has been effectively addressed through a thorough review of existing promotional materials and practices, however, there is no guarantee that the FDA will not issue similar warning letters to us or subject us to other regulatory or enforcement actions for marketing or promotion of Tablo that the agency deems improper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Tablo, the FDA or another regulatory agency could disagree and conclude that we have engaged in off-label promotion. It is also possible that other federal, state or foreign enforcement authorities might take action, including, but not limited to, through a whistleblower action under the FCA, if they consider our business activities to constitute promotion of an off-label use, which could result in significant penalties, including, but not limited to, criminal, civil or administrative penalties, treble damages, fines, disgorgement, exclusion from participation in government healthcare programs, reporting requirements and compliance oversight if we become subject to a corporate integrity agreement or similar agreement to resolve allegations of non-compliance with these laws, and the curtailment or restructuring of our operations. In addition, the off-label use of Tablo may increase the risk of product liability claims. Product liability claims are expensive to defend and could divert our management’s attention, result in substantial damage awards against us, and harm our reputation. </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Legislative or regulatory reforms may make it more difficult and costly for us to obtain regulatory clearance or approval of any future products or product enhancements and to manufacture, market and distribute our products after clearance or approval is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or product enhancements. It is impossible to predict whether legislative changes will be enacted or FDA regulations, guidance or interpretations changed, and what the impact of such changes, if any, may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promulgated that could prevent, limit or delay regulatory clearance or approval of our product candidates or enhancements. We cannot predict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likelihood, nature or extent of government regulation that may arise from future legislation or administrative action, either in the United States or abroad.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products or product enhancements could make it more difficult and costly to obtain clearance or approval for new products or to produce, market and distribute existing products. Significant delays in receiving clearance or approval or the failure to receive clearance or approval for any new products or enhancements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medical device cybersecurity continues to be an area of focus for and evolving guidance from the FDA. Specifically, the FDA recently finalized new cybersecurity guidance for medical device manufacturers, which we anticipate may necessitate additional time and cost for product development, submission and approval or clearance.</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Initiating and completing clinical trials necessary to support any future PMAs,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submit an IDE application to the FDA, which must become effective prior to commencing certain human clinical trials of medical devices, and the FDA may reject our IDE application and notify us that we may not begin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and other comparable foreign regulatory authorities may disagree as to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and/or an IRB, or other reviewing bodies may not authorize us or our investigators to commence a clinical trial, or to conduct or continue a clinical trial at a prospective or specific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reach agreement on acceptable terms with prospective contract research organizations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may produce negative or inconclusive results, and we may decide, or regulators may require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might have to suspend or terminate clinical trials for various reasons, including the withdrawal of approval of an IDE by the FDA based on, for example, a finding that the subjects are being exposed to unacceptable health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and/or regulatory authorities for re-examination;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IRBs, or other parties may require or recommend that we or our investigators suspend or terminate clinical research for various reasons, including safety signals or noncompliance with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may not adhere to the clinical protocol or may drop out of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recruit a sufficient number of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policies or regulations of the FDA or applicable foreign regulatory agencies may change in a manner rendering our clinical data insufficient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of regional or global public health crises such as the recent COVID-19 pandemic could adversely affect any clinical trials we are conducting or plan to conduct, including delays or difficulties in enrolling or onboarding patients, initiating clinical sites, or obtaining the requisite regulatory approvals, interruption of key clinical trial activities, or supply chain disruptions that delay or make it more difficult or costly to obtain the supplies and materials we need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applicable laws and regulations of the FDA and other regulatory authorities’ applicable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third parties on which we rely to conduct our clinical trials and to assist us with pre-clinical development do not perform as required or expected, we may not be able to obtain regulatory clearance or approval for or commercialize our products.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the ability to independently conduct our pre-clinical and clinical trials for our future products and we may need to rely on third parties, such as CROs, medical institutions, clinical investigators and contract laboratories to conduct such trials. We would depend on our collaborators and on medical institutions and CROs to conduct our clinical trials in compliance with GCP requirements, and other regulatory requirements.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our clinical trials may not support our product candidate claims or may result in the discovery of adverse side effects.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product applications to be reviewed and/or approved by necessary government agencies, which would adversely affect our business. For example, the U.S. government could shut down causing certain regulatory agencies, including the FDA, to furlough critical employees and stop critical activities. Separately, in response to the COVID-19 pandemic, the FDA postponed most inspections of foreign and domestic manufacturing facilities. Although inspections have resumed to near pre-pandemic levels, the FDA could amend its priorities with respect to inspections at any time, and those changes could have a material effect on our regulatory submissions and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use, disclosure, and other processing of personally identifiable information, including health information, is subject to HIPAA and other federal, state, and data privacy and security regulations, and our failure to comply with those regulations or to adequately secure the information we hold could result in significant liability or reputational harm and, in turn, a material adverse effect on our client base, member base and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PHI (as defined in HIPAA) by health plans, healthcare clearinghouses and certain healthcare providers, referred to as covered entities, and the business associates with whom such covered entities contract to provide specified services or perform a function for or on behalf of such covered entities. We are a business associate under HIPAA, and it is our policy to execute business associate agreements with our clients and our sub-business associates.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requires covered entities and business associates, such as us, to develop and maintain policies with respect to the protection, use and disclosure of electronic PHI, including the adoption of administrative, physical and technical safeguards to protect such information, and imposes certain notification and reporting requirements in the event of a data breach.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Violations of HIPAA may result in significant civil and criminal penalties. HIPAA also authorizes state attorneys general to file suits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HIPAA mandates that the Secretary of HHS conduct periodic compliance audits of HIPAA covered entities and business associates. With regard to business associates, those audits assess the business associate’s compliance with the HIPAA Privacy and Security Rules. Such audits are conducted randomly and after an entity experiences a breach affecting more than 500 individuals’ data. Undergoing an audit can be costly, can result in fines or onerous obligations, and can damage a business associate’s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on December 10, 2020, OCR issued a proposed rule aimed at reducing regulatory burdens that may exist in discouraging coordination of care, including creating an exception to the minimum necessary standard for healthcare coordination, among other changes. While a final rule has not yet been issued, if adopted, these proposed changes may require us to update our HIPAA policies and procedures to comply with the new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HIPAA, numerous other federal and state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changed or differing interpretations, and we expect new laws, rules and regulations regarding privacy, data protection, and information security to be proposed and enacted in the future. Although these other laws include limited exceptions, including for PHI maintained by a covered entity or business associate, they may regulate or impact our processing of personal information depending on the context and increase our compliance costs and potential liability. Additionally, our machine learning and data analytics offerings may be subject to laws and evolving regulations regarding the use of artificial intelligence, controlling for data bias, and antidiscrimination.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complex, dynamic legal landscape regarding privacy, data protection, data analytics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collaborators, independent contractors and consultants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requirements, including those laws requiring the reporting of true, complete and accurate information to the FDA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healthcare fraud and abuse laws and regulations;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true, complete and accurate reporting of financial information or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commissions,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disqualification from clinical trials, or exclusion by OIG could result in penalties, a loss of business from third parties, and severe reputational harm.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reporting requirements and compliance oversight if we become subject to a corporate integrity agreement or similar agreement to resolve allegations of non-compliance with these laws, and curtailment of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must comply with environmental and occupational safety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 and may accordingly adversely affect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to protect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in our ability to obtain and maintain patent and other intellectual property protection in the United States and other countries with respect to our technology. We rely on patent protection, as well as a combination of copyright, trade secret and trademark laws, to protect our proprietary technology and prevent others from duplicating Tablo. However, these means may afford only limited protection and may not prevent our competitors from duplicating Tablo, prevent our competitors from gaining access to our proprietary information and technology, or permit us to gain or maintain a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patents, including those we may license, may be challenged, invalidated, rendered unenforceable or circumvented. We may not prevail if our patents are challenged by competitors or other third parties. The U.S. federal courts or equivalent national courts or patent offices elsewhere may invalidate our patents, find them unenforceable, or narrow their scope. Furthermore, competitors may be able to design around our patents, or obtain patent protection for more effective technologies, designs or methods for treating kidney failure. If these developments were to occur, Tablo may become less competitive and sales of Tablo may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scope of a patent may also be reinterpreted after issuance. The rights that may be granted under our future issued patents may not provide us with the proprietary protection or competitive advantages we are seeking. If we are unable to obtain and maintain patent protection for our technology, or if the scope of the patent protection obtained is not sufficient, our competitors could develop and commercialize products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while software and other of our proprietary works may be protected under copyright law, we have chosen not to register any copyrights in these works, and instead, primarily rely on protecting our software with patents and as a trade secret. In order to bring a copyright infringement lawsuit in the United States, the copyright must be registered. Accordingly, the remedies and damages available to us for unauthorized use of our software may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Tablo.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Tablo.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Tablo.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Tablo.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 protection for Tablo,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to the rights in related or resulting know-how and inventions, which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Tablo, if such technologies or features are found to incorporate or be derived from the trade secrets or other proprietary information of the former employers.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incorporate technologies or features that are important or essential to our product could have a material adverse effect on our business, financial condition and results of operations, and may prevent us from selling Tablo.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existing and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tradenames are not adequately protected, then we may not be able to build name recognition in our markets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declared generic or determined to be violating or infringing on other marks. We may not be able to protect our rights to these trademarks and trade names, which we need to build name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we may be required to enforce patents issued or licensed to us, to protect our trade secrets or know-how, to defend against claims of infringement of the rights of others or to determine the scope and validity of the proprietary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use of “open source” software could subject our proprietary software to general release, adversely affect our ability to sell Tablo and subject us to possible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the products or technologies licensed, developed and/or distributed by us incorporate so-called “open source” software and we may incorporate open-source software into other products in the future. Such open-source software is generally licensed by its authors or other third parties under open-source licenses. Some open-source licenses contain requirements that we disclose source code for modifications we make to the open-source software and that we license such modifications to third parties at no cost. In some circumstances, distribution of our software in connection with open-source software could require that we disclose and license some or all of our proprietary code in that software, as well as distribute our software that uses particular open-source software at no cost to the user. We monitor our use of open-source software in an effort to avoid uses in a manner that would require us to disclose or grant licenses under our proprietary source code; however, there can be no assurance that such efforts will be successful. Open-source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Tablo and our technologies.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Tablo. In addition, if we combine our proprietary software with open-source software in certain ways, under some open-source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Tablo or utilize similar technology but that are not covered by the claims of our patents or that incorporate certain technology in Tablo that is in the public domain;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licensors or collaborators, might not have been the first to make the inventions covered by the applicable issued patent or pending patent application that we own now or may own or license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could have a material adverse effect on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attempt to commercialize competitive products or services in foreign countries where we do not have any patents or patent applications and/or where legal recourse may be limited. This may have a significant commercial impact on any foreign business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Tablo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Tablo,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may continue to be volatile and may decline steeply or suddenly regardless of our operating performance, which could result in substantial losses for holders of our common stock, and we may not be able to meet investor or analyst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been and may continue to be highly volatile and may continue to fluctuate or decline significantly in response to numerous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operating results, and variations between our actual operating results and the expectations of securities analysts, investors and the financial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forward-looking financial or operating information we may provide to the public or securities analysts, any changes in this information or our failure to meet expectations based on this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of securities analysts who initiate or maintain coverage of us, changes in financial estimates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shares of our common stock being sold into the market by us or our existing stockholders, or the anticipation of such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hedging activities by market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 or announcements by us in relation to such regulatory actions (for example, the Warning Letter we received in July 2023 and our subsequent pause on the distribution of TabloCart with Prefiltration);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products or features, technical innovations,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operating performance and stock market valuations of companies in our industry, including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price and volume fluctuations in the overall stock market, including as a result of trends in the economy as a whole;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lawsuits threatened or filed against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in new legislation and pending lawsuits or regulatory actions, including interim or final rulings by judicial or regulatory bodies;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war or incidents of terrorism, or responses to these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developments in the healthcare marketplace related to new or innovative technologies, drugs and other treatments have the potential to impact the rate of growth of the ESRD patient population or otherwise reduce demand for dialysis treatments, and uncertainty surrounding the development of such new technologies, drugs and other treatments may drive volatility in our stock price. For example, in October 2023, a pharmaceutical manufacturer announced the early termination of its study, which sought to demonstrate the effectiveness of its GLP-1 receptor agonist indicated for type 2 diabetes in delaying the progression of CKD and lowering the risk of cardiovascular mortality, as a result of the study having met certain endpoints. This development generated uncertainty in the marketplace with respect to the potential impact of these or other similar classes of drugs or new classes of drugs or treatments on the rate of growth of the ESRD patient population. The release of further information on GLP-1 receptor agonists and their potential application to kidney care, or the release of other information regarding current or future new or innovative technologies, drugs and other treatments may continue to drive volatility in our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the SLR Credit Facility Agreements restrict our ability to pay dividends to limited circumstances. Accordingly, investors must rely on sales of their common stock after price appreciation, which may never occur, as the only way to realize any future gains on their investments.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are able to exercise significant influence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available information, we believe that, as of December 31, 2023, our executive officers, directors and 5% stockholders beneficially owned approximately 59% of the outstanding shares of capital stock. In addition, as of December 31, 2023, our executive officers and directors held options to purchase an aggregate of 1,470,776 shares of our common stock at a weighted-average exercise price of $12.41 per share, and 1,049,341 restricted stock units, which would give our officers and directors ownership of approximately 6% of our outstanding common stock as of December 31, 2023 if such awards were fully vested and exercised or settled in full (assuming over-achievement of any performance conditions). Therefore, these stockholders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securities issuances could result in significant dilution to our stockholders and impair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could make a merger, tender offer or proxy contest difficult, thereby depressing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of directors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the board of directors to establish the number of directors and fill any vacancies and newly-created directorships;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by the affirmative vote of the holders of at least a majority of the voting power of all then outstanding shares of our capital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voting to amend some provisions in our amended and restated certificate of incorporation and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of directors could use to implement a stockholder rights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the board of directors is expressly authorized to make, alter or repeal our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 the forum for certain litigation against us to Delaware;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any such claims may be based upon federal law claims, Section 27 of the Exchange Act creates exclusive federal jurisdiction over all suits brought to enforce any duty or liability created by the Exchange Act or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any of our securities shall be deemed to have notice of and consented to this provision. 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harm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economic and financial market conditions may exacerbate our business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macroeconomic conditions and the world’s financial markets remain susceptible to significant stresses, including global geopolitical instability (such as the current conflict between Russia and Ukraine and related economic and other retaliatory measures taken by the United States, European Union and others or the ongoing conflict between Israel and Hamas and in the Red Sea as well as the potential escalation or geographic expansion of such conflicts), pandemics (such as the recent COVID-19 pandemic), inflationary pressures (such as current inflation related to global supply chain disruptions), extreme weather conditions and natural disasters, market declines and uncertainty, fluctuating interest and foreign currency rates and credit availability, government austerity measures, fluctuating fuel and other energy costs, fluctuating commodity prices, and general uncertainty regarding the overall future economic environment. The ultimate impact of these conflicts on fuel prices, inflation, volatility of global financial markets, the global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supply chain and other macroeconomic conditions is unknown and could materially adversely affect the availability and cost of materials, access to capital, global economic growth, consumer confidence and demand for our products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may respond to such economic pressures by reducing or deferring their capital spending or reducing staff. Furthermore, unfavorable changes in foreign exchange rates versus USD could increase our product and labor costs, thus reducing our gross profit.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highly dependent on our senior management team and key personnel, and our business could be harmed if we are unable to attract and retain personnel necessary for our success in a cost-effective manner.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senior management, including our chief executive officer, Leslie Trigg, and other key personnel. Our success will depend on our ability to retain senior management and to attract and retain qualified personnel in the future,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or if we are unable to do so in a cost-effective manner, it would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for skilled personnel in our market is intense and has recently intensified further due to industry trends in many areas where our employees are located. Further, the increased availability of hybrid or remote working arrangements has expanded the pool of companies that can compete for our employees and employment candidates. Such competition may limit our ability to hire and retain highly qualified personnel on acceptable terms, or at all. We may experience higher compensation costs to retain senior management and experienced personnel that may not be offset by improved productivity. Moreover, the restructuring of our organization which we substantially completed in the fourth quarter of 2023, and any future restructurings intended to improve operational efficiencies and operating expenses, may adversely affect our ability to attract and retain employees.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continue to incur costs and demands upon management as a result of complying with the laws and regulations affecting public companies in the United States, which may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substantial legal, accounting and other expenses as a result of operating as a public company.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comply with applicable rules and regulations may make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w:t>
        <w:b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“large accelerated filer” under the Exchange Act, which requires us to comply with the requirements of Section 404 of the Sarbanes-Oxley Act. Section 404 of the Sarbanes-Oxley Act requires that we maintain effective internal control over financial reporting and disclosure controls and procedures. In particular, we must perform system and process evaluations, document our controls 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 will continue. We may hire additional accounting and financial staff with appropriate public company experience and technical accounting knowledge, or incur expense associated with consultants,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corporate culture has contributed to our success, and if we cannot maintain this culture as we grow, we could lose the innovation, creativity and teamwork fostered by our culture and our business may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culture has been and will continue to be a critical contributor to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acquire other businesses which could require significant management attention, disrupt our business, dilute stockholder value and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in the future make acquisitions or investments in complementary companies, products or technologies that we believe fit within our business model and can address the needs of our customers and potential customers. In the future,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joint venture or acquisition may not materialize, or such strategic alliance, joint venture or acquisition may be prohibited. In November 2022, we entered into the SLR Credit Facility Agreements which also restrict our ability to pursue certain acquisitions, mergers,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anti-corruption, anti-bribery, anti-money laundering and similar laws, we could suffer severe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U.S. Foreign Corrupt Practices Act which generally prohibits U.S. companies from engaging in bribery or other prohibited payments to foreign officials for the purpose of obtaining or retaining business and requires companies to maintain accurate books and records and internal controls, including at foreign controlled subsidiaries. We are also subject to requirements under the U.S. Treasury Department’s Office of Foreign Assets Control, U.S.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estimates or judgments relating to our accounting policies prove to be incorrect, our results of operations could be adversely affected.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the United States generally accepted accounting principles (U.S. GAAP) and our key metrics require management to make estimates and assumptions that affect the amounts reported in the financial statements and accompanying notes and amounts reported in our key metrics.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financial statements include those related to allowance for credit losses, assessment of the useful life and recoverability of long-lived assets, warranty obligations, fair values of stock-based awards, warrants, contingent consideration,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Expectations relating to ESG factors may impose additional costs and expose us to new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increasing focus from certain investors, customers and other stakeholders on ESG factors, including greenhouse gas emissions and climate-related risks; diversity, equity, and inclusion; responsible sourcing and supply chain; human rights and social responsibility; and corporate governance and oversight. Some investors may use ESG factors to guide their investment strategies and, in some cases, may choose not to invest in us if they believe our policies and actions relating to ESG matters are inadequate. Third party providers of ESG ratings and reports on companies have increased in number to meet growing investor demand for measurement of ESG performance, resulting in varied and in some cases inconsistent standards. In addition, the criteria by which companies’ ESG practices are assessed are evolving, which could result in greater expectations of us and cause us to undertake costly initiatives to satisfy such new criteria. Alternatively, if we elect not to or are unable to satisfy such new criteria, some investors may conclude that our policies with respect ESG matters are inadequate. We may face reputational damages in the event that our ESG procedures or standards do not meet the standards set by various constituencies. Furthermore, if our competitors’ ESG performance is perceived to be better than ours, potential or current investors may elect to invest with our competitors instead.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increased public awareness and concern regarding ESG factors may result in new or enhanced legal requirements. For example, new regulations relating to ESG matters, including human capital, diversity, sustainability, climate change and cybersecurity, are under consideration or being adopted. Such regulations may impose additional reporting obligations and increase our compliance costs. In addition, climate change initiatives and legislation could also disrupt our operations by impacting the availability and cost of materials within our supply chain, and could also increase our operating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from time to time, we communicate certain initiatives and goals related to ESG matters. For example, in June 2023, we published our second full ESG Report, including updates on our ESG programs, priorities, initiatives, goals and performance.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If we fail to satisfy the ESG-related expectations of investors, customers and other stakeholders or our initiatives or goals are not executed or achieved as planned, our reputation and financial results could be materially and adversely affected. </w:t>
      </w:r>
    </w:p>
    <w:p>
      <w:pPr>
        <w:pStyle w:val="TextBody"/>
        <w:bidi w:val="0"/>
        <w:spacing w:before="240" w:after="283"/>
        <w:jc w:val="left"/>
        <w:rPr>
          <w:rFonts w:ascii="Times New Roman" w:hAnsi="Times New Roman"/>
          <w:sz w:val="20"/>
        </w:rPr>
      </w:pPr>
      <w:bookmarkStart w:id="4" w:name="item_1b_unresolved_staff_comments"/>
      <w:bookmarkEnd w:id="4"/>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120"/>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Outset, we strive to protect the confidentiality, integrity and availability of the personal data entrusted to us. We continue to invest in our cybersecurity program in an effort to enhance our ability to prevent, detect, contain, and mitigate cybersecurity threats.</w:t>
      </w:r>
    </w:p>
    <w:p>
      <w:pPr>
        <w:pStyle w:val="TextBody"/>
        <w:bidi w:val="0"/>
        <w:spacing w:before="240" w:after="283"/>
        <w:jc w:val="left"/>
        <w:rPr>
          <w:rFonts w:ascii="Times New Roman" w:hAnsi="Times New Roman"/>
          <w:sz w:val="20"/>
        </w:rPr>
      </w:pPr>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Oversight of our information security program, including oversight of risks related to cybersecurity threats and the assessment and management of such risks, is accomplished through a governance structure which includes our Board, Audit Committee, and executive management.</w:t>
      </w:r>
    </w:p>
    <w:tbl>
      <w:tblPr>
        <w:tblW w:w="10205" w:type="dxa"/>
        <w:jc w:val="left"/>
        <w:tblInd w:w="0" w:type="dxa"/>
        <w:tblLayout w:type="fixed"/>
        <w:tblCellMar>
          <w:top w:w="28" w:type="dxa"/>
          <w:left w:w="28" w:type="dxa"/>
          <w:bottom w:w="28" w:type="dxa"/>
          <w:right w:w="28" w:type="dxa"/>
        </w:tblCellMar>
      </w:tblPr>
      <w:tblGrid>
        <w:gridCol w:w="5032"/>
        <w:gridCol w:w="5173"/>
      </w:tblGrid>
      <w:tr>
        <w:trPr/>
        <w:tc>
          <w:tcPr>
            <w:tcW w:w="5032" w:type="dxa"/>
            <w:tcBorders/>
            <w:vAlign w:val="center"/>
          </w:tcPr>
          <w:p>
            <w:pPr>
              <w:pStyle w:val="TableContents"/>
              <w:bidi w:val="0"/>
              <w:spacing w:before="0" w:after="283"/>
              <w:jc w:val="left"/>
              <w:rPr>
                <w:sz w:val="4"/>
                <w:szCs w:val="4"/>
              </w:rPr>
            </w:pPr>
            <w:r>
              <w:rPr>
                <w:sz w:val="4"/>
                <w:szCs w:val="4"/>
              </w:rPr>
            </w:r>
          </w:p>
        </w:tc>
        <w:tc>
          <w:tcPr>
            <w:tcW w:w="517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AND COMMITTEE OVERSIGHT</w:t>
            </w:r>
          </w:p>
        </w:tc>
      </w:tr>
      <w:tr>
        <w:trPr/>
        <w:tc>
          <w:tcPr>
            <w:tcW w:w="503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BOARD: </w:t>
            </w:r>
            <w:r>
              <w:rPr>
                <w:rFonts w:ascii="Times New Roman" w:hAnsi="Times New Roman"/>
                <w:color w:val="000000"/>
                <w:sz w:val="20"/>
              </w:rPr>
              <w:t xml:space="preserve">One of the key functions of our Board is informed oversight of our risk management process. Our Board focuses on the overall risks affecting us and delegates responsibility for oversight of certain specific risks to its standing committees. For significant risks related to cybersecurity, the Board has delegated oversight responsibility to the Audit Committee. </w:t>
            </w:r>
          </w:p>
        </w:tc>
        <w:tc>
          <w:tcPr>
            <w:tcW w:w="51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full Board and Audit Committee are kept informed about significant risks related to cybersecurity, including enterprise-level risks from cybersecurity threats. The Board receives written updates, generally on a quarterly basis, regarding the status of our information security program. In addition, the Audit Committee receives in-person updates on our information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6"/>
        <w:gridCol w:w="7539"/>
      </w:tblGrid>
      <w:tr>
        <w:trPr/>
        <w:tc>
          <w:tcPr>
            <w:tcW w:w="2666" w:type="dxa"/>
            <w:tcBorders/>
            <w:vAlign w:val="center"/>
          </w:tcPr>
          <w:p>
            <w:pPr>
              <w:pStyle w:val="TableContents"/>
              <w:bidi w:val="0"/>
              <w:spacing w:before="0" w:after="283"/>
              <w:jc w:val="left"/>
              <w:rPr>
                <w:sz w:val="4"/>
                <w:szCs w:val="4"/>
              </w:rPr>
            </w:pPr>
            <w:r>
              <w:rPr>
                <w:sz w:val="4"/>
                <w:szCs w:val="4"/>
              </w:rPr>
            </w:r>
          </w:p>
        </w:tc>
        <w:tc>
          <w:tcPr>
            <w:tcW w:w="7539" w:type="dxa"/>
            <w:tcBorders/>
            <w:vAlign w:val="center"/>
          </w:tcPr>
          <w:p>
            <w:pPr>
              <w:pStyle w:val="TableContents"/>
              <w:bidi w:val="0"/>
              <w:spacing w:before="0" w:after="283"/>
              <w:jc w:val="left"/>
              <w:rPr>
                <w:sz w:val="4"/>
                <w:szCs w:val="4"/>
              </w:rPr>
            </w:pPr>
            <w:r>
              <w:rPr>
                <w:sz w:val="4"/>
                <w:szCs w:val="4"/>
              </w:rPr>
            </w:r>
          </w:p>
        </w:tc>
      </w:tr>
      <w:tr>
        <w:trPr/>
        <w:tc>
          <w:tcPr>
            <w:tcW w:w="266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pPr>
            <w:r>
              <w:rPr/>
              <w:t> </w:t>
            </w:r>
          </w:p>
        </w:tc>
        <w:tc>
          <w:tcPr>
            <w:tcW w:w="7539" w:type="dxa"/>
            <w:vMerge w:val="restart"/>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security programs on at least an annual basis. These updates generally cover topics such as our cybersecurity strategy, the threat landscape, key cybersecurity risk areas facing the organization, any key findings of audits and testing, the status of key initiatives, as well as a review of any major incidents. </w:t>
            </w:r>
          </w:p>
        </w:tc>
      </w:tr>
      <w:tr>
        <w:trPr/>
        <w:tc>
          <w:tcPr>
            <w:tcW w:w="26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AUDIT COMMITTEE: </w:t>
            </w:r>
            <w:r>
              <w:rPr>
                <w:rFonts w:ascii="Times New Roman" w:hAnsi="Times New Roman"/>
                <w:color w:val="000000"/>
                <w:sz w:val="20"/>
              </w:rPr>
              <w:t>Our Audit Committee is responsible for overseeing our major financial, legal, and regulatory risk exposures, which span a variety of areas, including cybersecurity.</w:t>
            </w:r>
          </w:p>
        </w:tc>
        <w:tc>
          <w:tcPr>
            <w:tcW w:w="7539" w:type="dxa"/>
            <w:vMerge w:val="continue"/>
            <w:tcBorders>
              <w:top w:val="single" w:sz="4" w:space="0" w:color="000000"/>
              <w:bottom w:val="single" w:sz="4" w:space="0" w:color="000000"/>
              <w:right w:val="single" w:sz="4" w:space="0" w:color="000000"/>
            </w:tcBorders>
            <w:tcMar>
              <w:left w:w="0" w:type="dxa"/>
              <w:right w:w="115" w:type="dxa"/>
            </w:tcMar>
            <w:vAlign w:val="center"/>
          </w:tcPr>
          <w:p>
            <w:pPr>
              <w:pStyle w:val="Normal"/>
              <w:bidi w:val="0"/>
              <w:jc w:val="left"/>
              <w:rPr/>
            </w:pPr>
            <w:r>
              <w:rPr/>
            </w:r>
          </w:p>
        </w:tc>
      </w:tr>
      <w:tr>
        <w:trPr/>
        <w:tc>
          <w:tcPr>
            <w:tcW w:w="10205" w:type="dxa"/>
            <w:gridSpan w:val="2"/>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MANAGEMENT</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management plays a significant role in assessing and managing material risks from cybersecurity threats. Our Chief Technology Officer manages our information security program.</w:t>
            </w:r>
          </w:p>
        </w:tc>
      </w:tr>
      <w:tr>
        <w:trPr/>
        <w:tc>
          <w:tcPr>
            <w:tcW w:w="26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Executive leadership</w:t>
            </w:r>
          </w:p>
        </w:tc>
        <w:tc>
          <w:tcPr>
            <w:tcW w:w="75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Our Chief Technology Officer and the information security team periodically present information about the Company’s information security program, including program goals and actions, progress against key initiatives and key risks, to our executive leadership team. As described above, significant risks related to cybersecurity are escalated to the Audit Committee and/or the full Board as appropriate. </w:t>
            </w:r>
          </w:p>
        </w:tc>
      </w:tr>
      <w:tr>
        <w:trPr/>
        <w:tc>
          <w:tcPr>
            <w:tcW w:w="26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Cross-functional management engagement</w:t>
            </w:r>
          </w:p>
        </w:tc>
        <w:tc>
          <w:tcPr>
            <w:tcW w:w="75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 have established a committee comprised of leaders from key functions across the Company including, but not limited to, information security, IT, engineering, legal, regulatory, medical affairs, finance, research and development, operations, supply chain, marketing and people operations. This committee generally meets quarterly and is responsible for promoting a culture of awareness and accountability related to, among other things, information security. The committee also provides cross-functional input to facilitate the development, articulation, implementation and operation of information security risk management programs. </w:t>
            </w:r>
          </w:p>
        </w:tc>
      </w:tr>
      <w:tr>
        <w:trPr/>
        <w:tc>
          <w:tcPr>
            <w:tcW w:w="266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Governance of information security risks</w:t>
            </w:r>
          </w:p>
        </w:tc>
        <w:tc>
          <w:tcPr>
            <w:tcW w:w="75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also established a risk governance committee, which generally meets on a monthly basis. This committee, which is sponsored by the Chief Technology Officer, is comprised of Company associates from information security, information technology (IT), engineering, and other functions, who have experience in managing cybersecurity risks, who review the cybersecurity threat landscape, and who evaluate key emerging data security risks. The committee reviews certain cybersecurity-related risks facing the company; discusses open policy exceptions and key risk indicators; and manages cybersecurity risks presented by the information security team and proposed mitigation actions. Members of this committee review the key risks identified as an outcome of our cybersecurity risk management strategy described below.</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management program is designed to identify, assess, and manage reasonably foreseeable material risks facing Outset from cybersecurity threats. We identify cybersecurity risks in various ways, including but not limited to the ongoing monitoring of our systems using various technologies and processes, monitoring of emerging threats, third-party penetration testing of our device and systems, vulnerability scanning and assessments, and cross-functional risk discussions. We have also received Systems and Organizations Controls 2 (SOC 2) certification for Tablo cloud. We have developed processes to help us track, prioritize, and manage identified cybersecurity risks. For example, risks are defined, categorized, and assigned a risk rating based on potential impact and likelihood, which informs acceptance, mitigation or remediation actions which should be undertaken. The Risk Governance Committee reviews key identified risks and discusses related mitigation actions in response to such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operationalized key processes to help us identify, assess, manage, and mitigate reasonably foreseeable risks from potential cybersecurity threats. For example: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USE OF THIRD PARTIES: </w:t>
      </w:r>
      <w:r>
        <w:rPr>
          <w:rFonts w:ascii="Times New Roman" w:hAnsi="Times New Roman"/>
          <w:color w:val="000000"/>
          <w:sz w:val="20"/>
        </w:rPr>
        <w:t xml:space="preserve">We engage third-party cybersecurity consulting firms to assist us with various aspects of our cybersecurity risk management program. For example, we currently consult with third party firms to assist with our annual penetration testing for the Tablo device, Tablo cloud and IT infrastructure. In addition, In addition, we used a third-party audit firm accredited by the American Institute of Certified Public Accountants (AICPA) to support us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SOC 2 certification process for Tablo cloud. We also used a third-party firm to assist us with the National Institute of Standards and Technology (NIST) Federal Information Processing Standards (FIPS) 140-3 certification we are pursuing.</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VENDOR ASSESSMENT: </w:t>
      </w:r>
      <w:r>
        <w:rPr>
          <w:rFonts w:ascii="Times New Roman" w:hAnsi="Times New Roman"/>
          <w:color w:val="000000"/>
          <w:sz w:val="20"/>
        </w:rPr>
        <w:t xml:space="preserve">We leverage a third-party risk assessment tool to help us identify cybersecurity related risks associated with our use of certain third-party service providers.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INCIDENT PREPAREDNESS AND RESPONSE: </w:t>
      </w:r>
      <w:r>
        <w:rPr>
          <w:rFonts w:ascii="Times New Roman" w:hAnsi="Times New Roman"/>
          <w:color w:val="000000"/>
          <w:sz w:val="20"/>
        </w:rPr>
        <w:t>We maintain a Cybersecurity Incident Response Plan (IRP) which establishes a framework designed to enable us to respond to cybersecurity incidents in a consistent, timely and effective manner. Our IRP outlines procedures for identifying, reporting, investigating, assessing, and responding to cybersecurity incidents, including incident response team formation, roles and responsibilities by department, and communication and escalation protocols. Depending on the severity of the cybersecurity incident, our IRP contemplates escalation to our executive leadership team and the Audit Committee and/or the full Board, as well as periodic briefings on developments related to the incident response. We periodically review and update our IRP and have conducted training of key team members regarding the IRP. In addition, we recently conducted a tabletop exercise to simulate a response to a cybersecurity incident.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SECURITY STANDARDS</w:t>
      </w:r>
      <w:r>
        <w:rPr>
          <w:rFonts w:ascii="Times New Roman" w:hAnsi="Times New Roman"/>
          <w:color w:val="000000"/>
          <w:sz w:val="20"/>
        </w:rPr>
        <w:t>: Our IT and Tablo cloud security architecture are designed to comply with the HIPAA Security Rule. In addition, our Tablo cloud security architecture leverages recognized frameworks designed to protect customer data. For example, we have received SOC 2 certification for Tablo cloud, we are in the process of pursuing NIST FIPS 140-3 certification, and we are working to align our processes, protocols and software with the FDA’s recent cybersecurity guidance finalized in September 2023. We periodically examine our security controls and take steps to review, prioritize and address key compliance gaps where identified, using a risk-based approach.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TECHNICAL SAFEGUARDS</w:t>
      </w:r>
      <w:r>
        <w:rPr>
          <w:rFonts w:ascii="Times New Roman" w:hAnsi="Times New Roman"/>
          <w:color w:val="000000"/>
          <w:sz w:val="20"/>
        </w:rPr>
        <w:t>: We perform information security maturity assessments and penetration testing for the Tablo device and Tablo cloud (including in connection with new product features and services), as well as for our IT infrastructure. We conduct vulnerability scans across key assets, core infrastructure, and endpoints to identify potential vulnerabilities and potential cybersecurity events. We assess and prioritize the remediation of vulnerabilities and other cybersecurity risks identified through these activities, using a risk-based approach.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INSURANCE</w:t>
      </w:r>
      <w:r>
        <w:rPr>
          <w:rFonts w:ascii="Times New Roman" w:hAnsi="Times New Roman"/>
          <w:color w:val="000000"/>
          <w:sz w:val="20"/>
        </w:rPr>
        <w:t>: We maintain information security risk insurance coverage to mitigate potential losses in the event of a business disruption.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TRAINING</w:t>
      </w:r>
      <w:r>
        <w:rPr>
          <w:rFonts w:ascii="Times New Roman" w:hAnsi="Times New Roman"/>
          <w:color w:val="000000"/>
          <w:sz w:val="20"/>
        </w:rPr>
        <w:t>: All Outset employees are assigned HIPAA and information security training as part of the new employee onboarding process and refresher training is assigned annually. Our IT team also conducts continuous automated phishing campaigns, which can trigger additional training for employees on how to recognize social engineering attempts (e.g., phishing, smishing, etc.). We track employee performance on phishing exercises to help us monitor the awareness of our employees and inform future training priorities. For employees whose jobs require access to sensitive data, including PHI, additional security training may be required.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relies on secure and continuous processing of information and the availability of our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IT systems are increasing in their frequency, levels of persistence, sophistication, and intensity, and are being conducted by sophisticated and organized groups and individuals with a wide range of motives and expertise. We may face increased risks from cybersecurity threats due to our reliance on internet technology and the increased frequency of employees working remotely, which may create additional opportunities for cybercriminals to exploit vulnerabilities.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monitor, defend against, and respond to cyber and other security threats to our networks and other information security incidents. Despite our information security efforts, our facilities, systems, servers, platforms and data, as well as those of our third-party cloud and other service providers and Tablo’s two-way wireless communication system, may be vulnerable to privacy and information security incidents and may be breached due to the actions of outside parties, employee error or misconduct, malfeasance, or a combination of these and, as a result, an unauthorized party may obtain access to our data or the personal information maintained by us or on our behalf. These include data breaches, viruses or other malicious code, exploitation of known or unknown vulnerabilities, coordinated attacks, data loss, phishing attacks, ransomware, denial of service attacks, insider threats or other security or IT incidents caused by threat actors, technological vulnerabilities, or human error. Additionally, outside parties may attempt to fraudulently induce employees to disclose sensitive information to gain access to the data and personal information we maintain. As of the date of this Annual Report, we are not aware of any material adverse impact to our business or operations from cybersecurity threats or incidents. We do, however, recognize that the cybersecurity landscape evolves rapidly and that we are not immune to such incidents. If we, or any of our third-party service providers, fail to comply with laws requiring the protection of sensitive personal information, or fail to safeguard and defend personal information or other critical data assets or IT systems, or if our incident response,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containment or mitigation measures are inadequate in the face of a particular data security incident, we may face significant business interruptions, incur reputational damage, and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manufacturing operations at our Mexico-based facility may also suffer disruptions from cybersecurity attacks, which could negatively impact our ability to produce Tablo consoles and cartridges, restrict or delay our ability to deliver products to our customers and meet our customers’ demand on a timely basis, and result in customer dissatisfaction, all of which would adversely impact our results of operations. Moreover, we use Amazon Web Services to support Tablo’s cloud connectivity and any disruption of service as a result of cybersecurity attacks could interrupt or delay our ability to receive and deliver certain treatment and reporting information from and to providers and patients. The continuing and uninterrupted performance of Tablo is critical to our success and any repeated or prolonged system failures may damage our reputation, reduce the attractiveness of Tablo to providers and patients, and result in decreased demand for Tablo, thereby adversely affecting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on the risks we face from cybersecurity threats and the potential impacts on our company, see the section above entitled “Risk Factors” under Part I, Item 1A, including the risk factor entitled “We may face additional costs, loss of revenue, significant liabilities, harm to our brand, decreased use of our platform and business disruption if there are any security or data privacy breaches or other unauthorized or improper access.”</w:t>
      </w:r>
    </w:p>
    <w:p>
      <w:pPr>
        <w:pStyle w:val="TextBody"/>
        <w:bidi w:val="0"/>
        <w:spacing w:before="240" w:after="283"/>
        <w:jc w:val="left"/>
        <w:rPr>
          <w:rFonts w:ascii="Times New Roman" w:hAnsi="Times New Roman"/>
          <w:sz w:val="20"/>
        </w:rPr>
      </w:pPr>
      <w:bookmarkStart w:id="6" w:name="item_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lease 40,413 square feet of office space for our corporate headquarters located in San Jose, California under a lease agreement that terminates in 2027. This facility supports research and development and general and administrative activities. In Tijuana, Mexico, we also lease 87,187 square feet of space for our manufacturing facility under a lease agreement that will expire in 2026 and 7,739 square feet of office space for certain research and development and general and administrative activities under a lease agreement that will expire in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these facilities are suitable and sufficient to meet our current and anticipated needs in the near term and that additional space can be obtained on commercially reasonable terms as needed.</w:t>
      </w:r>
    </w:p>
    <w:p>
      <w:pPr>
        <w:pStyle w:val="TextBody"/>
        <w:bidi w:val="0"/>
        <w:spacing w:before="240" w:after="283"/>
        <w:jc w:val="left"/>
        <w:rPr>
          <w:rFonts w:ascii="Times New Roman" w:hAnsi="Times New Roman"/>
          <w:sz w:val="20"/>
        </w:rPr>
      </w:pPr>
      <w:bookmarkStart w:id="7" w:name="item_3_legal_proceedings"/>
      <w:bookmarkEnd w:id="7"/>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 </w:t>
      </w:r>
    </w:p>
    <w:p>
      <w:pPr>
        <w:pStyle w:val="TextBody"/>
        <w:bidi w:val="0"/>
        <w:spacing w:before="24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9" w:name="item_5_market_for_registrants_common_equ"/>
      <w:bookmarkEnd w:id="9"/>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“OM” since September 15, 2020. Prior to that date, there was no public trading market for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15, 2024, there were 102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graph compares the cumulative total return on our common stock relative to the cumulative total returns of the NASDAQ Composite Index and the S&amp;P Healthcare Equipment Select Industry Index (SPSIHE) for the period from September 15, 2020 (the first day of trading of our common stock) through December 31, 2023. The graph assumes an investment of $100 on September 15, 2020 and its relative performance is tracked through December 31, 2023. Pursuant to applicable SEC rules, all values assume reinvestment of the full amount of all dividends, however no dividends have been declared on our common stock to date. The offering price of our common stock in our initial public offering (IPO), which had a closing stock price of $60.68 on September 15, 2020, was $27.00 per share. Note that historic stock price performance is not necessarily indicative of future stock price performance. </w:t>
      </w:r>
    </w:p>
    <w:p>
      <w:pPr>
        <w:pStyle w:val="TextBody"/>
        <w:bidi w:val="0"/>
        <w:spacing w:before="120" w:after="283"/>
        <w:jc w:val="left"/>
        <w:rPr/>
      </w:pPr>
      <w:r>
        <w:rPr/>
        <w:drawing>
          <wp:inline distT="0" distB="0" distL="0" distR="0">
            <wp:extent cx="5867400" cy="3762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67400" cy="37623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or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0" w:name="item_6_selected_financial_data"/>
      <w:bookmarkEnd w:id="10"/>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7_managements_discussion_analysis_f"/>
      <w:bookmarkEnd w:id="11"/>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of our financial condition and results of operations is expected to better allow investors to view the Company from management’s perspective and should be read together with our audited financial statements and related notes and other financial information included elsewhere in this Annual Report. The following discussion contains forward-looking statements that reflect our current plans, estimates and beliefs. Our actual results could differ materially from those discussed in the forward-looking statements as a result of various factors, including those discussed below and elsewhere in this Annual Report, particularly in the section titled “Risk Factors.” Our historical results are not necessarily indicative of the results that may be expected for any period in the future.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elected to omit discussion of the earliest of the three years covered by the audited financial statements presented. Refer to Part II, Item 7, “Management’s Discussion and Analysis of Financial Condition and Results of Operations”, located in our annual report on Form 10-K for the year ended December 31, 2022 for reference to discussion of the year ended December 31, 2022, the earliest of the three fiscal years presented.</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technology is designed to elevate the dialysis experience for patients and help providers overcome traditional care delivery challenges. Requiring only an electrical outlet and tap water to operate, Tablo® Hemodialysis System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FSEs. 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Tablo is also utilized for home-based dialysis. We believe our ability to reduce training time, patient dropout, and the supplies and infrastructure required to deliver dialysis in the home can drive efficiency and economic improvements to the home care model. In our home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scale. We are also working with providers, patients, and payors to increase awareness and adoption of TCUs as a bridge to home-based therapy. To demonstrate the cost advantages of Tablo in the home setting, we are continuing to collect additional patient clinical experience and outcomes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from the placement of Tablo consoles along with accessories, and shipping and handling charged to customers, which revenue is recognized up-front. For the years ended December 31, 2023, 2022, and 2021, sales of our consoles, which includes Tablo consoles and accessories, accounted for 47%, 56% and 63% of our revenue, respectively. We also earn recurring revenue from sales of consumables, including Tablo cartridge, and services, which generates significant total revenue over the life of Tablo console. For the years ended December 31, 2023, 2022, and 2021, sales of our consumables accounted for 32%, 25% and 19% of our revenue, respectively, and sales of service and other accounted for 21%, 19% and 18% of our revenue,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48% of our total full-time employees as of December 31, 2023. The same sales organization and field service team drive Tablo penetration in both the acute and home markets. We believe the ability to leverage one team to serve both markets will result in significant productivity and cost optimization as we continue to scale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implemented a shipment hold on the distribution and marketing of Tablo for use in the home environment pending the FDA’s review and clearance of a 510(k) application we submitted for changes made since the device’s original March 2020 clearance. In late July 2022, the FDA cleared our 510(k) application of Tablo for patient use in the home and we resumed marketing and shipping Tablo for home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received a warning letter (the “Warning Letter”) from the FDA that raised two observations. The first observation asserts that certain content reviewed by the FDA and found on our website promotes CRRT, a modality outside of the current indications for Tablo. The second observation asserts that TabloCart with Prefiltration requires prior 510(k) clearance for marketing authorization. TabloCart with Prefiltration is an accessory to Tablo launched in the third quarter of 2022. 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been effectively addressed with two actions. First, although we evaluated TabloCart with Prefiltration prior to marketing and distributing the product and concluded that no marketing authorization was necessary, we paused distribution of TabloCart with Prefiltration pending the FDA’s review and clearance of a 510(k) application. Second, we submitted to the FDA a 510(k) application for TabloCart with Prefiltration in September 2023. In addition, we have provided monthly updates to the FDA as to the status of these Warning Letter-related workstreams since July 2023, and believe we have taken appropriate measures to resolve the matters raised in the Warning Letter. We have not identified any safety issues with TabloCart with Prefiltration. While we remain committed to fully cooperating with the FDA to expeditiously and completely resolve the Warning Letter, we cannot guarantee that the FDA will be satisfied with our response or the remedial measures we have taken, nor can we give any assurances as to the timing of the resolution of such matters, including the clearance of the 510(k) application and our resumption of distribution of TabloCart with Prefiltration.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Acceptance of Tablo in Acute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further broaden our installed base by continuing to target national and regional IDNs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expeditiously resolve the Warning Letter, overcome the adverse impact in the field from the Warning Letter and our distribution pause on TabloCart with Prefiltration, as well as the success of our efforts to further evolve our commercial infrastructure and sales processes to support the growth of our business in the acute care market.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Expansion of Tablo within the Home Setting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our ability to further evolve our commercial infrastructure and sales processes as we scale our business in the home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Margin</w:t>
      </w:r>
    </w:p>
    <w:p>
      <w:pPr>
        <w:pStyle w:val="TextBody"/>
        <w:bidi w:val="0"/>
        <w:spacing w:before="120" w:after="283"/>
        <w:jc w:val="left"/>
        <w:rPr>
          <w:rFonts w:ascii="Times New Roman" w:hAnsi="Times New Roman"/>
          <w:sz w:val="20"/>
        </w:rPr>
      </w:pPr>
      <w:r>
        <w:rPr>
          <w:rFonts w:ascii="Times New Roman" w:hAnsi="Times New Roman"/>
          <w:color w:val="212121"/>
          <w:sz w:val="20"/>
        </w:rPr>
        <w:t xml:space="preserve">Our ability to expand our gross margins depends on: first, our ability to reduce the cost of Tablo consoles; second, our ability to continue to sell Tablo cartridges, services, and accessories for Tablo consoles; and third, our ability to reduce the cost of service. </w:t>
      </w:r>
      <w:r>
        <w:rPr>
          <w:rFonts w:ascii="Times New Roman" w:hAnsi="Times New Roman"/>
          <w:color w:val="000000"/>
          <w:sz w:val="20"/>
        </w:rPr>
        <w:t>Over the past three years, we have moved the production of Tablo consoles and a majority of Tablo cartridges in-house at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Further, we will continue to utilize our cloud-based data system, as well as enhanced product performance, to better support our field service team and drive down service costs per console. In addition, our ability to expand gross margins will depend in part on our ability to control the average selling prices of our products and services, including by selling higher-margin accessories, consumables and services. Our ability to expand gross margins depends on our ability to successfully execute these strategies.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Impacts of Macroeconomic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macroeconomic conditions, including inflationary pressures, rising interest rates, increased labor costs, labor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for the second half of 2023, and we expect these negative impacts to continue into 2024. During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We have generally seen some stabilization in these challenging labor market dynamics for healthcare providers in 2023 as compared to the prior year. Moreover, we believe Tablo offers automation and ease-of-use benefits over traditional machines that can enhance our existing and potential customers’ ability to support their patient populations despite staffing shortages. However, if our customers continue to face prolonged periods of rising interest rates, capital budget constraints, volatility, uncertainty, staffing shortages, rising costs and other financial pressures, whether due to general macroeconomic conditions or otherwise,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However, our pilot clinical and administrative services program may not be successful in achieving the objectives we intend and anticipate, may fail to meet our customers’ expectations, may not generate sufficient returns to justify our investment, or may result in unanticipated costs, which could harm our reputation and customer relationships, and adversely impact our operating margins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faced increased supply chain constraints during late 2021, resulting in increased transportation and related costs associated with delivering adequate supply of Tablo treatments to our customers from our contract manufacturing partner in Southeast Asia. During 2023, we saw moderation in these costs. Moreover, we believe that localizing production of a majority of Tablo cartridges in Mexico (to our Mexico-based contract manufacturer and, more recently, in-house at our manufacturing facility) has helped achieve cost reductions through lower freight costs, further our long-term gross margin expansion and supply continuity strategies and improve the flexibility of our operations. However, we may face increased supply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chain constraints in the future, which could negatively impact our ability to meet customer demand on a timely basis, result in customer dissatisfaction and adversely impact our operating margins and results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primarily from the sale of products and services. In addition, in limited instances, we may enter into console operating lease arrangements that contain lease and non-lease components. Our product and services revenues are generated primarily through direct sales to customers in the United States.</w:t>
      </w:r>
    </w:p>
    <w:p>
      <w:pPr>
        <w:pStyle w:val="TextBody"/>
        <w:bidi w:val="0"/>
        <w:spacing w:before="120" w:after="283"/>
        <w:jc w:val="left"/>
        <w:rPr>
          <w:rFonts w:ascii="Times New Roman" w:hAnsi="Times New Roman"/>
          <w:sz w:val="20"/>
        </w:rPr>
      </w:pPr>
      <w:r>
        <w:rPr>
          <w:rFonts w:ascii="Times New Roman" w:hAnsi="Times New Roman"/>
          <w:i/>
          <w:color w:val="000000"/>
          <w:sz w:val="20"/>
        </w:rPr>
        <w:t>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product revenue primarily from the sale of our Tablo consoles, including accessories, and the sale of related consumables, including Tablo cartridges. Our Tablo consoles and consumables are generally sold without the right of return. Revenue is recognized when control of our Tablo consoles is transferred, generally upon shipment, and excludes the value of the initial service agreement, which is recognized as service and other revenue over the term of the initial service agreement. Leases of Tablo consoles are considered operating leases and recognized as revenue over their lease term. Consumables are recognized primarily upon shipment. Revenue is recognized net of any sales incentive, rebates and any taxes collected from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Service and Other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service revenue primarily from service agreements for our Tablo consoles and other revenue from shipping and handling charged to customers. Under the service agreements, we provide maintenance, repair and training services, connectivity to our cloud infrastructure, including TabloHub, as well as software updates, when and if available, for Tablo consoles. The service agreements are typically entered into for a one-year term. Revenue from the sale of service agreements is recognized ratably over the service period.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 revenue primarily consists of finished goods, inbound freight costs, and manufacturing costs incurred in the production process including personnel and related costs, costs of component materials, manufacturing overhead, and infrastructure costs including facilities and information technology. In addition, cost of product revenue includes warranty costs and provisions for excess and obsolete inventory. We expect cost of product revenue as a percentage of revenue to decrease over the long-term primarily as, and to the extent that, our efforts to reduce manufacturing costs of our products are successful, the percentage of our product revenues attributable to consumables increase, and our product revenue grows. However, our cost of product revenue as a percentage of revenue may fluctuate from period to period. </w:t>
      </w:r>
    </w:p>
    <w:p>
      <w:pPr>
        <w:pStyle w:val="TextBody"/>
        <w:bidi w:val="0"/>
        <w:spacing w:before="120" w:after="283"/>
        <w:jc w:val="left"/>
        <w:rPr>
          <w:rFonts w:ascii="Times New Roman" w:hAnsi="Times New Roman"/>
          <w:sz w:val="20"/>
        </w:rPr>
      </w:pPr>
      <w:r>
        <w:rPr>
          <w:rFonts w:ascii="Times New Roman" w:hAnsi="Times New Roman"/>
          <w:i/>
          <w:color w:val="000000"/>
          <w:sz w:val="20"/>
        </w:rPr>
        <w:t>Cost of Service and Other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service and other revenue primarily consists of personnel and related costs, travel, and component costs incurred in connection with our obligations under our service agreements. We plan to further utilize our cloud-based data systems, as well as enhanced product performance, to lower the cost of service as a percentage of revenue. We expect cost of service and other revenue as a percentage of revenue to decrease over the long-term primarily as, and to the extent, our service and other revenue grows. However, our cost of service and other revenue as a percentage of revenue may fluctuate from period to period. </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 gross margin as gross profit divided by total revenue. Our gross profit has been and will continue to be, affected by a variety of factors, including market conditions that may impact our pricing; product mix and average selling prices; excess and obsolete inventories; our cost structure for manufacturing operations relative to volume; inbound freight costs, and product warranty obligations. We expect our gross margin to increase over the long term to the extent that we are successful in our ability to lower production costs, that we generate recurring revenues from sales of our consumables and services, and that we can lower cost of service and other revenue as a percentage of revenue. We continue to use our design, engineering, and manufacturing capabilities to further advance and improve the efficiency of our manufacturing processes, which, if successful, we believe will lower production costs and enable us to increase our gross margin. While we expect gross margin to increase over the long term, we also anticipate it will likely fluctuate from quarter to quarter.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primarily consist of personnel and related costs, regulatory fees, consulting services, laboratory supplies and materials expenses, and infrastructure costs including facilities, depreciation and information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continue to invest in our research and development efforts to grow our economic and clinical evidence, enhance existing products and develop new products and service offerings and expect research and development expenses to vary over time, depending on the level and timing of the enhancement of the existing products and new product or service development initiatives. As a percentage of revenue, however, we expect research and development expenses to continue to decrease over the long-term primarily as, and to the extent, our revenue grows.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primarily consist of personnel and related costs, including sales commissions and travel. Other sales and marketing expenses include marketing and promotional activities, government affairs, costs of outside consultants, customer services costs, and infrastructure costs including facilities, depreciation, and information technology. Shipping and handling costs, as well as the associated personnel expenses, are included in 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drive the expansion of Tablo, we expect shipping and handling costs to also increase. Additionally, we will continue to invest in infrastructure to support our growth. As a result, we expect sales and marketing expenses to increase in absolute dollars in future periods. As a percentage of revenue, however, we expect sales and marketing expenses to continue to decrease over the long-term primarily as, and to the extent, our revenue grows.</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primarily consist of personnel and related costs, accounting and legal expenses, general corporate expenses, employee recruiting and training costs, and infrastructure costs including facilities, depreciation, and information technology. As a percentage of revenue, we expect general and administrative expenses to decrease over the long-term primarily as, and to the extent, our revenue grows.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stock-based compensation expense allocated to cost of revenue, research and development expenses, sales and marketing expenses, and general and administrative expenses to increase in absolute dollars as we issue additional stock-based awards under our equity incentive plan and employee stock purchase plan to attract and retain employees.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and other income, net, primarily consists of interest earned on our cash and cash equivalents and short-term investments.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of interest on our debt and amortization of associated debt discount. See Note 7 to the financial statements for further details. </w:t>
      </w:r>
    </w:p>
    <w:p>
      <w:pPr>
        <w:pStyle w:val="TextBody"/>
        <w:bidi w:val="0"/>
        <w:spacing w:before="240" w:after="283"/>
        <w:jc w:val="left"/>
        <w:rPr>
          <w:rFonts w:ascii="Times New Roman" w:hAnsi="Times New Roman"/>
          <w:sz w:val="20"/>
        </w:rPr>
      </w:pPr>
      <w:r>
        <w:rPr>
          <w:rFonts w:ascii="Times New Roman" w:hAnsi="Times New Roman"/>
          <w:b/>
          <w:i/>
          <w:color w:val="000000"/>
          <w:sz w:val="20"/>
        </w:rPr>
        <w:t>Loss on Extinguishment of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on extinguishment of term loan is related to the repayment of the SVB Term Loan in November 2022, which included early prepayment and exit fees.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primarily consists of foreign taxes in Mexico. We have a full valuation allowance for deferred tax assets, including net operating loss carryforwards and tax credits related primarily to research and development.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section, we discuss the results of our operations for the year ended December 31, 2023 compared to the year ended December 31,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sets forth, for the years indicated, our results of operations (in thousands): </w:t>
      </w:r>
    </w:p>
    <w:tbl>
      <w:tblPr>
        <w:tblW w:w="7983" w:type="dxa"/>
        <w:jc w:val="left"/>
        <w:tblInd w:w="0" w:type="dxa"/>
        <w:tblLayout w:type="fixed"/>
        <w:tblCellMar>
          <w:top w:w="28" w:type="dxa"/>
          <w:left w:w="28" w:type="dxa"/>
          <w:bottom w:w="28" w:type="dxa"/>
          <w:right w:w="28" w:type="dxa"/>
        </w:tblCellMar>
      </w:tblPr>
      <w:tblGrid>
        <w:gridCol w:w="3366"/>
        <w:gridCol w:w="146"/>
        <w:gridCol w:w="211"/>
        <w:gridCol w:w="841"/>
        <w:gridCol w:w="166"/>
        <w:gridCol w:w="146"/>
        <w:gridCol w:w="211"/>
        <w:gridCol w:w="841"/>
        <w:gridCol w:w="166"/>
        <w:gridCol w:w="146"/>
        <w:gridCol w:w="211"/>
        <w:gridCol w:w="841"/>
        <w:gridCol w:w="6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691" w:type="dxa"/>
            <w:tcBorders/>
            <w:shd w:fill="FFFFFF" w:val="clear"/>
            <w:vAlign w:val="center"/>
          </w:tcPr>
          <w:p>
            <w:pPr>
              <w:pStyle w:val="TableContents"/>
              <w:bidi w:val="0"/>
              <w:spacing w:before="0" w:after="283"/>
              <w:jc w:val="center"/>
              <w:rPr/>
            </w:pPr>
            <w:r>
              <w:rPr/>
              <w:t> </w:t>
            </w:r>
          </w:p>
        </w:tc>
      </w:tr>
      <w:tr>
        <w:trPr/>
        <w:tc>
          <w:tcPr>
            <w:tcW w:w="3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84,312</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102,602</w:t>
            </w:r>
          </w:p>
        </w:tc>
        <w:tc>
          <w:tcPr>
            <w:tcW w:w="691" w:type="dxa"/>
            <w:tcBorders/>
            <w:shd w:fill="FFFFFF" w:val="clear"/>
            <w:vAlign w:val="center"/>
          </w:tcPr>
          <w:p>
            <w:pPr>
              <w:pStyle w:val="TableContents"/>
              <w:bidi w:val="0"/>
              <w:spacing w:before="0" w:after="283"/>
              <w:jc w:val="left"/>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84,639</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366"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691" w:type="dxa"/>
            <w:tcBorders/>
            <w:shd w:fill="CFF0FC" w:val="clear"/>
            <w:vAlign w:val="center"/>
          </w:tcPr>
          <w:p>
            <w:pPr>
              <w:pStyle w:val="TableContents"/>
              <w:bidi w:val="0"/>
              <w:spacing w:before="0" w:after="283"/>
              <w:jc w:val="left"/>
              <w:rPr/>
            </w:pPr>
            <w:r>
              <w:rPr/>
              <w:t> </w:t>
            </w:r>
          </w:p>
        </w:tc>
      </w:tr>
      <w:tr>
        <w:trPr/>
        <w:tc>
          <w:tcPr>
            <w:tcW w:w="3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righ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36,741</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65,070</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36,316</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(130,519</w:t>
            </w:r>
          </w:p>
        </w:tc>
        <w:tc>
          <w:tcPr>
            <w:tcW w:w="6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6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(131,736</w:t>
            </w:r>
          </w:p>
        </w:tc>
        <w:tc>
          <w:tcPr>
            <w:tcW w:w="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(131,935</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tbl>
      <w:tblPr>
        <w:tblW w:w="6997" w:type="dxa"/>
        <w:jc w:val="left"/>
        <w:tblInd w:w="0" w:type="dxa"/>
        <w:tblLayout w:type="fixed"/>
        <w:tblCellMar>
          <w:top w:w="28" w:type="dxa"/>
          <w:left w:w="28" w:type="dxa"/>
          <w:bottom w:w="28" w:type="dxa"/>
          <w:right w:w="28" w:type="dxa"/>
        </w:tblCellMar>
      </w:tblPr>
      <w:tblGrid>
        <w:gridCol w:w="2151"/>
        <w:gridCol w:w="146"/>
        <w:gridCol w:w="207"/>
        <w:gridCol w:w="732"/>
        <w:gridCol w:w="154"/>
        <w:gridCol w:w="154"/>
        <w:gridCol w:w="207"/>
        <w:gridCol w:w="732"/>
        <w:gridCol w:w="146"/>
        <w:gridCol w:w="146"/>
        <w:gridCol w:w="196"/>
        <w:gridCol w:w="601"/>
        <w:gridCol w:w="146"/>
        <w:gridCol w:w="146"/>
        <w:gridCol w:w="146"/>
        <w:gridCol w:w="286"/>
        <w:gridCol w:w="70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vAlign w:val="center"/>
          </w:tcPr>
          <w:p>
            <w:pPr>
              <w:pStyle w:val="TableContents"/>
              <w:bidi w:val="0"/>
              <w:spacing w:before="0" w:after="283"/>
              <w:jc w:val="center"/>
              <w:rPr/>
            </w:pPr>
            <w:r>
              <w:rPr/>
              <w:t> </w:t>
            </w:r>
          </w:p>
        </w:tc>
        <w:tc>
          <w:tcPr>
            <w:tcW w:w="939" w:type="dxa"/>
            <w:gridSpan w:val="2"/>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center"/>
              <w:rPr/>
            </w:pPr>
            <w:r>
              <w:rPr/>
              <w:t> </w:t>
            </w:r>
          </w:p>
        </w:tc>
        <w:tc>
          <w:tcPr>
            <w:tcW w:w="939"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9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center"/>
              <w:rPr/>
            </w:pPr>
            <w:r>
              <w:rPr/>
              <w:t> </w:t>
            </w:r>
          </w:p>
        </w:tc>
        <w:tc>
          <w:tcPr>
            <w:tcW w:w="701" w:type="dxa"/>
            <w:tcBorders/>
            <w:shd w:fill="CFF0FC" w:val="clear"/>
            <w:vAlign w:val="center"/>
          </w:tcPr>
          <w:p>
            <w:pPr>
              <w:pStyle w:val="TableContents"/>
              <w:bidi w:val="0"/>
              <w:spacing w:before="0" w:after="283"/>
              <w:ind w:left="0" w:right="0" w:firstLine="200"/>
              <w:jc w:val="center"/>
              <w:rPr/>
            </w:pPr>
            <w:r>
              <w:rPr/>
              <w:t> </w:t>
            </w:r>
          </w:p>
        </w:tc>
      </w:tr>
      <w:tr>
        <w:trPr/>
        <w:tc>
          <w:tcPr>
            <w:tcW w:w="2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103,537</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70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26,839</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70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130,376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7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revenue increased by $10.1 million, or 11%, for the year ended December 31, 2023 as compared to the prior year. The increase was primarily due to a $13.4 million increase in consumables revenue attributable to the growth in our console installed base. This increase was partially offset by a $3.3 million decrease in console revenue which was primarily comprised of a $1.7 million decrease in console leasing revenue due to the expiration of certain lease agreements and lower number of consoles sold in the current year as compared to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and other revenue increased by $4.9 million, or 22%, for the year ended December 31, 2023 as compared to the prior year. The increase was primarily due to services associated with the growth in our console installed base, which was partially offset by a $4.1 million decrease in service revenue from leased consoles due to the expiration of certain lease agreements.</w:t>
        <w:br/>
        <w:t> </w:t>
      </w:r>
    </w:p>
    <w:p>
      <w:pPr>
        <w:pStyle w:val="TextBody"/>
        <w:bidi w:val="0"/>
        <w:spacing w:before="240" w:after="120"/>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tbl>
      <w:tblPr>
        <w:tblW w:w="7070" w:type="dxa"/>
        <w:jc w:val="left"/>
        <w:tblInd w:w="0" w:type="dxa"/>
        <w:tblLayout w:type="fixed"/>
        <w:tblCellMar>
          <w:top w:w="28" w:type="dxa"/>
          <w:left w:w="28" w:type="dxa"/>
          <w:bottom w:w="28" w:type="dxa"/>
          <w:right w:w="28" w:type="dxa"/>
        </w:tblCellMar>
      </w:tblPr>
      <w:tblGrid>
        <w:gridCol w:w="2311"/>
        <w:gridCol w:w="146"/>
        <w:gridCol w:w="215"/>
        <w:gridCol w:w="659"/>
        <w:gridCol w:w="160"/>
        <w:gridCol w:w="281"/>
        <w:gridCol w:w="215"/>
        <w:gridCol w:w="659"/>
        <w:gridCol w:w="146"/>
        <w:gridCol w:w="256"/>
        <w:gridCol w:w="196"/>
        <w:gridCol w:w="601"/>
        <w:gridCol w:w="146"/>
        <w:gridCol w:w="146"/>
        <w:gridCol w:w="146"/>
        <w:gridCol w:w="286"/>
        <w:gridCol w:w="50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shd w:fill="FFFFFF" w:val="cle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and gross margin:</w:t>
            </w:r>
          </w:p>
        </w:tc>
        <w:tc>
          <w:tcPr>
            <w:tcW w:w="146"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87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ind w:left="0" w:right="0" w:firstLine="200"/>
              <w:jc w:val="right"/>
              <w:rPr/>
            </w:pPr>
            <w:r>
              <w:rPr/>
              <w:t> </w:t>
            </w:r>
          </w:p>
        </w:tc>
      </w:tr>
      <w:tr>
        <w:trPr/>
        <w:tc>
          <w:tcPr>
            <w:tcW w:w="2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29,000</w:t>
            </w:r>
          </w:p>
        </w:tc>
        <w:tc>
          <w:tcPr>
            <w:tcW w:w="1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17,833</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50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22.2</w:t>
            </w:r>
          </w:p>
        </w:tc>
        <w:tc>
          <w:tcPr>
            <w:tcW w:w="160"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5" w:type="dxa"/>
            <w:tcBorders/>
            <w:shd w:fill="CFF0FC" w:val="clear"/>
            <w:vAlign w:val="center"/>
          </w:tcPr>
          <w:p>
            <w:pPr>
              <w:pStyle w:val="TableContents"/>
              <w:bidi w:val="0"/>
              <w:spacing w:before="0" w:after="283"/>
              <w:jc w:val="left"/>
              <w:rPr/>
            </w:pPr>
            <w:r>
              <w:rPr/>
              <w:t> </w:t>
            </w:r>
          </w:p>
        </w:tc>
        <w:tc>
          <w:tcPr>
            <w:tcW w:w="659" w:type="dxa"/>
            <w:tcBorders/>
            <w:shd w:fill="CFF0FC" w:val="clear"/>
            <w:vAlign w:val="center"/>
          </w:tcPr>
          <w:p>
            <w:pPr>
              <w:pStyle w:val="TableContents"/>
              <w:bidi w:val="0"/>
              <w:spacing w:before="0" w:after="283"/>
              <w:jc w:val="right"/>
              <w:rPr>
                <w:rFonts w:ascii="Times New Roman" w:hAnsi="Times New Roman"/>
                <w:i/>
                <w:color w:val="000000"/>
                <w:sz w:val="18"/>
              </w:rPr>
            </w:pPr>
            <w:r>
              <w:rPr>
                <w:rFonts w:ascii="Times New Roman" w:hAnsi="Times New Roman"/>
                <w:i/>
                <w:color w:val="000000"/>
                <w:sz w:val="18"/>
              </w:rPr>
              <w:t>15.5</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increased by $11.2 million, or 63%, for the year ended December 31, 2023 as compared to the prior year. The gross margin percentage improved by 6.7 percentage points for the year ended December 31, 2023 as compared to the prior year. This improvement in gross margin was primarily driven by the impact of cost reduction activities and a higher average selling price for both consoles and consumables. Such improvement was partially offset by the impact from the expiration of certain lease agreements.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Operating Expenses</w:t>
      </w:r>
    </w:p>
    <w:tbl>
      <w:tblPr>
        <w:tblW w:w="3687" w:type="dxa"/>
        <w:jc w:val="left"/>
        <w:tblInd w:w="0" w:type="dxa"/>
        <w:tblLayout w:type="fixed"/>
        <w:tblCellMar>
          <w:top w:w="28" w:type="dxa"/>
          <w:left w:w="28" w:type="dxa"/>
          <w:bottom w:w="28" w:type="dxa"/>
          <w:right w:w="28" w:type="dxa"/>
        </w:tblCellMar>
      </w:tblPr>
      <w:tblGrid>
        <w:gridCol w:w="161"/>
        <w:gridCol w:w="146"/>
        <w:gridCol w:w="2191"/>
        <w:gridCol w:w="146"/>
        <w:gridCol w:w="146"/>
        <w:gridCol w:w="70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37" w:type="dxa"/>
        <w:jc w:val="left"/>
        <w:tblInd w:w="0" w:type="dxa"/>
        <w:tblLayout w:type="fixed"/>
        <w:tblCellMar>
          <w:top w:w="28" w:type="dxa"/>
          <w:left w:w="28" w:type="dxa"/>
          <w:bottom w:w="28" w:type="dxa"/>
          <w:right w:w="28" w:type="dxa"/>
        </w:tblCellMar>
      </w:tblPr>
      <w:tblGrid>
        <w:gridCol w:w="2211"/>
        <w:gridCol w:w="146"/>
        <w:gridCol w:w="196"/>
        <w:gridCol w:w="691"/>
        <w:gridCol w:w="146"/>
        <w:gridCol w:w="146"/>
        <w:gridCol w:w="196"/>
        <w:gridCol w:w="691"/>
        <w:gridCol w:w="146"/>
        <w:gridCol w:w="146"/>
        <w:gridCol w:w="196"/>
        <w:gridCol w:w="601"/>
        <w:gridCol w:w="146"/>
        <w:gridCol w:w="146"/>
        <w:gridCol w:w="146"/>
        <w:gridCol w:w="286"/>
        <w:gridCol w:w="50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ind w:left="0" w:right="0" w:firstLine="200"/>
              <w:jc w:val="right"/>
              <w:rPr/>
            </w:pPr>
            <w:r>
              <w:rPr/>
              <w:t> </w:t>
            </w:r>
          </w:p>
        </w:tc>
      </w:tr>
      <w:tr>
        <w:trPr/>
        <w:tc>
          <w:tcPr>
            <w:tcW w:w="2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0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$8.5 million, or 17%, for the year ended December 31, 2023 as compared to the prior year. This increase was primarily due to compensation-related and stock-based compensation expense, supplies and materials used to support our research and development efforts, and infrastructure costs to support our growth. These increases were partially offset by lower consulting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by $6.8 million, or 8% for the year ended December 31, 2023 as compared to the prior year. The increase was primarily driven by compensation-related and stock-based compensation expense and infrastructure costs to support our growth. In addition, there were higher freight and marketing expenses due to an increase in sales and marketing activities. These increases were partially offset by lower travel and consulting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$4.7 million, or 12%, for the year ended December 31, 2023 as compared to the prior year. The increase was primarily driven by compensation-related and stock-based compensation expense and consulting expenses. These increases were partially offset by lower insurance expense and lower supplies and materials.</w:t>
      </w:r>
    </w:p>
    <w:p>
      <w:pPr>
        <w:pStyle w:val="TextBody"/>
        <w:bidi w:val="0"/>
        <w:spacing w:before="240" w:after="120"/>
        <w:jc w:val="left"/>
        <w:rPr>
          <w:rFonts w:ascii="Times New Roman" w:hAnsi="Times New Roman"/>
          <w:sz w:val="20"/>
        </w:rPr>
      </w:pPr>
      <w:r>
        <w:rPr>
          <w:rFonts w:ascii="Times New Roman" w:hAnsi="Times New Roman"/>
          <w:b/>
          <w:i/>
          <w:color w:val="000000"/>
          <w:sz w:val="20"/>
        </w:rPr>
        <w:t>Other Income (Expenses), Net</w:t>
      </w:r>
      <w:r>
        <w:rPr>
          <w:rFonts w:ascii="Times New Roman" w:hAnsi="Times New Roman"/>
          <w:color w:val="000000"/>
          <w:sz w:val="20"/>
        </w:rPr>
        <w:t xml:space="preserve"> </w:t>
      </w:r>
    </w:p>
    <w:tbl>
      <w:tblPr>
        <w:tblW w:w="7399" w:type="dxa"/>
        <w:jc w:val="left"/>
        <w:tblInd w:w="0" w:type="dxa"/>
        <w:tblLayout w:type="fixed"/>
        <w:tblCellMar>
          <w:top w:w="28" w:type="dxa"/>
          <w:left w:w="28" w:type="dxa"/>
          <w:bottom w:w="28" w:type="dxa"/>
          <w:right w:w="28" w:type="dxa"/>
        </w:tblCellMar>
      </w:tblPr>
      <w:tblGrid>
        <w:gridCol w:w="2761"/>
        <w:gridCol w:w="146"/>
        <w:gridCol w:w="221"/>
        <w:gridCol w:w="748"/>
        <w:gridCol w:w="187"/>
        <w:gridCol w:w="165"/>
        <w:gridCol w:w="221"/>
        <w:gridCol w:w="646"/>
        <w:gridCol w:w="166"/>
        <w:gridCol w:w="146"/>
        <w:gridCol w:w="196"/>
        <w:gridCol w:w="571"/>
        <w:gridCol w:w="166"/>
        <w:gridCol w:w="146"/>
        <w:gridCol w:w="146"/>
        <w:gridCol w:w="376"/>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i/>
                <w:color w:val="000000"/>
                <w:sz w:val="18"/>
                <w:u w:val="single"/>
              </w:rPr>
            </w:pPr>
            <w:r>
              <w:rPr>
                <w:rFonts w:ascii="Times New Roman" w:hAnsi="Times New Roman"/>
                <w:i/>
                <w:color w:val="000000"/>
                <w:sz w:val="18"/>
                <w:u w:val="single"/>
              </w:rPr>
              <w:t>(dollars in thousands)</w:t>
            </w:r>
          </w:p>
        </w:tc>
        <w:tc>
          <w:tcPr>
            <w:tcW w:w="146" w:type="dxa"/>
            <w:tcBorders/>
            <w:shd w:fill="FFFFFF" w:val="cle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(expenses), net:</w:t>
            </w:r>
          </w:p>
        </w:tc>
        <w:tc>
          <w:tcPr>
            <w:tcW w:w="146" w:type="dxa"/>
            <w:tcBorders/>
            <w:shd w:fill="CFF0FC" w:val="clear"/>
            <w:vAlign w:val="center"/>
          </w:tcPr>
          <w:p>
            <w:pPr>
              <w:pStyle w:val="TableContents"/>
              <w:bidi w:val="0"/>
              <w:spacing w:before="0" w:after="283"/>
              <w:jc w:val="center"/>
              <w:rPr/>
            </w:pPr>
            <w:r>
              <w:rPr/>
              <w:t> </w:t>
            </w:r>
          </w:p>
        </w:tc>
        <w:tc>
          <w:tcPr>
            <w:tcW w:w="969" w:type="dxa"/>
            <w:gridSpan w:val="2"/>
            <w:tcBorders/>
            <w:shd w:fill="CFF0FC" w:val="clear"/>
            <w:vAlign w:val="center"/>
          </w:tcPr>
          <w:p>
            <w:pPr>
              <w:pStyle w:val="TableContents"/>
              <w:bidi w:val="0"/>
              <w:spacing w:before="0" w:after="283"/>
              <w:jc w:val="center"/>
              <w:rPr/>
            </w:pPr>
            <w:r>
              <w:rPr/>
              <w:t> </w:t>
            </w:r>
          </w:p>
        </w:tc>
        <w:tc>
          <w:tcPr>
            <w:tcW w:w="187"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center"/>
              <w:rPr/>
            </w:pPr>
            <w:r>
              <w:rPr/>
              <w:t> </w:t>
            </w:r>
          </w:p>
        </w:tc>
        <w:tc>
          <w:tcPr>
            <w:tcW w:w="86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and other income, net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10,171</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3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(12,675</w:t>
            </w:r>
          </w:p>
        </w:tc>
        <w:tc>
          <w:tcPr>
            <w:tcW w:w="18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3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term loan</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3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interest income and other income, net, for the year ended December 31, 2023 as compared to the prior year was driven by higher interest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interest expense for the year ended December 31, 2023 as compared to the prior year was due to the increase in interest rate and a full year of outstanding balance under the SLR Term Loan Facility in 2023 as compared to only two months of outstanding balance of such facility in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on extinguishment of term loan of $1.4 million in 2022 was recognized for the repayment of the SVB Term Loan, which included early prepayment and exit fees.</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a total cash, cash equivalents, restricted cash and short-term investments balance of $206.7 million. In January 2024, we borrowed and received $66.5 million under the SLR Term Loan Facility (see the section entitled "Debt Obligations"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net losses and negative cash flows from operations. To date, we have financed our operations and capital expenditures primarily through sales of redeemable convertible preferred stock and common stock, revenue from sales, debt financings, and proceeds from employee exercises of stock options and employee stock purchase plan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(including through our existing debt), we will be subject to an increase in our interest expense which may negatively affect our cash flow. We are subject to covenants limiting or restricting our ability to take specific actions, such as incurring additional debt, making capital expenditures or declaring dividends. We believe that our existing cash, cash equivalents and short-term investments, cash generated from sales, and proceeds received from the debt financing described below under “Debt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 SLR Debt Financing”, will be sufficient to meet our anticipated needs for at least the next 12 months from the issuance date of this Annual Report.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 Summary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cash flows for each of the periods indicated (in thousands): </w:t>
      </w:r>
    </w:p>
    <w:tbl>
      <w:tblPr>
        <w:tblW w:w="8178" w:type="dxa"/>
        <w:jc w:val="left"/>
        <w:tblInd w:w="0" w:type="dxa"/>
        <w:tblLayout w:type="fixed"/>
        <w:tblCellMar>
          <w:top w:w="28" w:type="dxa"/>
          <w:left w:w="28" w:type="dxa"/>
          <w:bottom w:w="28" w:type="dxa"/>
          <w:right w:w="28" w:type="dxa"/>
        </w:tblCellMar>
      </w:tblPr>
      <w:tblGrid>
        <w:gridCol w:w="4156"/>
        <w:gridCol w:w="146"/>
        <w:gridCol w:w="196"/>
        <w:gridCol w:w="751"/>
        <w:gridCol w:w="166"/>
        <w:gridCol w:w="146"/>
        <w:gridCol w:w="196"/>
        <w:gridCol w:w="751"/>
        <w:gridCol w:w="166"/>
        <w:gridCol w:w="146"/>
        <w:gridCol w:w="196"/>
        <w:gridCol w:w="751"/>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(131,373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(145,729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(130,264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(66,295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(142,507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160,147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$131.4 million for the year ended December 31, 2023 was due to a net loss of $172.8 million and a net cash outflow from the change in our operating assets and liabilities of $0.8 million, partially adjusted by the primary non-cash adjustments for stock-based compensation expense of $38.6 million, amortization of premium on investments of $6.4 million, depreciation and amortization of $5.8 million, non-cash interest expense of $1.8 million, and non-cash lease expense of $1.3 million. The net cash outflow from operating assets and liabilities was primarily due to an increase in accounts receivable due to timing of collections and billings, a decrease in accrued expenses and other current liabilities, a decrease in accrued compensation and related benefits, and a decrease in operating lease liabilities. The net cash outflow from operating assets and liabilities was partially offset by an increase in accounts payable due to timing of vendor payments, an increase in deferred revenue due to the growth in service agreements and a decrease in 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$145.7 million for the year ended December 31, 2022 was due to a net loss of $163.0 million and a net cash outflow from the change in our operating assets and liabilities of $21.1 million, partially offset by the primary non-cash adjustments for stock-based compensation expense of $27.2 million, depreciation and amortization of $5.2 million, provision for inventories of $2.6 million, loss on extinguishment of term loan of $1.4 million, non-cash lease expense of $1.1 million, accretion of discount on investments of $0.4 million, and non-cash interest expense of $0.4 million. The net cash outflow from operating assets and liabilities was primarily due to an increase in inventories due to the timing of inventory purchases including advance purchases of inventory to mitigate supply chain disruptions, a decrease in accrued compensation and related benefits, an increase in accounts receivable due to timing of collections, a decrease in accounts payable due to timing of vendor payments, an increase in prepaid expenses and other assets, and a decrease in operating lease liabilities. The net cash outflow from operating assets and liabilities was partially offset by an increase in deferred revenue due to the growth in service agreements and an increase in accrued expenses and other current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of $83.0 million for the year ended December 31, 2023 was due to the maturities of investment securities of $258.8 million, partially offset by purchases of investment securities of $172.3 million and purchases of property and equipment of $3.4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of $66.3 million for the year ended December 31, 2022 was due primarily to purchases of investment securities of $261.2 million and purchases of property and equipment of $8.3 million, partially offset by the maturities of investment securities of $203.2 million.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$43.7 million for the year ended December 31, 2023 was due primarily to the net proceeds of $33.2 million from borrowings under the SLR Term Loan Facility and the proceeds of $10.4 million from employee exercises of stock options and employee stock purchase plan purchases.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of $72.9 million for the year ended December 31, 2022 was due primarily to the net proceeds of $96.1 million from borrowings under the SLR Term Loan Facility and the proceeds of $8.0 million from employee exercises of stock options and employee stock purchase plan purchases, partially offset by the cash outflow of $31.2 million in repayment of the SVB Term Loan which included early prepayment and exit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Debt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SLR Debt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3, 2022 (the Closing Date), we entered into two senior secured credit facilities, which collectively provide for borrowings of up to $300.0 million as follows: (i) up to a $250.0 million term loan facility pursuant to a loan and security agreement (the SLR Loan Agreement) among SLR Investment Corp., as collateral agent (Agent), the lenders from time to time party thereto (the Term Loan Lenders) and us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us (the SLR Revolver, together with the SLR Term Loan Facility, the SLR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maximum amount we are permitted to borrow under the SLR Credit Facilities is subject to certain overall borrowing limitations. As described in further detail below, we have already borrowed $200.0 million of term loans. If we achieve a certain net revenue milestone, calculated on a trailing six-month basis (First Revenue Milestone), on or before June 30, 2024 and the Additional Tranche (as defined below) under the SLR Revolver has been approved, we will be permitted to borrow up to an additional $50.0 million under the SLR Credit Facilities (i.e., a maximum amount of $250.0 million). If we achieve a subsequent additional net revenue milestone, calculated on a trailing six-month basis (Second Revenue Milestone), on or before June 30, 2025 and obtain lenders' credit approval, we will be permitted to further borrow up to an additional $50.0 million under the SLR Credit Facilities (i.e., a maximum amount of $300.0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SLR Loan Agreement, as subsequently amended on December 11, 2023, the Term Loan Lenders agreed to extend term loans to us in an aggregate principal amount of up to $250.0 million, comprised of (i) a term loan of $100.0 million (the Term A Loan), (ii) term loans in an aggregate principal amount of up to $100.0 million that was provided for in two increments, one of $33.5 million (the Term B-1 Loan) and one of $66.5 million (the Term B-2 Loan) and (iii) one or more term loans in an aggregate principal amount of up to $50.0 million (the Term C Loans). As of December 31, 2023, we had an outstanding principal amount of $133.5 million under the Term A and B-1 Loans, which were funded in November 2022 and December 2023, respectively. Subsequently, we borrowed and received $66.5 million under the Term B-2 Loan in January 2024. As a result, the outstanding principal amount under the SLR Term Loan Facility is $200.0 million as of the date of this Annual Report. The Term C Loans are available subject to lenders’ credit approval and the achievement of the Second Revenue Milestone on or before June 30, 2025. The Term C Loans will remain available for funding until one business day prior to November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SLR Revolving Credit Agreement provides for an asset-based revolving credit facility with aggregate revolving commitments of $25.0 million (the Initial Revolver Commitment). We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 (a) 85% of eligible accounts receivable, plus (b) 25% of eligible inventory (not to exceed the lesser of 50% of the Borrowing Base and $5.0 million), minus (c) customary reserves, minus (d) unposted cash. No amounts were outstanding under the SLR Revolver as of December 31, 2023.</w:t>
      </w:r>
    </w:p>
    <w:p>
      <w:pPr>
        <w:pStyle w:val="TextBody"/>
        <w:bidi w:val="0"/>
        <w:spacing w:before="240" w:after="283"/>
        <w:jc w:val="left"/>
        <w:rPr>
          <w:rFonts w:ascii="Times New Roman" w:hAnsi="Times New Roman"/>
          <w:sz w:val="20"/>
        </w:rPr>
      </w:pPr>
      <w:r>
        <w:rPr>
          <w:rFonts w:ascii="Times New Roman" w:hAnsi="Times New Roman"/>
          <w:i/>
          <w:color w:val="000000"/>
          <w:sz w:val="20"/>
        </w:rPr>
        <w:t>SVB Term Loan</w:t>
      </w:r>
      <w:r>
        <w:rPr>
          <w:rFonts w:ascii="Times New Roman" w:hAnsi="Times New Roman"/>
          <w:color w:val="000000"/>
          <w:sz w:val="20"/>
        </w:rP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the SVB Loan and Security Agreement with SVB in July 2020, which provides for a $30.0 million term loan (the SVB Term Loan). In November 2022, we terminated the SVB Term Loan and repaid in full all amounts due under such loan, including the early repayment fee of $0.3 million and the final payment of $2.0 million, using a portion of the proceeds of the SLR Credit Facilities.</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significant accounting policies are more fully described in Note 2 to our audited financial statements included elsewhere in this Annual Report, we believe that the following critical accounting policy is most important to understanding and evaluating our reported financial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contracts with customers often include multiple performance obligations, such as products and services. We determine the standalone sale prices (SSP) based upon the facts and circumstances of each performance obligation (product or services), which often requires management's judgement. We use an observable price to estimate SSP for items that are sold separately, including service agreements. In instances where SSP is not directly observable, such as when we do not sell the product or service separately, we determine the SSP using information that may include market conditions and other observable inputs and allocate the contracted transaction price to each distinct performance obligation based upon the relative SSP. When SSP is not directly observable for a performance obligation, we utilize the residual method to allocate revenue. We may offer additional goods or services to customers at the inception of customer contracts at prices not at SSP. If such contracts result in a material right, we allocate part of the transaction price to that right and recognize the associated revenue when those future goods and services are transferred to the customer. SSP is assigned based on the estimated value of the material right. We establish SSP ranges for our products and services and reassess them periodically.</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“Summary of Significant Accounting Policies” in our audited financial statements included in Part II, Item 8 of this Annual Report for a discussion of recent accounting pronouncements that may impact us.</w:t>
      </w:r>
    </w:p>
    <w:p>
      <w:pPr>
        <w:pStyle w:val="TextBody"/>
        <w:bidi w:val="0"/>
        <w:spacing w:before="240" w:after="283"/>
        <w:jc w:val="left"/>
        <w:rPr>
          <w:rFonts w:ascii="Times New Roman" w:hAnsi="Times New Roman"/>
          <w:sz w:val="20"/>
        </w:rPr>
      </w:pPr>
      <w:bookmarkStart w:id="12" w:name="item_7a_quantitative_qualitative_disclos"/>
      <w:bookmarkEnd w:id="12"/>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cash equivalents, restricted cash and short-term investments are held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and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$133.5 million in variable rate debt outstanding under the SLR Term Loan Facility. Subsequently, we borrowed and received an additional $66.5 million in January 2024. The SLR Term Loan Facility bears interest at a rate per annum equal to one-month term Secured Overnight Financing Rate (term SOFR) (subject to a 2.75% floor), plus 5.15%. The SLR Term Loan Facility matures on November 1, 2027. On an annualized basis, a 100-basis point change in the term SOFR rate would change our interest expense by $2.0 million based upon our debt outstanding balance of $200 million as of January 31, 2024 (including the $66.5 million received in January 2024).</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are generally denominated in USD. However, as certain of our Mexico-based manufacturing operations incur costs that are denominated in MXN and we held cash in MXN, we are exposed to the risk of currency fluctuations between USD and MXN. To date, foreign currency transaction gains and losses have not been material to our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changes in foreign exchange rates versus USD could increase our product costs, thus reducing our gross profit. We have not engaged in the hedging of foreign currency transactions to date, although we may choose to do so in the future. We do not believe that an immediate 10% increase or decrease in the relative value of USD to other currencies would have a material effect on operating results or financial condition.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8_financial_statements_supplementar"/>
      <w:bookmarkEnd w:id="13"/>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4861"/>
        <w:gridCol w:w="711"/>
      </w:tblGrid>
      <w:tr>
        <w:trPr/>
        <w:tc>
          <w:tcPr>
            <w:tcW w:w="486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486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00"/>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report_independent_registered_public_acc">
              <w:r>
                <w:rPr>
                  <w:rStyle w:val="InternetLink"/>
                  <w:rFonts w:ascii="Times New Roman" w:hAnsi="Times New Roman"/>
                  <w:color w:val="0563C1"/>
                  <w:sz w:val="20"/>
                </w:rPr>
                <w:t>Report of Independent Registered Public Accounting Firm</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77</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balance_sheets">
              <w:r>
                <w:rPr>
                  <w:rStyle w:val="InternetLink"/>
                  <w:rFonts w:ascii="Times New Roman" w:hAnsi="Times New Roman"/>
                  <w:color w:val="0563C1"/>
                  <w:sz w:val="20"/>
                </w:rPr>
                <w:t>Balance Sheets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79</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s_operations">
              <w:r>
                <w:rPr>
                  <w:rStyle w:val="InternetLink"/>
                  <w:rFonts w:ascii="Times New Roman" w:hAnsi="Times New Roman"/>
                  <w:color w:val="0563C1"/>
                  <w:sz w:val="20"/>
                </w:rPr>
                <w:t>Statements of Operations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s_comprehensive_loss">
              <w:r>
                <w:rPr>
                  <w:rStyle w:val="InternetLink"/>
                  <w:rFonts w:ascii="Times New Roman" w:hAnsi="Times New Roman"/>
                  <w:color w:val="0563C1"/>
                  <w:sz w:val="20"/>
                </w:rPr>
                <w:t>Statements of Comprehensive Loss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81</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_redeemable_convertible_preferr">
              <w:r>
                <w:rPr>
                  <w:rStyle w:val="InternetLink"/>
                  <w:rFonts w:ascii="Times New Roman" w:hAnsi="Times New Roman"/>
                  <w:color w:val="0563C1"/>
                  <w:sz w:val="20"/>
                </w:rPr>
                <w:t>Statements of Stockholders’ Equity</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82</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tatements_cash_flows">
              <w:r>
                <w:rPr>
                  <w:rStyle w:val="InternetLink"/>
                  <w:rFonts w:ascii="Times New Roman" w:hAnsi="Times New Roman"/>
                  <w:color w:val="0563C1"/>
                  <w:sz w:val="20"/>
                </w:rPr>
                <w:t>Statements of Cash Flows</w:t>
              </w:r>
            </w:hyperlink>
          </w:p>
        </w:tc>
        <w:tc>
          <w:tcPr>
            <w:tcW w:w="711"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83</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notes_to_financial_statements">
              <w:r>
                <w:rPr>
                  <w:rStyle w:val="InternetLink"/>
                  <w:rFonts w:ascii="Times New Roman" w:hAnsi="Times New Roman"/>
                  <w:color w:val="0563C1"/>
                  <w:sz w:val="20"/>
                </w:rPr>
                <w:t>Notes to Financial Statements</w:t>
              </w:r>
            </w:hyperlink>
          </w:p>
        </w:tc>
        <w:tc>
          <w:tcPr>
            <w:tcW w:w="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report_independent_registered_public_acc"/>
      <w:bookmarkEnd w:id="14"/>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Stockholders and Board of Directors </w:t>
      </w:r>
    </w:p>
    <w:p>
      <w:pPr>
        <w:pStyle w:val="TextBody"/>
        <w:bidi w:val="0"/>
        <w:jc w:val="left"/>
        <w:rPr>
          <w:rFonts w:ascii="Times New Roman" w:hAnsi="Times New Roman"/>
          <w:color w:val="000000"/>
          <w:sz w:val="20"/>
        </w:rPr>
      </w:pPr>
      <w:r>
        <w:rPr>
          <w:rFonts w:ascii="Times New Roman" w:hAnsi="Times New Roman"/>
          <w:color w:val="000000"/>
          <w:sz w:val="20"/>
        </w:rPr>
        <w:t xml:space="preserve">Outset Medical, Inc.: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Opinions on the Financial Statements and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the accompanying balance sheets of Outset Medical, Inc. (the Company) as of December 31, 2023 and 2022, the related statements of operations, comprehensive loss, stockholders’ equity, and cash flows for each of the years in the three-year period ended December 31, 2023, and the related notes (collectively, the financial statements). We also have audited the Company’s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our opinion, the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Basis for Opinions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Sufficiency of audit evidence over Tablo console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 2 to the financial statements, the Company generates revenue primarily from the sale of its products and services. Product revenue consists primarily of sales of Tablo consoles and related consumables, including Tablo cartridges and accessories. Service and other revenue consists primarily of revenue generated from service agreements and other revenue from shipping and handling charged to customers. The Company allocates the contracted transaction price to each distinct performance obligation based upon the standalone selling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identified the evaluation of the sufficiency of audit evidence over Tablo console revenue as a critical audit matter. Challenging auditor judgment was required to assess the Company’s manual determination of Tablo console revenue, including the timing of the revenue recognized.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applied auditor judgment to determine the nature and extent of procedures to be performed over the Company’s manual determination of Tablo console revenue, including the timing of the revenue recognized. We evaluated the design and tested the operating effectiveness of certain internal controls over the Company's Tablo console revenue process, including controls over the Company's manual determination and timing of revenue recognized. For a sample of Tablo console revenue transactions, we evaluated the amount and timing of revenue recognized by comparing it to the Company’s manual determination, the underlying contract, and other supporting documentation. In addition, we evaluated the overall sufficiency of audit evidence obtained over Tablo console revenue by assessing the results of procedures performed, including the appropriateness of the nature and extent of audit effort.</w:t>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2011.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February 21,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5" w:name="balance_sheets"/>
      <w:bookmarkEnd w:id="15"/>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52"/>
        <w:gridCol w:w="146"/>
        <w:gridCol w:w="211"/>
        <w:gridCol w:w="931"/>
        <w:gridCol w:w="166"/>
        <w:gridCol w:w="146"/>
        <w:gridCol w:w="211"/>
        <w:gridCol w:w="931"/>
        <w:gridCol w:w="51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shd w:fill="FFFFFF" w:val="clear"/>
            <w:vAlign w:val="center"/>
          </w:tcPr>
          <w:p>
            <w:pPr>
              <w:pStyle w:val="TableContents"/>
              <w:bidi w:val="0"/>
              <w:spacing w:before="0" w:after="283"/>
              <w:jc w:val="center"/>
              <w:rPr/>
            </w:pPr>
            <w:r>
              <w:rPr/>
              <w:t> </w:t>
            </w:r>
          </w:p>
        </w:tc>
      </w:tr>
      <w:tr>
        <w:trPr/>
        <w:tc>
          <w:tcPr>
            <w:tcW w:w="69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r>
      <w:tr>
        <w:trPr/>
        <w:tc>
          <w:tcPr>
            <w:tcW w:w="69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69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200"/>
              <w:jc w:val="righ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73,222</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214,280</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28,070</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51,476</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373,645</w:t>
            </w:r>
          </w:p>
        </w:tc>
        <w:tc>
          <w:tcPr>
            <w:tcW w:w="511" w:type="dxa"/>
            <w:tcBorders/>
            <w:shd w:fill="FFFFFF" w:val="cle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511" w:type="dxa"/>
            <w:tcBorders/>
            <w:shd w:fill="CFF0FC" w:val="cle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15,876</w:t>
            </w:r>
          </w:p>
        </w:tc>
        <w:tc>
          <w:tcPr>
            <w:tcW w:w="511" w:type="dxa"/>
            <w:tcBorders/>
            <w:shd w:fill="FFFFFF" w:val="cle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511" w:type="dxa"/>
            <w:tcBorders/>
            <w:shd w:fill="CFF0FC" w:val="cle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5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400,115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69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warranty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511" w:type="dxa"/>
            <w:tcBorders/>
            <w:shd w:fill="CFF0FC" w:val="clear"/>
            <w:vAlign w:val="center"/>
          </w:tcPr>
          <w:p>
            <w:pPr>
              <w:pStyle w:val="TableContents"/>
              <w:bidi w:val="0"/>
              <w:spacing w:before="0" w:after="283"/>
              <w:ind w:left="0" w:right="0" w:firstLine="300"/>
              <w:jc w:val="left"/>
              <w:rPr/>
            </w:pPr>
            <w:r>
              <w:rPr/>
              <w:t> </w:t>
            </w:r>
          </w:p>
        </w:tc>
      </w:tr>
      <w:tr>
        <w:trPr/>
        <w:tc>
          <w:tcPr>
            <w:tcW w:w="69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51,949</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1" w:type="dxa"/>
            <w:tcBorders/>
            <w:shd w:fill="CFF0FC" w:val="cle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11" w:type="dxa"/>
            <w:tcBorders/>
            <w:shd w:fill="FFFFFF" w:val="cle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511" w:type="dxa"/>
            <w:tcBorders/>
            <w:shd w:fill="CFF0FC" w:val="cle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5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69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5,000 shares authorized, and no shares issued and outstanding as of December 31, 2023 and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300,000 shares authorized as of December 31, 2023 and 2022; 50,317 and 48,465 shares issued and outstanding as of December 31, 2023 and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1,035,456</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(788,950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245,990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400,115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6" w:name="statements_operations"/>
      <w:bookmarkEnd w:id="16"/>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Operations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 except per share amounts)</w:t>
      </w:r>
      <w:r>
        <w:rPr>
          <w:rFonts w:ascii="Times New Roman" w:hAnsi="Times New Roman"/>
          <w:color w:val="000000"/>
          <w:sz w:val="20"/>
        </w:rPr>
        <w:t xml:space="preserve"> </w:t>
      </w:r>
    </w:p>
    <w:tbl>
      <w:tblPr>
        <w:tblW w:w="9733" w:type="dxa"/>
        <w:jc w:val="left"/>
        <w:tblInd w:w="0" w:type="dxa"/>
        <w:tblLayout w:type="fixed"/>
        <w:tblCellMar>
          <w:top w:w="28" w:type="dxa"/>
          <w:left w:w="28" w:type="dxa"/>
          <w:bottom w:w="28" w:type="dxa"/>
          <w:right w:w="28" w:type="dxa"/>
        </w:tblCellMar>
      </w:tblPr>
      <w:tblGrid>
        <w:gridCol w:w="5116"/>
        <w:gridCol w:w="146"/>
        <w:gridCol w:w="211"/>
        <w:gridCol w:w="841"/>
        <w:gridCol w:w="166"/>
        <w:gridCol w:w="146"/>
        <w:gridCol w:w="211"/>
        <w:gridCol w:w="841"/>
        <w:gridCol w:w="166"/>
        <w:gridCol w:w="146"/>
        <w:gridCol w:w="211"/>
        <w:gridCol w:w="841"/>
        <w:gridCol w:w="6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691" w:type="dxa"/>
            <w:tcBorders/>
            <w:shd w:fill="FFFFFF" w:val="clear"/>
            <w:vAlign w:val="center"/>
          </w:tcPr>
          <w:p>
            <w:pPr>
              <w:pStyle w:val="TableContents"/>
              <w:bidi w:val="0"/>
              <w:spacing w:before="0" w:after="283"/>
              <w:jc w:val="center"/>
              <w:rPr/>
            </w:pPr>
            <w:r>
              <w:rPr/>
              <w:t> </w:t>
            </w:r>
          </w:p>
        </w:tc>
      </w:tr>
      <w:tr>
        <w:trPr/>
        <w:tc>
          <w:tcPr>
            <w:tcW w:w="5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84,312</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102,602</w:t>
            </w:r>
          </w:p>
        </w:tc>
        <w:tc>
          <w:tcPr>
            <w:tcW w:w="691" w:type="dxa"/>
            <w:tcBorders/>
            <w:shd w:fill="FFFFFF" w:val="cle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84,639</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116"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691" w:type="dxa"/>
            <w:tcBorders/>
            <w:shd w:fill="CFF0FC" w:val="cle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righ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36,741</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65,070</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36,316</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(130,519</w:t>
            </w:r>
          </w:p>
        </w:tc>
        <w:tc>
          <w:tcPr>
            <w:tcW w:w="6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net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6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(131,736</w:t>
            </w:r>
          </w:p>
        </w:tc>
        <w:tc>
          <w:tcPr>
            <w:tcW w:w="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(131,935</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pPr>
            <w:r>
              <w:rPr/>
              <w:t> </w:t>
            </w:r>
          </w:p>
        </w:tc>
      </w:tr>
      <w:tr>
        <w:trPr/>
        <w:tc>
          <w:tcPr>
            <w:tcW w:w="5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basic and diluted</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45,589</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7" w:name="statements_comprehensive_loss"/>
      <w:bookmarkEnd w:id="17"/>
      <w:r>
        <w:rPr>
          <w:rFonts w:ascii="Times New Roman" w:hAnsi="Times New Roman"/>
          <w:b/>
          <w:color w:val="000000"/>
          <w:sz w:val="20"/>
        </w:rPr>
        <w:t>Statements of Comprehensive Loss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8928" w:type="dxa"/>
        <w:jc w:val="left"/>
        <w:tblInd w:w="0" w:type="dxa"/>
        <w:tblLayout w:type="fixed"/>
        <w:tblCellMar>
          <w:top w:w="28" w:type="dxa"/>
          <w:left w:w="28" w:type="dxa"/>
          <w:bottom w:w="28" w:type="dxa"/>
          <w:right w:w="28" w:type="dxa"/>
        </w:tblCellMar>
      </w:tblPr>
      <w:tblGrid>
        <w:gridCol w:w="4611"/>
        <w:gridCol w:w="146"/>
        <w:gridCol w:w="211"/>
        <w:gridCol w:w="841"/>
        <w:gridCol w:w="166"/>
        <w:gridCol w:w="146"/>
        <w:gridCol w:w="211"/>
        <w:gridCol w:w="841"/>
        <w:gridCol w:w="166"/>
        <w:gridCol w:w="146"/>
        <w:gridCol w:w="211"/>
        <w:gridCol w:w="841"/>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shd w:fill="FFFFFF" w:val="clear"/>
            <w:vAlign w:val="center"/>
          </w:tcPr>
          <w:p>
            <w:pPr>
              <w:pStyle w:val="TableContents"/>
              <w:bidi w:val="0"/>
              <w:spacing w:before="0" w:after="283"/>
              <w:jc w:val="center"/>
              <w:rPr/>
            </w:pPr>
            <w:r>
              <w:rPr/>
              <w:t> </w:t>
            </w:r>
          </w:p>
        </w:tc>
      </w:tr>
      <w:tr>
        <w:trPr/>
        <w:tc>
          <w:tcPr>
            <w:tcW w:w="4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(131,935</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6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18" w:name="statement_redeemable_convertible_preferr"/>
      <w:bookmarkEnd w:id="18"/>
      <w:r>
        <w:rPr>
          <w:rFonts w:ascii="Times New Roman" w:hAnsi="Times New Roman"/>
          <w:b/>
          <w:color w:val="000000"/>
          <w:sz w:val="20"/>
        </w:rPr>
        <w:t>Statements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1"/>
        <w:gridCol w:w="146"/>
        <w:gridCol w:w="511"/>
        <w:gridCol w:w="146"/>
        <w:gridCol w:w="146"/>
        <w:gridCol w:w="196"/>
        <w:gridCol w:w="375"/>
        <w:gridCol w:w="146"/>
        <w:gridCol w:w="146"/>
        <w:gridCol w:w="181"/>
        <w:gridCol w:w="691"/>
        <w:gridCol w:w="146"/>
        <w:gridCol w:w="146"/>
        <w:gridCol w:w="331"/>
        <w:gridCol w:w="690"/>
        <w:gridCol w:w="151"/>
        <w:gridCol w:w="146"/>
        <w:gridCol w:w="194"/>
        <w:gridCol w:w="677"/>
        <w:gridCol w:w="151"/>
        <w:gridCol w:w="146"/>
        <w:gridCol w:w="197"/>
        <w:gridCol w:w="689"/>
        <w:gridCol w:w="396"/>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461" w:type="dxa"/>
            <w:tcBorders/>
            <w:shd w:fill="FFFFFF" w:val="clear"/>
            <w:vAlign w:val="center"/>
          </w:tcPr>
          <w:p>
            <w:pPr>
              <w:pStyle w:val="TableContents"/>
              <w:bidi w:val="0"/>
              <w:spacing w:before="0" w:after="283"/>
              <w:jc w:val="center"/>
              <w:rPr/>
            </w:pPr>
            <w:r>
              <w:rPr/>
              <w:t> </w:t>
            </w:r>
          </w:p>
        </w:tc>
        <w:tc>
          <w:tcPr>
            <w:tcW w:w="15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6" w:type="dxa"/>
            <w:tcBorders/>
            <w:shd w:fill="FFFFFF" w:val="clear"/>
            <w:vAlign w:val="center"/>
          </w:tcPr>
          <w:p>
            <w:pPr>
              <w:pStyle w:val="TableContents"/>
              <w:bidi w:val="0"/>
              <w:spacing w:before="0" w:after="283"/>
              <w:jc w:val="center"/>
              <w:rPr/>
            </w:pPr>
            <w:r>
              <w:rPr/>
              <w:t> </w:t>
            </w:r>
          </w:p>
        </w:tc>
      </w:tr>
      <w:tr>
        <w:trPr/>
        <w:tc>
          <w:tcPr>
            <w:tcW w:w="3461"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2020</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(494,059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328,609</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upon follow-on public offering,</w:t>
              <w:br/>
              <w:t>  net of issuance costs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149,082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149,085</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through employee stock purchase plan</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3,434</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option exercises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7,628</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17,445</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Unrealized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(131,935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(131,935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6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(625,994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374,081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through employee stock purchase plan</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4,202</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for settlement of RSUs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option exercises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27,203</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(162,956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(162,956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6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1,035,456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(788,950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245,990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through employee stock purchase plan</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7,510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option exercises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2,917</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38,634</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Unrealized gain on available-for-sale securities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3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(172,797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(172,797</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6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(961,747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122,886</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sz w:val="20"/>
        </w:rPr>
      </w:pPr>
      <w:bookmarkStart w:id="19" w:name="statements_cash_flows"/>
      <w:bookmarkEnd w:id="19"/>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9968" w:type="dxa"/>
        <w:jc w:val="left"/>
        <w:tblInd w:w="0" w:type="dxa"/>
        <w:tblLayout w:type="fixed"/>
        <w:tblCellMar>
          <w:top w:w="28" w:type="dxa"/>
          <w:left w:w="28" w:type="dxa"/>
          <w:bottom w:w="28" w:type="dxa"/>
          <w:right w:w="28" w:type="dxa"/>
        </w:tblCellMar>
      </w:tblPr>
      <w:tblGrid>
        <w:gridCol w:w="5746"/>
        <w:gridCol w:w="146"/>
        <w:gridCol w:w="196"/>
        <w:gridCol w:w="751"/>
        <w:gridCol w:w="166"/>
        <w:gridCol w:w="146"/>
        <w:gridCol w:w="196"/>
        <w:gridCol w:w="751"/>
        <w:gridCol w:w="166"/>
        <w:gridCol w:w="146"/>
        <w:gridCol w:w="196"/>
        <w:gridCol w:w="751"/>
        <w:gridCol w:w="61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(172,797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(162,956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(131,935</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(amortization) of discount (premium) on investments,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Provision for inventories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non-cash items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extinguishment of term loan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7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(19,137</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(22,042</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compensation and related benefits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7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warranty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7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(3,108</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investment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(172,284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(261,154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(178,432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Maturities of investment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39,033</w:t>
            </w:r>
          </w:p>
        </w:tc>
        <w:tc>
          <w:tcPr>
            <w:tcW w:w="611" w:type="dxa"/>
            <w:tcBorders/>
            <w:shd w:fill="CFF0FC" w:val="cle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(66,295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(142,507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stock option exercises and ESPP purchases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 of term loans, net of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7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Repayment of term loan and extinguishment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Proceeds from issuance of common stock upon </w:t>
              <w:br/>
              <w:t>  the follow-on public offering, net of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149,085</w:t>
            </w:r>
          </w:p>
        </w:tc>
        <w:tc>
          <w:tcPr>
            <w:tcW w:w="611" w:type="dxa"/>
            <w:tcBorders/>
            <w:shd w:fill="CFF0FC" w:val="cle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160,147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(139,126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(112,624</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as of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as of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215,659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disclosures: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the measurement of 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tbl>
      <w:tblPr>
        <w:tblW w:w="9013" w:type="dxa"/>
        <w:jc w:val="left"/>
        <w:tblInd w:w="0" w:type="dxa"/>
        <w:tblLayout w:type="fixed"/>
        <w:tblCellMar>
          <w:top w:w="28" w:type="dxa"/>
          <w:left w:w="28" w:type="dxa"/>
          <w:bottom w:w="28" w:type="dxa"/>
          <w:right w:w="28" w:type="dxa"/>
        </w:tblCellMar>
      </w:tblPr>
      <w:tblGrid>
        <w:gridCol w:w="6046"/>
        <w:gridCol w:w="146"/>
        <w:gridCol w:w="211"/>
        <w:gridCol w:w="421"/>
        <w:gridCol w:w="146"/>
        <w:gridCol w:w="146"/>
        <w:gridCol w:w="211"/>
        <w:gridCol w:w="421"/>
        <w:gridCol w:w="146"/>
        <w:gridCol w:w="146"/>
        <w:gridCol w:w="211"/>
        <w:gridCol w:w="571"/>
        <w:gridCol w:w="19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6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inventories to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included in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property and equipment to 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notes_to_financial_statements"/>
      <w:bookmarkEnd w:id="20"/>
      <w:r>
        <w:rPr>
          <w:rFonts w:ascii="Times New Roman" w:hAnsi="Times New Roman"/>
          <w:b/>
          <w:color w:val="000000"/>
          <w:sz w:val="20"/>
        </w:rPr>
        <w:t>Notes to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Outset Medical, Inc. (the Company) is a medical technology company pioneering a first-of-its-kind technology to reduce the cost and complexity of dialysis. Tablo® Hemodialysis System, cleared by the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has incurred net losses and negative cash flows from operations. The Company incurred net losses of $172.8 million, $163.0 million and $131.9 million for the years ended December 31, 2023, 2022, and 2021, respectively. As of December 31, 2023, the Company had an accumulated deficit of $961.7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had a total cash, cash equivalents, restricted cash, and short-term investments balance of $206.7 million. In January 2024, the Company received $66.5 million under the SLR Term Loan Facility (see Notes 7 and 12 for further details). The Company is subject to certain covenants limiting or restricting its ability to take specific actions, such as incurring additional debt, making capital expenditures or declaring dividends.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cash generated from sales, and proceeds received from the debt financing described in Note 7, will be sufficient to meet its anticipated needs for at least the next 12 months from the issuance date of the accompanying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U.S. GAAP. All share amounts disclosed in the notes to the financial statements are rounded to the nearest thousand except for per share amounts. </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financial statements in conformity with U.S. GAAP requires management to make judgments, estimates, and assumptions that affect the reported amounts of assets and liabilities and disclosure of contingent assets and liabilities as of the date of the financial statements and the reported amounts of revenue and expenses. These judgments, estimates and assumptions are used for, but not limited to, revenue recognition, allowance for credit losses, inventory valuation and write-downs, warranty obligations, the fair value of equity awards, the valuation of investments, recoverability of the Company’s net deferred tax assets, and certain accrued expenses. The Company evaluates its estimates and assumptions on an ongoing basis using historical experience and other factors and adjusts those estimates and assumptions when facts and circumstances dictate. Actual results may differ from those estimates under different assumptions or conditions and the differences may be material.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a concentration of credit risk consist of cash and cash equivalents, restricted cash, short-term investments, and accounts receivable. Substantially all the Company’s cash and cash equivalents, restricted cash, and investments are held at one financial institution in the United States that management believes is of high credit quality. Such investments may, at times, exceed federally insured limits or may not be covered by deposit insurance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2023, 2022 and 2021, the Company's largest customer accounted for 13%, 14% and 30% of revenues, respectively. For the year ended December 31, 2021, another customer accounted for 15% of revenues.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unsecured; however, the Company does assess the collectability of accounts receivable based on a number of factors, including past transaction history with, and the creditworthiness of, the customer. Accordingly, the Company is exposed to credit risk associated with accounts receivable. To reduce risk, the Company closely monitors the amounts due from its customers and assesses the financial strength of its customers through a variety of methods that include, but are not limited to, engaging directly with customer operations and leadership personnel, visiting customer locations to observe operating activities, and assessing customer longevity and reputation in the marketplace. As a result, the Company believes that its accounts receivable credit risk exposure is limited. A material default in payment or a material reduction in purchases from these or any other large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have a material adverse impact on the Company’s financial condition, results of operations, and liquidity. One customer accounted for 14% of accounts receivable as of December 31, 2023. Another customer accounted for 13% of accounts receivable as of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manufactures Tablo consoles, and a majority of Tablo cartridges, at its manufacturing facility in Tijuana, Mexico which it operates in collaboration with its outsourced business administration service provider, TACNA. The Company is subject to a number of risks associated with operating its Mexico-based manufacturing facility, and many of these risks may heighten to the extent the Company continues to ramp its cartridge manufacturing capabilities and increase its dependence on the Mexico-based manufacturing operations. The Company may experience strikes, work stoppages, work slowdowns, high personnel turnover, grievances, complaints, claims of unfair labor practices, other collective bargaining disputes or other labor disputes at its facility. The manufacturing operations at the facility may also suffer disruptions from global or regional public health crises such as the recent COVID-19 pandemic, natural disasters, cyber security attacks, vandalism, terrorism or other political hostilities. Any such occurrences could negatively impact the Company’s ability to produce Tablo consoles and cartridges. The Company is also subject to a variety of foreign laws and regulations, including trade and labor restrictions and laws relating to importation, exportation and taxation of goods, and U.S. laws and regulations relating to foreign operations. In addition, because certain of its Mexico-based manufacturing operations incur costs that are denominated in MXN, the Company is exposed to additional risk of currency fluctuations between USD and MXN, which could increase its product and labor costs, thus reducing its gross profit. To date, foreign currency transaction gains and losses have not been material to the Company’s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fair value of an asset or liability based on the assumptions that market participants would use in pricing the asset or liability in an orderly transaction between market participants at the measurement date. The identification of market participant assumptions provides a basis for determining what inputs are to be used for pricing each asset or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financial instruments using a three-tiered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cash and cash equivalents, restricted cash, accounts receivable, accounts payable and accrued liabilities approximate their fair value due to their short maturities.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Credit Losses</w:t>
      </w:r>
    </w:p>
    <w:p>
      <w:pPr>
        <w:pStyle w:val="TextBody"/>
        <w:bidi w:val="0"/>
        <w:spacing w:before="120" w:after="283"/>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Accounts receivable are recorded at invoice value, net of any allowance for credit losses. The allowance for credit losses is based on the Company’s assessment of the Company’s best estimate of the amount of credit losses in customer accounts. The Company regularly reviews the allowance by considering factors such as existing contractual payment terms, historical experience, credit quality, the age of the accounts receivable balances, and current economic conditions that may affect a customer’s ability to pay. The allowance for credit losses was not significant as of December 31, 2023 and 2022.</w:t>
      </w:r>
    </w:p>
    <w:p>
      <w:pPr>
        <w:pStyle w:val="TextBody"/>
        <w:bidi w:val="0"/>
        <w:spacing w:before="120" w:after="283"/>
        <w:jc w:val="left"/>
        <w:rPr>
          <w:rFonts w:ascii="Times New Roman" w:hAnsi="Times New Roman"/>
          <w:sz w:val="20"/>
        </w:rPr>
      </w:pPr>
      <w:r>
        <w:rPr>
          <w:rFonts w:ascii="Times New Roman" w:hAnsi="Times New Roman"/>
          <w:i/>
          <w:color w:val="000000"/>
          <w:sz w:val="20"/>
        </w:rPr>
        <w:t>Available-for-sale debt securities</w:t>
      </w:r>
      <w:r>
        <w:rPr>
          <w:rFonts w:ascii="Times New Roman" w:hAnsi="Times New Roman"/>
          <w:color w:val="000000"/>
          <w:sz w:val="20"/>
        </w:rPr>
        <w:t>. The Company primarily holds U.S. government-sponsored enterprises debt securities, corporate debt securities, commercial paper, U.S. Treasury securities and money market funds. 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government-sponsored enterprises debt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Equivalents and 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from the date of purchase to be cash equivalents. Cash equivalents are stated at fair value and consist primarily of amounts invested in money market funds and U.S. government-sponsored enterprises debt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primarily holds U.S. government-sponsored enterprises debt securities, corporate debt securities, commercial paper, and U.S. Treasury securities, and has the ability, if necessary, to liquidate any of its investments to meet its liquidity needs in the next 12 months, without significant penalty. Accordingly, those investments with contractual maturities greater than one year from the date of purchase are classified as short-term investments on the accompanying balance sheets. Short-term investments have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classified as available-for-sale at the time of purchase. The Company evaluates the appropriate classification of its investments as of each balance sheet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 securities are recorded at fair value based on the fair value hierarchy. Money market funds and U.S. Treasury securities are classified within Level 1 of the fair value hierarchy. Other securities are classified within Level 2 of the fair value hierarchy. Unrealized gains and losses, deemed temporary in nature, are reported as a separate component of accumulated other comprehensive income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fair value of any security below cost that is deemed other than temporary results in a charge to earnings and the corresponding establishment of a new cost basis for the security. Premiums (discounts) are amortized (accreted) into interest income over the life of the related security as an adjustment to yield using the straight-line interest method. Dividend and interest income are recognized when earned. Realized gains and losses are included in earnings and are derived using the specific identification method for determining the cost of securities sold. </w:t>
      </w:r>
    </w:p>
    <w:p>
      <w:pPr>
        <w:pStyle w:val="TextBody"/>
        <w:bidi w:val="0"/>
        <w:spacing w:before="24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stated at the lower of cost or net realizable value, with approximate costs determined on a first-in, first-out basis. Inventory costs include direct materials, direct labor, and normal manufacturing overhead. The carrying value of inventories is reduced for any products that are considered excessive or obsolete based upon assumptions about future demand and market conditions.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statements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stated at cost, net of accumulated depreciation. Depreciation is generally computed using the straight-line method based on the estimated useful lives of the assets, which is generally two to five years. Leasehold improvements are amortized using the straight-line method over the shorter of the assets estimated useful lives or the remaining term of the lease. Maintenance and repairs are charged to expense as incurred. Significant improvements that substantially enhance the useful life of an asset are capitalized and depreciated. When assets are retired or disposed of, the cost together with related accumulated depreciation is removed from the balance sheet and any resulting gain or loss is reflected in the statements of operations in the period realized.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as of December 31, 2023 and 2022. </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is a lease at inception by assessing whether the arrangement contains an identified asset and whether it has the right to control the identified asset. Right-of-use (ROU) assets represent the Company’s right to use an underlying asset for the lease term. Operating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implicit rate in the Company’s leases is generally unknown, the Company uses its incremental borrowing rate based on the information available at the commencement date in determining the present value of lease payments. The lease terms may include options to extend or terminate the lease when the Company is reasonably certain it will exercise such options. Lease costs for the Company’s operating leases are recognized on a straight-line basis over the reasonably assured lease term. Variable lease payments include lease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not separate lease and non-lease components for any leases within its existing classes of assets and, as a result, accounts for any lease and non-lease components as a single lease component. The Company has also elected to not apply the recognition requirement to any leases within its existing classes of assets with a term of 12 months or less and does not include an option to purchase the underlying asset that the Company is reasonably certain to exercise.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Warranty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provides a one-year warranty for defective parts and workmanship on its Tablo consoles, commencing upon the transfer of title and risk of loss to the customer. The Company accrues the estimated cost of product warranties when it invoices the customer, based on historical experience and expected results. Should actual product failure rates and material usage costs differ from these estimates, revisions to the estimated warranty liability would be required. The Company periodically assesses the adequacy of its recorded product warranty liabilities and adjusts the balance as required. Warranty expense is recorded as a component of cost of product revenue in the statements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Liabilities -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revenue recognition may differ from the timing of invoicing to customers. The Company records deferred revenue when revenue is recognized subsequent to invoicing. For service agreements, the Company generally invoices customers annually at the beginning of each annual coverage period. Deferred revenue that will be recognized during the 12 months following the balance sheet date is recorded as the current portion of deferred revenue and the remaining portion is recorded as noncurrent.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revenue primarily from the sale of its products and services. Product revenue consists primarily of sales of Tablo consoles and related consumables, including Tablo cartridges and accessories. Service and other revenue consists primarily of revenue generated from service agreements and other revenue from shipping and handling charged to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customer contract defines our distinct performance obligations and the associated transaction price for each obligation. Tablo consoles and consumables are generally sold without the right of return. Revenue is recognized when a performance obligation is satisfied. Revenue from product sales is recognized at a point in time when management has determined that control has transferred to the customer, which is generally when legal title has transferred to the customer. Revenue from service agreements is recognized over time as the service is performed, typically evenly over the service period. Certain contracts include variable consideration such as rebates, revenue for such contracts is recognized only to the extent that it is probable that a significant reversal in the amount of cumulative revenue recognized will not occur when the uncertainty associated with the variable consideration is subsequently resolved. Revenue is recognized net of any taxes collected from customers, which are subsequently remitted to governmental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contracts with customers often include multiple performance obligations, such as products and services. The Company determines the SSP based upon the facts and circumstances of each performance obligation (product or services), which often requires management's judgement. The Company uses an observable price to estimate SSP for items that are sold separately, including service agreements. In instances where SSP is not directly observable, such as when the Company does not sell the product or service separately, the Company determines the SSP using information that may include market conditions and other observable inputs and allocates the contracted transaction price to each distinct performance obligation based upon the relative SSP. When SSP is not directly observable for a performance obligation, the Company utilizes the residual method to allocate revenue. The Company may offer additional goods or services to customers at the inception of customer contracts at prices not at SSP. If such contracts result in a material right, the Company allocates part of the transaction price to that right and recognizes the associated revenue when those future goods and services are transferred to the customer. SSP is assigned based on the estimated value of the material right. The Company establishes SSP ranges for its products and services and reassesses them periodically.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product sales include commissions. The Company applies the practical expedient to expense the commissions as incurred as the expected amortization period is one year or less. Commissions are recorded as sales and marketing expenses in the statements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Lease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operating lease arrangements that contain both lease and non-lease elements. The lease element includes Tablo consoles, while non-lease elements include consumables, services and training. Revenue related to such arrangements is allocated to lease and non-lease elements based on their relative SSP. Revenue for the lease element, net of any taxes collected from customers, is recognized on a straight-line basis as product revenue over the lease term, generally one month to one year, in the statements of operations. The costs of the leased Tablo consoles are included in property and equipment, net on the balance sheets and amortized to cost of product revenue.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Shipping and handling charged to customers are recorded as revenue. Shipping and handling costs are expensed as incurred and are included in sales and marketing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relates to stock options with a service-based vesting condition, stock options with performance and market-based vesting conditions, stock purchase rights under the ESPP, Restricted Stock Units (RSUs) and Performance Stock Units (PSUs) with performance or market-based vesting conditions. Stock-based compensation expense for the Company’s stock-based awards is based on their grant date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For all service-based stock options granted, the Company calculates the expected term using the simplified method for “plain vanilla” stock option awards. The Company had no publicly available stock price information prior to the IPO and limited available stock price information subsequent to the IPO; therefore, the Company has used the historical volatility of the stock price of similar publicly traded peer companies. The risk-free interest rate is based on the yield available on U.S. Treasury zero-coupon issues similar in duration to the expected term on the equity settled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stock options with performance- and market-based vesting conditions, stock-based compensation expense begins to be recognized over the remaining service period when it is considered probable that the performance vesting condition will be satisfied. Stock-based compensation expense related to these options is recognized using the accelerated attribution method as the performance-based vesting condition and not reversed if the achievement of the market condition does not occur. The fair value of these stock options is estimated using the Monte Carlo simulation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RSUs and PSUs with a service- or performance-based vesting condition is based on the market price of the Company’s common stock on the date of grant. The determination of the stock-based compensation expense related to PSUs to be recognized in the statements of operations requires the use of certain estimates and assumptions. At each reported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 cumulative catch-up in the period of adjustment. If any of the assumptions or estimates used change significantly, stock-based compensation expense may differ materially from what the Company has recorded in the current period. The fair value of PSUs with a market-based vesting condition is estimated using the Monte Carlo simulation model. Stock-based compensation expense related to these PSUs is recognized using the accelerated attribution method and not reversed if the achievement of the market conditions does not occur.</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expenses all research and development costs as incurred. These expenses include the costs of proprietary research and development efforts, quality engineering, clinical studies and trials, and regulatory affairs. Costs primarily consist of compensation and personnel costs, regulatory fees, consulting services, laboratory supplies and materials expenses, and infrastructure costs including facilities, depreciation, and information technology.</w:t>
      </w:r>
    </w:p>
    <w:p>
      <w:pPr>
        <w:pStyle w:val="TextBody"/>
        <w:bidi w:val="0"/>
        <w:spacing w:before="240" w:after="283"/>
        <w:jc w:val="left"/>
        <w:rPr>
          <w:rFonts w:ascii="Times New Roman" w:hAnsi="Times New Roman"/>
          <w:sz w:val="20"/>
        </w:rPr>
      </w:pPr>
      <w:r>
        <w:rPr>
          <w:rFonts w:ascii="Times New Roman" w:hAnsi="Times New Roman"/>
          <w:b/>
          <w:i/>
          <w:color w:val="000000"/>
          <w:sz w:val="20"/>
        </w:rPr>
        <w:t>Advertising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expensed as incurred. The advertising costs for years ended December 31, 2023, 2022, and 2021 were not significant.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under the liability method. Under this method, deferred tax assets and liabilities are determined based on differences between financial reporting and tax reporting bases of assets and liabilities and remeasured using enacted tax rates and laws that are expected to be in effect when the differences are expected to reverse. Realization of deferred tax assets is dependent upon future earnings, the timing and amount of which are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includes any penalties and interest expense related to income taxes as a component of other expense, net, as necessary.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shares of common stock outstanding for the period, without consideration for potential dilutive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Diluted net loss per share is computed by dividing the net loss by the weighted-average number of common shares and common share equivalents of potentially dilutive securities outstanding for the period. For purposes of the diluted net loss per share calculation, awards under the Company’s equity compensation plan and warrants are considered to be potentially dilutive securities. For periods in which the Company reports net losses, basic net loss per share is the same as diluted net loss per share because the effects of potentially dilutive securities are antidilutive. </w:t>
      </w:r>
    </w:p>
    <w:p>
      <w:pPr>
        <w:pStyle w:val="TextBody"/>
        <w:bidi w:val="0"/>
        <w:spacing w:before="240" w:after="283"/>
        <w:jc w:val="left"/>
        <w:rPr>
          <w:rFonts w:ascii="Times New Roman" w:hAnsi="Times New Roman"/>
          <w:sz w:val="20"/>
        </w:rPr>
      </w:pPr>
      <w:r>
        <w:rPr>
          <w:rFonts w:ascii="Times New Roman" w:hAnsi="Times New Roman"/>
          <w:b/>
          <w:i/>
          <w:color w:val="000000"/>
          <w:sz w:val="20"/>
        </w:rPr>
        <w:t>Employee Benefit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defined contribution retirement savings plan under Section 401(k) of the Internal Revenue Code. This plan allows eligible employees to defer a portion of their eligible compensation on a pre- or post-tax basis. The Company is authorized to make matching contributions but did not make such contributions for the year ended December 31, 2021. Effective January 1, 2022, the Company began to match 100% of each employee’s contributions up to a maximum matching contribution equal to 2% of such employee’s eligible compensation, subject to the terms and limitations of the 401(k) plan and applicable law. The Company's matching contributions were $1.7 million and $1.4 million for the years ended December 31, 2023 and 2022,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operating segment. The Company’s chief operating decision maker, its Chief Executive Officer, reviews financial information on an aggregate basis for the purposes of allocating resources and evaluating financial performance. The Company operates a manufacturing facility in Mexico. The Company's long-lived tangible assets, net, as well as the Company's operating lease right-of-use assets recognized on the balance sheets, located in Mexico were $9.8 million as of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2016, the Financial Accounting Standards Board (FASB) issued ASU No. 2016-13, </w:t>
      </w:r>
      <w:r>
        <w:rPr>
          <w:rFonts w:ascii="Times New Roman" w:hAnsi="Times New Roman"/>
          <w:i/>
          <w:color w:val="000000"/>
          <w:sz w:val="20"/>
        </w:rPr>
        <w:t>Financial Instruments - Credit Losses (Topic 326) Measurement of Credit Losses on Financial Instruments</w:t>
      </w:r>
      <w:r>
        <w:rPr>
          <w:rFonts w:ascii="Times New Roman" w:hAnsi="Times New Roman"/>
          <w:color w:val="000000"/>
          <w:sz w:val="20"/>
        </w:rPr>
        <w:t xml:space="preserve"> (ASU 2016-13), which requires an entity to utilize a new impairment model known as the current 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The Company adopted ASU 2016-13 as of January 1, 2023. The adoption did not have a material impact on the Company's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 xml:space="preserve">Segment Reporting (Topic 280): Improvements to Reportable Segment Disclosures </w:t>
      </w:r>
      <w:r>
        <w:rPr>
          <w:rFonts w:ascii="Times New Roman" w:hAnsi="Times New Roman"/>
          <w:color w:val="000000"/>
          <w:sz w:val="20"/>
        </w:rPr>
        <w:t>(ASU 2023-07), which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This ASU is effective for fiscal years beginning after December 15, 2023, and interim periods within fiscal years beginning after December 15, 2024. Early adoption is permitted. The Company is currently evaluating the impact of the adoption of ASU 2023-07 on its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 xml:space="preserve">Improvements to Income Tax Disclosures </w:t>
      </w:r>
      <w:r>
        <w:rPr>
          <w:rFonts w:ascii="Times New Roman" w:hAnsi="Times New Roman"/>
          <w:color w:val="000000"/>
          <w:sz w:val="20"/>
        </w:rPr>
        <w:t>(ASU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fiscal years beginning after December 15, 2024. The Company does not expect the adoption of ASU 2023-09 to have a material impact on its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3. Revenue from Contracts with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Revenue by source consisted of the following (in thousands): </w:t>
      </w:r>
    </w:p>
    <w:tbl>
      <w:tblPr>
        <w:tblW w:w="2882" w:type="dxa"/>
        <w:jc w:val="left"/>
        <w:tblInd w:w="0" w:type="dxa"/>
        <w:tblLayout w:type="fixed"/>
        <w:tblCellMar>
          <w:top w:w="28" w:type="dxa"/>
          <w:left w:w="28" w:type="dxa"/>
          <w:bottom w:w="28" w:type="dxa"/>
          <w:right w:w="28" w:type="dxa"/>
        </w:tblCellMar>
      </w:tblPr>
      <w:tblGrid>
        <w:gridCol w:w="161"/>
        <w:gridCol w:w="146"/>
        <w:gridCol w:w="580"/>
        <w:gridCol w:w="161"/>
        <w:gridCol w:w="161"/>
        <w:gridCol w:w="580"/>
        <w:gridCol w:w="161"/>
        <w:gridCol w:w="161"/>
        <w:gridCol w:w="580"/>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18" w:type="dxa"/>
        <w:jc w:val="left"/>
        <w:tblInd w:w="0" w:type="dxa"/>
        <w:tblLayout w:type="fixed"/>
        <w:tblCellMar>
          <w:top w:w="28" w:type="dxa"/>
          <w:left w:w="28" w:type="dxa"/>
          <w:bottom w:w="28" w:type="dxa"/>
          <w:right w:w="28" w:type="dxa"/>
        </w:tblCellMar>
      </w:tblPr>
      <w:tblGrid>
        <w:gridCol w:w="2221"/>
        <w:gridCol w:w="146"/>
        <w:gridCol w:w="211"/>
        <w:gridCol w:w="781"/>
        <w:gridCol w:w="146"/>
        <w:gridCol w:w="146"/>
        <w:gridCol w:w="211"/>
        <w:gridCol w:w="781"/>
        <w:gridCol w:w="146"/>
        <w:gridCol w:w="146"/>
        <w:gridCol w:w="211"/>
        <w:gridCol w:w="781"/>
        <w:gridCol w:w="4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65,133</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84,312</w:t>
            </w:r>
          </w:p>
        </w:tc>
        <w:tc>
          <w:tcPr>
            <w:tcW w:w="4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102,602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years ended December 31, 2023, 2022 and 2021, $0.3 million, $2.0 million and $4.7 million, respectively, of consoles revenue were from console operating lease arrangements.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Remaining Performance Obligations and 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aggregate amount of the transaction price allocated to the remaining performance obligations related to service agreements that are unsatisfied or partially unsatisfied was $11.8 million, which is recorded as deferred revenue on the Company’s balance sheet. Of that amount, $11.7 million will be recognized as revenue during the year ended December 31, 2024 and $0.1 million thereafter.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contract liabilities consist of deferred revenue which represents payments received in advance of revenue recognition. During the years ended December 31, 2023, 2022 and 2021, the Company recognized $8.7 million, $6.3 million, and $3.2 million, respectively, of previously deferred revenue. </w:t>
      </w:r>
    </w:p>
    <w:p>
      <w:pPr>
        <w:pStyle w:val="TextBody"/>
        <w:bidi w:val="0"/>
        <w:spacing w:before="240" w:after="283"/>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and liabilities measured at fair value on a recurring basis by level within the fair value hierarchy (in thousands): </w:t>
      </w:r>
    </w:p>
    <w:tbl>
      <w:tblPr>
        <w:tblW w:w="10205" w:type="dxa"/>
        <w:jc w:val="left"/>
        <w:tblInd w:w="0" w:type="dxa"/>
        <w:tblLayout w:type="fixed"/>
        <w:tblCellMar>
          <w:top w:w="28" w:type="dxa"/>
          <w:left w:w="28" w:type="dxa"/>
          <w:bottom w:w="28" w:type="dxa"/>
          <w:right w:w="28" w:type="dxa"/>
        </w:tblCellMar>
      </w:tblPr>
      <w:tblGrid>
        <w:gridCol w:w="3242"/>
        <w:gridCol w:w="346"/>
        <w:gridCol w:w="991"/>
        <w:gridCol w:w="146"/>
        <w:gridCol w:w="213"/>
        <w:gridCol w:w="793"/>
        <w:gridCol w:w="146"/>
        <w:gridCol w:w="146"/>
        <w:gridCol w:w="345"/>
        <w:gridCol w:w="691"/>
        <w:gridCol w:w="146"/>
        <w:gridCol w:w="146"/>
        <w:gridCol w:w="372"/>
        <w:gridCol w:w="664"/>
        <w:gridCol w:w="166"/>
        <w:gridCol w:w="146"/>
        <w:gridCol w:w="215"/>
        <w:gridCol w:w="798"/>
        <w:gridCol w:w="493"/>
      </w:tblGrid>
      <w:tr>
        <w:trPr/>
        <w:tc>
          <w:tcPr>
            <w:tcW w:w="3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24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right"/>
              <w:rPr/>
            </w:pPr>
            <w:r>
              <w:rPr/>
              <w:t> </w:t>
            </w:r>
          </w:p>
        </w:tc>
        <w:tc>
          <w:tcPr>
            <w:tcW w:w="493" w:type="dxa"/>
            <w:tcBorders/>
            <w:shd w:fill="CFF0FC" w:val="clear"/>
            <w:vAlign w:val="center"/>
          </w:tcPr>
          <w:p>
            <w:pPr>
              <w:pStyle w:val="TableContents"/>
              <w:bidi w:val="0"/>
              <w:spacing w:before="0" w:after="283"/>
              <w:jc w:val="right"/>
              <w:rPr/>
            </w:pPr>
            <w:r>
              <w:rPr/>
              <w:t> </w:t>
            </w:r>
          </w:p>
        </w:tc>
      </w:tr>
      <w:tr>
        <w:trPr/>
        <w:tc>
          <w:tcPr>
            <w:tcW w:w="3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ind w:left="0" w:right="0" w:firstLine="200"/>
              <w:jc w:val="right"/>
              <w:rPr/>
            </w:pPr>
            <w:r>
              <w:rPr/>
              <w:t> </w:t>
            </w:r>
          </w:p>
        </w:tc>
      </w:tr>
      <w:tr>
        <w:trPr/>
        <w:tc>
          <w:tcPr>
            <w:tcW w:w="324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493" w:type="dxa"/>
            <w:tcBorders/>
            <w:shd w:fill="CFF0FC" w:val="clear"/>
            <w:vAlign w:val="center"/>
          </w:tcPr>
          <w:p>
            <w:pPr>
              <w:pStyle w:val="TableContents"/>
              <w:bidi w:val="0"/>
              <w:spacing w:before="0" w:after="283"/>
              <w:jc w:val="left"/>
              <w:rPr/>
            </w:pPr>
            <w:r>
              <w:rPr/>
              <w:t> </w:t>
            </w:r>
          </w:p>
        </w:tc>
      </w:tr>
      <w:tr>
        <w:trPr/>
        <w:tc>
          <w:tcPr>
            <w:tcW w:w="3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ind w:left="0" w:right="0" w:firstLine="200"/>
              <w:jc w:val="right"/>
              <w:rPr/>
            </w:pPr>
            <w:r>
              <w:rPr/>
              <w:t> </w:t>
            </w:r>
          </w:p>
        </w:tc>
      </w:tr>
      <w:tr>
        <w:trPr/>
        <w:tc>
          <w:tcPr>
            <w:tcW w:w="3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53,816</w:t>
            </w:r>
          </w:p>
        </w:tc>
        <w:tc>
          <w:tcPr>
            <w:tcW w:w="493" w:type="dxa"/>
            <w:tcBorders/>
            <w:shd w:fill="CFF0FC" w:val="clear"/>
            <w:vAlign w:val="center"/>
          </w:tcPr>
          <w:p>
            <w:pPr>
              <w:pStyle w:val="TableContents"/>
              <w:bidi w:val="0"/>
              <w:spacing w:before="0" w:after="283"/>
              <w:ind w:left="0" w:right="0" w:firstLine="200"/>
              <w:jc w:val="left"/>
              <w:rPr/>
            </w:pPr>
            <w:r>
              <w:rPr/>
              <w:t> </w:t>
            </w:r>
          </w:p>
        </w:tc>
      </w:tr>
      <w:tr>
        <w:trPr/>
        <w:tc>
          <w:tcPr>
            <w:tcW w:w="3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government-sponsored enterprises </w:t>
              <w:br/>
              <w:t>   debt securities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29,631</w:t>
            </w:r>
          </w:p>
        </w:tc>
        <w:tc>
          <w:tcPr>
            <w:tcW w:w="493" w:type="dxa"/>
            <w:tcBorders/>
            <w:shd w:fill="FFFFFF" w:val="clear"/>
            <w:vAlign w:val="center"/>
          </w:tcPr>
          <w:p>
            <w:pPr>
              <w:pStyle w:val="TableContents"/>
              <w:bidi w:val="0"/>
              <w:spacing w:before="0" w:after="283"/>
              <w:ind w:left="0" w:right="0" w:firstLine="200"/>
              <w:jc w:val="left"/>
              <w:rPr/>
            </w:pPr>
            <w:r>
              <w:rPr/>
              <w:t> </w:t>
            </w:r>
          </w:p>
        </w:tc>
      </w:tr>
      <w:tr>
        <w:trPr/>
        <w:tc>
          <w:tcPr>
            <w:tcW w:w="324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w:t>
            </w:r>
          </w:p>
        </w:tc>
        <w:tc>
          <w:tcPr>
            <w:tcW w:w="493" w:type="dxa"/>
            <w:tcBorders/>
            <w:shd w:fill="CFF0FC" w:val="clear"/>
            <w:vAlign w:val="center"/>
          </w:tcPr>
          <w:p>
            <w:pPr>
              <w:pStyle w:val="TableContents"/>
              <w:bidi w:val="0"/>
              <w:spacing w:before="0" w:after="283"/>
              <w:ind w:left="0" w:right="0" w:firstLine="200"/>
              <w:jc w:val="left"/>
              <w:rPr/>
            </w:pPr>
            <w:r>
              <w:rPr/>
              <w:t> </w:t>
            </w:r>
          </w:p>
        </w:tc>
      </w:tr>
      <w:tr>
        <w:trPr/>
        <w:tc>
          <w:tcPr>
            <w:tcW w:w="324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 xml:space="preserve">Total cash equivalents and </w:t>
              <w:br/>
              <w:t>   short-term investments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179,698</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42"/>
        <w:gridCol w:w="346"/>
        <w:gridCol w:w="991"/>
        <w:gridCol w:w="146"/>
        <w:gridCol w:w="213"/>
        <w:gridCol w:w="793"/>
        <w:gridCol w:w="146"/>
        <w:gridCol w:w="146"/>
        <w:gridCol w:w="392"/>
        <w:gridCol w:w="644"/>
        <w:gridCol w:w="146"/>
        <w:gridCol w:w="146"/>
        <w:gridCol w:w="315"/>
        <w:gridCol w:w="721"/>
        <w:gridCol w:w="166"/>
        <w:gridCol w:w="146"/>
        <w:gridCol w:w="215"/>
        <w:gridCol w:w="798"/>
        <w:gridCol w:w="493"/>
      </w:tblGrid>
      <w:tr>
        <w:trPr/>
        <w:tc>
          <w:tcPr>
            <w:tcW w:w="3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24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right"/>
              <w:rPr/>
            </w:pPr>
            <w:r>
              <w:rPr/>
              <w:t> </w:t>
            </w:r>
          </w:p>
        </w:tc>
        <w:tc>
          <w:tcPr>
            <w:tcW w:w="493" w:type="dxa"/>
            <w:tcBorders/>
            <w:shd w:fill="CFF0FC" w:val="clear"/>
            <w:vAlign w:val="center"/>
          </w:tcPr>
          <w:p>
            <w:pPr>
              <w:pStyle w:val="TableContents"/>
              <w:bidi w:val="0"/>
              <w:spacing w:before="0" w:after="283"/>
              <w:jc w:val="right"/>
              <w:rPr/>
            </w:pPr>
            <w:r>
              <w:rPr/>
              <w:t> </w:t>
            </w:r>
          </w:p>
        </w:tc>
      </w:tr>
      <w:tr>
        <w:trPr/>
        <w:tc>
          <w:tcPr>
            <w:tcW w:w="3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ind w:left="0" w:right="0" w:firstLine="200"/>
              <w:jc w:val="right"/>
              <w:rPr/>
            </w:pPr>
            <w:r>
              <w:rPr/>
              <w:t> </w:t>
            </w:r>
          </w:p>
        </w:tc>
      </w:tr>
      <w:tr>
        <w:trPr/>
        <w:tc>
          <w:tcPr>
            <w:tcW w:w="324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42,834</w:t>
            </w:r>
          </w:p>
        </w:tc>
        <w:tc>
          <w:tcPr>
            <w:tcW w:w="493" w:type="dxa"/>
            <w:tcBorders/>
            <w:shd w:fill="CFF0FC" w:val="clear"/>
            <w:vAlign w:val="center"/>
          </w:tcPr>
          <w:p>
            <w:pPr>
              <w:pStyle w:val="TableContents"/>
              <w:bidi w:val="0"/>
              <w:spacing w:before="0" w:after="283"/>
              <w:ind w:left="0" w:right="0" w:firstLine="200"/>
              <w:jc w:val="left"/>
              <w:rPr/>
            </w:pPr>
            <w:r>
              <w:rPr/>
              <w:t> </w:t>
            </w:r>
          </w:p>
        </w:tc>
      </w:tr>
      <w:tr>
        <w:trPr/>
        <w:tc>
          <w:tcPr>
            <w:tcW w:w="3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government-sponsored enterprises </w:t>
              <w:br/>
              <w:t>   debt securities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w:t>
            </w:r>
          </w:p>
        </w:tc>
        <w:tc>
          <w:tcPr>
            <w:tcW w:w="493" w:type="dxa"/>
            <w:tcBorders/>
            <w:shd w:fill="FFFFFF" w:val="clear"/>
            <w:vAlign w:val="center"/>
          </w:tcPr>
          <w:p>
            <w:pPr>
              <w:pStyle w:val="TableContents"/>
              <w:bidi w:val="0"/>
              <w:spacing w:before="0" w:after="283"/>
              <w:jc w:val="left"/>
              <w:rPr/>
            </w:pPr>
            <w:r>
              <w:rPr/>
              <w:t> </w:t>
            </w:r>
          </w:p>
        </w:tc>
      </w:tr>
      <w:tr>
        <w:trPr/>
        <w:tc>
          <w:tcPr>
            <w:tcW w:w="3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right"/>
              <w:rPr/>
            </w:pPr>
            <w:r>
              <w:rPr/>
              <w:t> </w:t>
            </w:r>
          </w:p>
        </w:tc>
        <w:tc>
          <w:tcPr>
            <w:tcW w:w="493" w:type="dxa"/>
            <w:tcBorders/>
            <w:shd w:fill="CFF0FC" w:val="clear"/>
            <w:vAlign w:val="center"/>
          </w:tcPr>
          <w:p>
            <w:pPr>
              <w:pStyle w:val="TableContents"/>
              <w:bidi w:val="0"/>
              <w:spacing w:before="0" w:after="283"/>
              <w:ind w:left="0" w:right="0" w:firstLine="200"/>
              <w:jc w:val="right"/>
              <w:rPr/>
            </w:pPr>
            <w:r>
              <w:rPr/>
              <w:t> </w:t>
            </w:r>
          </w:p>
        </w:tc>
      </w:tr>
      <w:tr>
        <w:trPr/>
        <w:tc>
          <w:tcPr>
            <w:tcW w:w="32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133,035</w:t>
            </w:r>
          </w:p>
        </w:tc>
        <w:tc>
          <w:tcPr>
            <w:tcW w:w="493" w:type="dxa"/>
            <w:tcBorders/>
            <w:shd w:fill="FFFFFF" w:val="clear"/>
            <w:vAlign w:val="center"/>
          </w:tcPr>
          <w:p>
            <w:pPr>
              <w:pStyle w:val="TableContents"/>
              <w:bidi w:val="0"/>
              <w:spacing w:before="0" w:after="283"/>
              <w:ind w:left="0" w:right="0" w:firstLine="200"/>
              <w:jc w:val="left"/>
              <w:rPr/>
            </w:pPr>
            <w:r>
              <w:rPr/>
              <w:t> </w:t>
            </w:r>
          </w:p>
        </w:tc>
      </w:tr>
      <w:tr>
        <w:trPr/>
        <w:tc>
          <w:tcPr>
            <w:tcW w:w="32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government-sponsored enterprises </w:t>
              <w:br/>
              <w:t>   debt securities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26,432</w:t>
            </w:r>
          </w:p>
        </w:tc>
        <w:tc>
          <w:tcPr>
            <w:tcW w:w="493" w:type="dxa"/>
            <w:tcBorders/>
            <w:shd w:fill="CFF0FC" w:val="clear"/>
            <w:vAlign w:val="center"/>
          </w:tcPr>
          <w:p>
            <w:pPr>
              <w:pStyle w:val="TableContents"/>
              <w:bidi w:val="0"/>
              <w:spacing w:before="0" w:after="283"/>
              <w:ind w:left="0" w:right="0" w:firstLine="200"/>
              <w:jc w:val="left"/>
              <w:rPr/>
            </w:pPr>
            <w:r>
              <w:rPr/>
              <w:t> </w:t>
            </w:r>
          </w:p>
        </w:tc>
      </w:tr>
      <w:tr>
        <w:trPr/>
        <w:tc>
          <w:tcPr>
            <w:tcW w:w="324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29,677</w:t>
            </w:r>
          </w:p>
        </w:tc>
        <w:tc>
          <w:tcPr>
            <w:tcW w:w="493" w:type="dxa"/>
            <w:tcBorders/>
            <w:shd w:fill="FFFFFF" w:val="clear"/>
            <w:vAlign w:val="center"/>
          </w:tcPr>
          <w:p>
            <w:pPr>
              <w:pStyle w:val="TableContents"/>
              <w:bidi w:val="0"/>
              <w:spacing w:before="0" w:after="283"/>
              <w:ind w:left="0" w:right="0" w:firstLine="200"/>
              <w:jc w:val="left"/>
              <w:rPr/>
            </w:pPr>
            <w:r>
              <w:rPr/>
              <w:t> </w:t>
            </w:r>
          </w:p>
        </w:tc>
      </w:tr>
      <w:tr>
        <w:trPr/>
        <w:tc>
          <w:tcPr>
            <w:tcW w:w="324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25,136</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 xml:space="preserve">Total cash equivalents and </w:t>
              <w:br/>
              <w:t>   short-term investments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265,079</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Level 2 debt securities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 Company validates the prices provided by its third-party pricing services by understanding the models used, obtaining market values from other pricing sources and confirming those securities traded in active markets.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present the breakdown of the available-for-sale debt securities with unrealized losses as of December 31, 2023 and 2022 (in thousands):</w:t>
      </w:r>
    </w:p>
    <w:tbl>
      <w:tblPr>
        <w:tblW w:w="10207" w:type="dxa"/>
        <w:jc w:val="left"/>
        <w:tblInd w:w="0" w:type="dxa"/>
        <w:tblLayout w:type="fixed"/>
        <w:tblCellMar>
          <w:top w:w="28" w:type="dxa"/>
          <w:left w:w="28" w:type="dxa"/>
          <w:bottom w:w="28" w:type="dxa"/>
          <w:right w:w="28" w:type="dxa"/>
        </w:tblCellMar>
      </w:tblPr>
      <w:tblGrid>
        <w:gridCol w:w="2081"/>
        <w:gridCol w:w="346"/>
        <w:gridCol w:w="211"/>
        <w:gridCol w:w="676"/>
        <w:gridCol w:w="146"/>
        <w:gridCol w:w="146"/>
        <w:gridCol w:w="387"/>
        <w:gridCol w:w="649"/>
        <w:gridCol w:w="166"/>
        <w:gridCol w:w="146"/>
        <w:gridCol w:w="211"/>
        <w:gridCol w:w="676"/>
        <w:gridCol w:w="146"/>
        <w:gridCol w:w="146"/>
        <w:gridCol w:w="405"/>
        <w:gridCol w:w="631"/>
        <w:gridCol w:w="166"/>
        <w:gridCol w:w="146"/>
        <w:gridCol w:w="211"/>
        <w:gridCol w:w="676"/>
        <w:gridCol w:w="146"/>
        <w:gridCol w:w="146"/>
        <w:gridCol w:w="372"/>
        <w:gridCol w:w="664"/>
        <w:gridCol w:w="511"/>
      </w:tblGrid>
      <w:tr>
        <w:trPr/>
        <w:tc>
          <w:tcPr>
            <w:tcW w:w="20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0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26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0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government-sponsored enterprises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7"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08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0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517" w:type="dxa"/>
        <w:jc w:val="left"/>
        <w:tblInd w:w="0" w:type="dxa"/>
        <w:tblLayout w:type="fixed"/>
        <w:tblCellMar>
          <w:top w:w="28" w:type="dxa"/>
          <w:left w:w="28" w:type="dxa"/>
          <w:bottom w:w="28" w:type="dxa"/>
          <w:right w:w="28" w:type="dxa"/>
        </w:tblCellMar>
      </w:tblPr>
      <w:tblGrid>
        <w:gridCol w:w="2181"/>
        <w:gridCol w:w="346"/>
        <w:gridCol w:w="211"/>
        <w:gridCol w:w="781"/>
        <w:gridCol w:w="146"/>
        <w:gridCol w:w="146"/>
        <w:gridCol w:w="346"/>
        <w:gridCol w:w="690"/>
        <w:gridCol w:w="166"/>
        <w:gridCol w:w="146"/>
        <w:gridCol w:w="211"/>
        <w:gridCol w:w="676"/>
        <w:gridCol w:w="146"/>
        <w:gridCol w:w="146"/>
        <w:gridCol w:w="382"/>
        <w:gridCol w:w="654"/>
        <w:gridCol w:w="166"/>
        <w:gridCol w:w="146"/>
        <w:gridCol w:w="211"/>
        <w:gridCol w:w="781"/>
        <w:gridCol w:w="146"/>
        <w:gridCol w:w="146"/>
        <w:gridCol w:w="315"/>
        <w:gridCol w:w="721"/>
        <w:gridCol w:w="511"/>
      </w:tblGrid>
      <w:tr>
        <w:trPr/>
        <w:tc>
          <w:tcPr>
            <w:tcW w:w="2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47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government-sponsored enterprises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8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1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December 31,2023,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years ended December 31, 2023 and 2022, the Company did not recognize credit loss related to available-for-sales debt securities.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December 31, 2023, the remaining contractual maturities for short-term investments were as follows (in thousands):</w:t>
      </w:r>
    </w:p>
    <w:tbl>
      <w:tblPr>
        <w:tblW w:w="5268" w:type="dxa"/>
        <w:jc w:val="left"/>
        <w:tblInd w:w="0" w:type="dxa"/>
        <w:tblLayout w:type="fixed"/>
        <w:tblCellMar>
          <w:top w:w="28" w:type="dxa"/>
          <w:left w:w="28" w:type="dxa"/>
          <w:bottom w:w="28" w:type="dxa"/>
          <w:right w:w="28" w:type="dxa"/>
        </w:tblCellMar>
      </w:tblPr>
      <w:tblGrid>
        <w:gridCol w:w="2781"/>
        <w:gridCol w:w="146"/>
        <w:gridCol w:w="414"/>
        <w:gridCol w:w="1536"/>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After one but within five years</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estimated fair value of the term loans as of December 31, 2023 and 2022 was $141.3 million and $100 million, respectively. The fair value of term loans is based on quoted market prices for the same or similar issues or on the current rates offered for loan of similar maturities. </w:t>
      </w:r>
    </w:p>
    <w:p>
      <w:pPr>
        <w:pStyle w:val="TextBody"/>
        <w:bidi w:val="0"/>
        <w:spacing w:before="24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the restricted cash balance of $3.3 million was related to collateral for the Company's building leases in San Jose, CA and Tijuana, Mexico (see Note 6). As of December, 31, 2021, the restricted cash balance of $33.3 million included the contractual obligations under the SVB Loan and Security Agreement (see Note 7) in addition to the collateral for the building leases.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that sum to the total of the amounts shown in the statements of cash flows (in thousands):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33" w:type="dxa"/>
        <w:jc w:val="left"/>
        <w:tblInd w:w="0" w:type="dxa"/>
        <w:tblLayout w:type="fixed"/>
        <w:tblCellMar>
          <w:top w:w="28" w:type="dxa"/>
          <w:left w:w="28" w:type="dxa"/>
          <w:bottom w:w="28" w:type="dxa"/>
          <w:right w:w="28" w:type="dxa"/>
        </w:tblCellMar>
      </w:tblPr>
      <w:tblGrid>
        <w:gridCol w:w="4146"/>
        <w:gridCol w:w="146"/>
        <w:gridCol w:w="211"/>
        <w:gridCol w:w="676"/>
        <w:gridCol w:w="146"/>
        <w:gridCol w:w="146"/>
        <w:gridCol w:w="211"/>
        <w:gridCol w:w="676"/>
        <w:gridCol w:w="146"/>
        <w:gridCol w:w="146"/>
        <w:gridCol w:w="211"/>
        <w:gridCol w:w="78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182,348</w:t>
            </w:r>
          </w:p>
        </w:tc>
        <w:tc>
          <w:tcPr>
            <w:tcW w:w="391" w:type="dxa"/>
            <w:tcBorders/>
            <w:shd w:fill="CFF0FC"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Inventories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tbl>
      <w:tblPr>
        <w:tblW w:w="4519" w:type="dxa"/>
        <w:jc w:val="left"/>
        <w:tblInd w:w="0" w:type="dxa"/>
        <w:tblLayout w:type="fixed"/>
        <w:tblCellMar>
          <w:top w:w="28" w:type="dxa"/>
          <w:left w:w="28" w:type="dxa"/>
          <w:bottom w:w="28" w:type="dxa"/>
          <w:right w:w="28" w:type="dxa"/>
        </w:tblCellMar>
      </w:tblPr>
      <w:tblGrid>
        <w:gridCol w:w="1816"/>
        <w:gridCol w:w="146"/>
        <w:gridCol w:w="211"/>
        <w:gridCol w:w="676"/>
        <w:gridCol w:w="146"/>
        <w:gridCol w:w="146"/>
        <w:gridCol w:w="211"/>
        <w:gridCol w:w="676"/>
        <w:gridCol w:w="4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20,623</w:t>
            </w:r>
          </w:p>
        </w:tc>
        <w:tc>
          <w:tcPr>
            <w:tcW w:w="4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4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1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6974"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11"/>
        <w:gridCol w:w="736"/>
        <w:gridCol w:w="5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Tablos under operating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5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5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5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w:t>
            </w:r>
          </w:p>
        </w:tc>
        <w:tc>
          <w:tcPr>
            <w:tcW w:w="5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5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26,683</w:t>
            </w:r>
          </w:p>
        </w:tc>
        <w:tc>
          <w:tcPr>
            <w:tcW w:w="5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depreciation and amortization expense for the years ended December 31, 2023, 2022 and 2021, was $5.8 million, $5.2 million, and $5.2 million, respectively.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7264" w:type="dxa"/>
        <w:jc w:val="left"/>
        <w:tblInd w:w="0" w:type="dxa"/>
        <w:tblLayout w:type="fixed"/>
        <w:tblCellMar>
          <w:top w:w="28" w:type="dxa"/>
          <w:left w:w="28" w:type="dxa"/>
          <w:bottom w:w="28" w:type="dxa"/>
          <w:right w:w="28" w:type="dxa"/>
        </w:tblCellMar>
      </w:tblPr>
      <w:tblGrid>
        <w:gridCol w:w="4561"/>
        <w:gridCol w:w="146"/>
        <w:gridCol w:w="211"/>
        <w:gridCol w:w="676"/>
        <w:gridCol w:w="146"/>
        <w:gridCol w:w="146"/>
        <w:gridCol w:w="211"/>
        <w:gridCol w:w="676"/>
        <w:gridCol w:w="4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w:t>
            </w:r>
          </w:p>
        </w:tc>
        <w:tc>
          <w:tcPr>
            <w:tcW w:w="4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4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4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rebates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6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Accrued Warranty Liability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change in accrued warranty liability is presented in the following table (in thousands): </w:t>
      </w:r>
    </w:p>
    <w:tbl>
      <w:tblPr>
        <w:tblW w:w="6134" w:type="dxa"/>
        <w:jc w:val="left"/>
        <w:tblInd w:w="0" w:type="dxa"/>
        <w:tblLayout w:type="fixed"/>
        <w:tblCellMar>
          <w:top w:w="28" w:type="dxa"/>
          <w:left w:w="28" w:type="dxa"/>
          <w:bottom w:w="28" w:type="dxa"/>
          <w:right w:w="28" w:type="dxa"/>
        </w:tblCellMar>
      </w:tblPr>
      <w:tblGrid>
        <w:gridCol w:w="3781"/>
        <w:gridCol w:w="146"/>
        <w:gridCol w:w="211"/>
        <w:gridCol w:w="631"/>
        <w:gridCol w:w="166"/>
        <w:gridCol w:w="146"/>
        <w:gridCol w:w="211"/>
        <w:gridCol w:w="631"/>
        <w:gridCol w:w="2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w:t>
            </w:r>
          </w:p>
        </w:tc>
        <w:tc>
          <w:tcPr>
            <w:tcW w:w="211" w:type="dxa"/>
            <w:tcBorders/>
            <w:shd w:fill="CFF0FC" w:val="clear"/>
            <w:vAlign w:val="center"/>
          </w:tcPr>
          <w:p>
            <w:pPr>
              <w:pStyle w:val="TableContents"/>
              <w:bidi w:val="0"/>
              <w:spacing w:before="0" w:after="283"/>
              <w:jc w:val="left"/>
              <w:rPr/>
            </w:pPr>
            <w:r>
              <w:rPr/>
              <w:t> </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charged to 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w:t>
            </w:r>
          </w:p>
        </w:tc>
        <w:tc>
          <w:tcPr>
            <w:tcW w:w="211" w:type="dxa"/>
            <w:tcBorders/>
            <w:shd w:fill="FFFFFF" w:val="clear"/>
            <w:vAlign w:val="center"/>
          </w:tcPr>
          <w:p>
            <w:pPr>
              <w:pStyle w:val="TableContents"/>
              <w:bidi w:val="0"/>
              <w:spacing w:before="0" w:after="283"/>
              <w:jc w:val="left"/>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Consumption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an operating lease agreement for its facility and office space in San Jose, CA that commenced in April 2020 and expires in March 2027. This operating lease contains a free rent period and an escalation clause. The landlord provided the Company with a tenant improvement allowance of up to $2.0 million. The Company issued an irrevocable standby letter of credit in the amount of $0.3 million in lieu of a cash security deposit. The letter of credit is fully secured by cash held at the bank in a restricted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2020, the Company entered into an operating lease agreement for its manufacturing facility in Tijuana, Mexico that commenced in May 2020 and will expire in August 2026. This operating lease contains a free rent period and an escalation clause. The Company issued an irrevocable standby letter of credit in the amount of $3.0 million, in lieu of a cash security deposit. The letter of credit is fully secured by cash held at the bank in a restricted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entered into on an operating lease agreement for office space in Tijuana, Mexico for certain research and development and general and administrative activities. The lease will expire in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three leases include renewal options at the election of the Company to renew or extend the lease. The Company evaluates renewal options at lease inception and on an ongoing basis and includes renewal options that it is reasonably certain to exercise in its expected lease terms when classifying leases and measuring lease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costs were as follows (in thousands):</w:t>
      </w:r>
    </w:p>
    <w:tbl>
      <w:tblPr>
        <w:tblW w:w="5543" w:type="dxa"/>
        <w:jc w:val="left"/>
        <w:tblInd w:w="0" w:type="dxa"/>
        <w:tblLayout w:type="fixed"/>
        <w:tblCellMar>
          <w:top w:w="28" w:type="dxa"/>
          <w:left w:w="28" w:type="dxa"/>
          <w:bottom w:w="28" w:type="dxa"/>
          <w:right w:w="28" w:type="dxa"/>
        </w:tblCellMar>
      </w:tblPr>
      <w:tblGrid>
        <w:gridCol w:w="1876"/>
        <w:gridCol w:w="146"/>
        <w:gridCol w:w="211"/>
        <w:gridCol w:w="571"/>
        <w:gridCol w:w="146"/>
        <w:gridCol w:w="146"/>
        <w:gridCol w:w="211"/>
        <w:gridCol w:w="571"/>
        <w:gridCol w:w="146"/>
        <w:gridCol w:w="146"/>
        <w:gridCol w:w="211"/>
        <w:gridCol w:w="571"/>
        <w:gridCol w:w="5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591" w:type="dxa"/>
            <w:tcBorders/>
            <w:shd w:fill="CFF0FC" w:val="clear"/>
            <w:vAlign w:val="center"/>
          </w:tcPr>
          <w:p>
            <w:pPr>
              <w:pStyle w:val="TableContents"/>
              <w:bidi w:val="0"/>
              <w:spacing w:before="0" w:after="283"/>
              <w:jc w:val="lef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5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weighted-average remaining lease term and discount rate were as follows:</w:t>
      </w:r>
    </w:p>
    <w:tbl>
      <w:tblPr>
        <w:tblW w:w="5807" w:type="dxa"/>
        <w:jc w:val="left"/>
        <w:tblInd w:w="0" w:type="dxa"/>
        <w:tblLayout w:type="fixed"/>
        <w:tblCellMar>
          <w:top w:w="28" w:type="dxa"/>
          <w:left w:w="28" w:type="dxa"/>
          <w:bottom w:w="28" w:type="dxa"/>
          <w:right w:w="28" w:type="dxa"/>
        </w:tblCellMar>
      </w:tblPr>
      <w:tblGrid>
        <w:gridCol w:w="4126"/>
        <w:gridCol w:w="146"/>
        <w:gridCol w:w="151"/>
        <w:gridCol w:w="375"/>
        <w:gridCol w:w="146"/>
        <w:gridCol w:w="146"/>
        <w:gridCol w:w="151"/>
        <w:gridCol w:w="375"/>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maturity of the Company’s operating lease liabilities as of December 31, 2023 were as follows (in thousands):</w:t>
      </w:r>
    </w:p>
    <w:tbl>
      <w:tblPr>
        <w:tblW w:w="5250" w:type="dxa"/>
        <w:jc w:val="left"/>
        <w:tblInd w:w="0" w:type="dxa"/>
        <w:tblLayout w:type="fixed"/>
        <w:tblCellMar>
          <w:top w:w="28" w:type="dxa"/>
          <w:left w:w="28" w:type="dxa"/>
          <w:bottom w:w="28" w:type="dxa"/>
          <w:right w:w="28" w:type="dxa"/>
        </w:tblCellMar>
      </w:tblPr>
      <w:tblGrid>
        <w:gridCol w:w="3811"/>
        <w:gridCol w:w="146"/>
        <w:gridCol w:w="211"/>
        <w:gridCol w:w="571"/>
        <w:gridCol w:w="5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51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51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51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2"/>
              <w:jc w:val="left"/>
              <w:rPr/>
            </w:pPr>
            <w:r>
              <w:rPr/>
              <w:t> </w:t>
            </w:r>
          </w:p>
        </w:tc>
      </w:tr>
      <w:tr>
        <w:trPr/>
        <w:tc>
          <w:tcPr>
            <w:tcW w:w="3811" w:type="dxa"/>
            <w:tcBorders/>
            <w:shd w:fill="CFF0FC" w:val="clear"/>
            <w:vAlign w:val="center"/>
          </w:tcPr>
          <w:p>
            <w:pPr>
              <w:pStyle w:val="TableContents"/>
              <w:bidi w:val="0"/>
              <w:spacing w:before="0" w:after="283"/>
              <w:ind w:left="302" w:right="0" w:firstLine="302"/>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51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51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51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commitments as of December 31, 2023 were $59.5 million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consulting activities for which the Company has not received the services, and subscription of software services. Although open purchase orders are considered enforceable and legally binding, the terms generally allow the Company the option to cancel within a reasonable period, reschedule, and adjust its requirements based on its business needs prior to the delivery of goods or performance of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other legal proceedings or investigations, which could have an adverse impact on its reputation, business and financial condition and divert the attention of the Company’s management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 </w:t>
      </w:r>
    </w:p>
    <w:p>
      <w:pPr>
        <w:pStyle w:val="TextBody"/>
        <w:bidi w:val="0"/>
        <w:spacing w:before="240" w:after="283"/>
        <w:jc w:val="left"/>
        <w:rPr>
          <w:rFonts w:ascii="Times New Roman" w:hAnsi="Times New Roman"/>
          <w:sz w:val="20"/>
        </w:rPr>
      </w:pPr>
      <w:r>
        <w:rPr>
          <w:rFonts w:ascii="Times New Roman" w:hAnsi="Times New Roman"/>
          <w:b/>
          <w:color w:val="000000"/>
          <w:sz w:val="20"/>
        </w:rPr>
        <w:t>7. Term Loans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Term loans consist of the following (in thousands): </w:t>
      </w:r>
    </w:p>
    <w:tbl>
      <w:tblPr>
        <w:tblW w:w="5279" w:type="dxa"/>
        <w:jc w:val="left"/>
        <w:tblInd w:w="0" w:type="dxa"/>
        <w:tblLayout w:type="fixed"/>
        <w:tblCellMar>
          <w:top w:w="28" w:type="dxa"/>
          <w:left w:w="28" w:type="dxa"/>
          <w:bottom w:w="28" w:type="dxa"/>
          <w:right w:w="28" w:type="dxa"/>
        </w:tblCellMar>
      </w:tblPr>
      <w:tblGrid>
        <w:gridCol w:w="2326"/>
        <w:gridCol w:w="146"/>
        <w:gridCol w:w="211"/>
        <w:gridCol w:w="781"/>
        <w:gridCol w:w="166"/>
        <w:gridCol w:w="146"/>
        <w:gridCol w:w="211"/>
        <w:gridCol w:w="781"/>
        <w:gridCol w:w="5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term loans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51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Term loans,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SVB 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 2020, the Company entered into a senior secured term loan facility with Silicon Valley Bank (SVB) (the SVB Loan and Security Agreement), which provided for a $30.0 million term loan (the SVB Term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SVB Term Loan was scheduled to mature on November 1, 2025. Payments under the SVB Term Loan were for interest only through May 2023, and then 30 monthly principal and interest payments from June 2023 until maturity. The SVB Term Loan bore interest at the greater of (A) 0.50% above the Prime Rate as reported in the Wall Street Journal and (B) 3.75%. The Company was obligated to maintain a restricted cash balance greater or equal to the outstanding principal balance of $30.0 million of the SVB Term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the Company entered into new senior secured credit facilities (the SLR Credit Facilities, as described below) and repaid in full all amounts due under the SVB Loan and Security Agreement, including the early repayment fee of $0.3 million and the final payment of $2.0 million, using a portion of the proceeds of the SLR Credit Facilities. The repayment of the SVB Term Loan was accounted for as a debt extinguishment, which resulted in a loss on extinguishment of $1.4 million recorded in the statement of operations for the year ended December 31, 2022.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SLR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3, 2022 (the Closing Date), the Company entered into two senior secured credit facilities, which collectively provide for borrowings of up to $300.0 million as follows: (i) up to a $250.0 million term loan facility pursuant to a loan and security agreement (the SLR Loan Agreement) among SLR Investment Corp., as collateral agent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maximum amount the Company is permitted to borrow under the SLR Credit Facilities is subject to certain overall borrowing limitations. With the outstanding principal amount of $133.5 million as of December 31, 2023 and the $66.5 million borrowed and received in January 2024 under the SLR Term Loan Facility (see further detailed discussion below), the Company has borrowed $200.0 million of term loans as of the date of this Annual Report. If the Company achieves a certain net revenue milestone, calculated on a trailing six-month basis (First Revenue Milestone), on or before June 30, 2024 and the Additional Tranche (as defined below) under the SLR Revolver has been approved, the Company will be permitted to borrow up to an additional $50.0 million under the SLR Credit Facilities (i.e., a maximum amount of $250.0 million). If the Company achieves a subsequent additional net revenue milestone, calculated on a trailing six-month basis (Second Revenue Milestone), on or before June 30, 2025 and obtains lenders' credit approval, the Company will be permitted to further borrow up to an additional $50.0 million under the SLR Credit Facilities (i.e., a maximum amount of $300.0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SLR Term Loan Facility</w:t>
      </w:r>
      <w:r>
        <w:rPr>
          <w:rFonts w:ascii="Times New Roman" w:hAnsi="Times New Roman"/>
          <w:color w:val="000000"/>
          <w:sz w:val="20"/>
        </w:rP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SLR Loan Agreement, as subsequently amended on December 11, 2023, the Term Loan Lenders agreed to extend term loans to the Company in an aggregate principal amount of up to $250.0 million, comprised of (i) a term loan of $100.0 million (the Term A Loan), (ii) term loans in an aggregate principal amount of up to $100.0 million that was provided for in two increments, one of $33.5 million (the Term B-1 Loan) and one of $66.5 million (the Term B-2 Loan) and (iii) one or more term loans in an aggregate principal amount of up to $50.0 million (Term C Loans). Each Term A Loan, Term B Loan and Term C Loan is referred to single as a Term Loan and are referred to collectively as the Term Loans. As of December 31, 2023, the Company had an outstanding principal amount of $133.5 million under the Term A and B-1 Loans, which were funded in November 2022 and December 2023, respectively. Subsequently, the Company borrowed and received $66.5 million under the Term B-2 Loan in January 2024 (see Note 12 for further details). The Term C Loans are available subject to lenders’ credit approval and the achievement of the Second Revenue Milestone on or before June 30, 2025. The Term C Loans will remain available for funding until one business day prior to November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principal amount outstanding under the Term Loans will accrue interest at a rate per annum equal to one-month term Secured Overnight Financing Rate (term SOFR) (subject to a 2.75% floor), plus 5.15% (10.46% as of December 31,2023), payable monthly in arrears. The Company is permitted to make interest-only payments on the Term Loans through November 30, 2026, which may be extended at the Company's option to May 31, 2027; provided that the Company meets the First Revenue Milestone. Any principal amounts outstanding under the Term Loans, if not repaid sooner, are due and payable on November 1, 2027 (the Maturity Date). The Company is obligated to pay Agent (i) a non-refundable facility fee in the amount of $750,000 in respect of the Term A Loan, (ii) a non-refundable facility fees in the aggregate amount of $750,000 in respect of the Term B-1 and B-2 Loans and (iii) a non-refundable facility fee in the amount of $375,000 in respect of the Term C Loan, to be due and payable upon the earliest to occur of (a) the funding of the first Term C Loan, (b) one day prior to the Maturity Date and (c) the prepayment of the Term Loans. In addition, the Company is obligated to pay a final fee equal to 4.75% of the aggregate amount of the Term Loans funded, such final fee to be due and payable upon the earliest to occur of (i) the Maturity Date, (ii) the acceleration of the Term Loans and (iii) the prepayment of the Term Loans. The Company may voluntarily prepay the outstanding Term Loans, subject to a prepayment premium of (i) 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br/>
        <w:t> </w:t>
      </w:r>
    </w:p>
    <w:p>
      <w:pPr>
        <w:pStyle w:val="TextBody"/>
        <w:bidi w:val="0"/>
        <w:spacing w:before="120" w:after="283"/>
        <w:jc w:val="left"/>
        <w:rPr>
          <w:rFonts w:ascii="Times New Roman" w:hAnsi="Times New Roman"/>
          <w:sz w:val="20"/>
        </w:rPr>
      </w:pPr>
      <w:r>
        <w:rPr>
          <w:rFonts w:ascii="Times New Roman" w:hAnsi="Times New Roman"/>
          <w:i/>
          <w:color w:val="000000"/>
          <w:sz w:val="20"/>
        </w:rPr>
        <w:t>SLR Revolver</w:t>
      </w:r>
      <w:r>
        <w:rPr>
          <w:rFonts w:ascii="Times New Roman" w:hAnsi="Times New Roman"/>
          <w:color w:val="000000"/>
          <w:sz w:val="20"/>
        </w:rP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SLR Revolving Credit Agreement provides for an asset-based revolving credit facility with aggregate revolving commitments of $25.0 million (the Initial Revolver Commitment). The Company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 (a) 85% of eligible accounts receivable, plus (b) 25% of eligible inventory (not to exceed the lesser of 50% of the Borrowing Base and $5.0 million), minus</w:t>
        <w:br/>
        <w:t>(c) customary reserves, minus (d) unposted cash. No amounts were outstanding under the SLR Revolver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 in respect of the Initial Revolver Commitment, (ii) a non-refundable facility fee in the amount of $187,500 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 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Closing Date through and including the second anniversary of the Closing Date, or (iii) 0.5% of the aggregate revolving commitments then in effect, if terminated after the second anniversary of the Closing Date through and including the third anniversary of the Closing Date. Such termination fee is waived if the SLR Revolver is terminated after the third anniversary of the Closing Date and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customary exceptions and restrictions, the Company may borrow, repay and reborrow varying amounts under the SLR Revolver at any time. If at any time the outstanding amount under the SLR Revolver exceeds the lesser of (i) the aggregate revolving commitments then in effect and (ii) the Borrowing Base then in effect, the Company will be required to prepay outstanding amounts under the SLR Revolver.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SLR Revolver shall expire on November 1, 2027.</w:t>
        <w:br/>
        <w:t> </w:t>
      </w:r>
    </w:p>
    <w:p>
      <w:pPr>
        <w:pStyle w:val="TextBody"/>
        <w:bidi w:val="0"/>
        <w:spacing w:before="120" w:after="283"/>
        <w:jc w:val="left"/>
        <w:rPr>
          <w:rFonts w:ascii="Times New Roman" w:hAnsi="Times New Roman"/>
          <w:sz w:val="20"/>
        </w:rPr>
      </w:pPr>
      <w:r>
        <w:rPr>
          <w:rFonts w:ascii="Times New Roman" w:hAnsi="Times New Roman"/>
          <w:i/>
          <w:color w:val="000000"/>
          <w:sz w:val="20"/>
        </w:rPr>
        <w:t>Other Terms of the SLR Credit Facilities</w:t>
      </w:r>
      <w:r>
        <w:rPr>
          <w:rFonts w:ascii="Times New Roman" w:hAnsi="Times New Roman"/>
          <w:color w:val="000000"/>
          <w:sz w:val="20"/>
        </w:rP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security for its obligations under the SLR Credit Facilities, the Company granted Agent, for the benefit of the Term Loan Lenders, and ABL Lender a security interest in substantially all of the assets of the Company, including the Company’s intellectual property, subject to certain exceptions.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agreements also include a financial covenant that, beginning with the fiscal quarter ending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in excess of specified amounts and maintain gross profit margins in excess of specified percentages, in each case, for applicable measuring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borrowed an aggregate principal amount of $133.5 million under the Term A and B-1 Loans. The debt issuance costs and the facility fees related to the Term A and B Loans were recorded as a direct deduction from the term loans balance on the balance sheets and are being recognized as non-cash interest expense over the term of the loans using the effective interest method, along with the final payment fee. The facility fees related to the Initial Revolver Commitment were recorded as deferred financing costs and are being recognized as non-cash interest expense over their respective commitment period using straight-line method.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annual principal annual payments, excluding interest payments and the final fee, due on the term loans as of December 31, 2023 were as follows (in thousands): </w:t>
      </w:r>
    </w:p>
    <w:tbl>
      <w:tblPr>
        <w:tblW w:w="4700" w:type="dxa"/>
        <w:jc w:val="left"/>
        <w:tblInd w:w="0" w:type="dxa"/>
        <w:tblLayout w:type="fixed"/>
        <w:tblCellMar>
          <w:top w:w="28" w:type="dxa"/>
          <w:left w:w="28" w:type="dxa"/>
          <w:bottom w:w="28" w:type="dxa"/>
          <w:right w:w="28" w:type="dxa"/>
        </w:tblCellMar>
      </w:tblPr>
      <w:tblGrid>
        <w:gridCol w:w="3251"/>
        <w:gridCol w:w="146"/>
        <w:gridCol w:w="211"/>
        <w:gridCol w:w="781"/>
        <w:gridCol w:w="311"/>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w:t>
            </w:r>
          </w:p>
        </w:tc>
        <w:tc>
          <w:tcPr>
            <w:tcW w:w="311"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122,353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133,476</w:t>
            </w:r>
          </w:p>
        </w:tc>
        <w:tc>
          <w:tcPr>
            <w:tcW w:w="311"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term loans, net of debt discount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130,113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the Company terminated the 2010 Stock Incentive Plan (the 2010 Plan) and adopted the 2019 Equity Incentive Plan (the 2019 Plan, and together with 2010 Plan, the Prior Plans) for the purpose of providing incentive and non-statutory stock options to employees, directors and certain non-employees.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2020, the Company adopted the 2020 Equity Incentive Plan (the 2020 Plan, and together with the Prior Plans, the Plans), which became effective in connection with the IPO. As a result, the Company may not grant any additional awards under the Prior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Plans. The Prior Plans will continue to govern outstanding equity awards previously granted thereunder. The Company initially reserved 3,665,000 shares of common stock for the issuance of awards under the 2020 Plan. In addition, the number of shares of common stock available under the 2020 Plan automatically increases on the first day of each fiscal year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Company’s board of directors. As of December 31, 2023, 4,768,000 shares were reserved for future issuance under the 2020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under the 2020 Plan have a contractual term of 10 years. The exercise price of an option shall not be less than 100% of the fair market value of the shares on the date of grant.</w:t>
      </w:r>
    </w:p>
    <w:p>
      <w:pPr>
        <w:pStyle w:val="TextBody"/>
        <w:bidi w:val="0"/>
        <w:spacing w:before="24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Subsequent to first quarter of 2022, the Company no longer grants stock options. Service-based options previously granted to a grantee generally vest at a rate of 25% on the first anniversary of the original vesting date, with the balance vesting monthly over the remaining three years. A summary of the Company’s stock option activity under the Plans is set forth below (in thousands, except exercise price and remaining contractual life data): </w:t>
      </w:r>
    </w:p>
    <w:tbl>
      <w:tblPr>
        <w:tblW w:w="8743" w:type="dxa"/>
        <w:jc w:val="left"/>
        <w:tblInd w:w="0" w:type="dxa"/>
        <w:tblLayout w:type="fixed"/>
        <w:tblCellMar>
          <w:top w:w="28" w:type="dxa"/>
          <w:left w:w="28" w:type="dxa"/>
          <w:bottom w:w="28" w:type="dxa"/>
          <w:right w:w="28" w:type="dxa"/>
        </w:tblCellMar>
      </w:tblPr>
      <w:tblGrid>
        <w:gridCol w:w="3166"/>
        <w:gridCol w:w="146"/>
        <w:gridCol w:w="232"/>
        <w:gridCol w:w="909"/>
        <w:gridCol w:w="166"/>
        <w:gridCol w:w="146"/>
        <w:gridCol w:w="263"/>
        <w:gridCol w:w="713"/>
        <w:gridCol w:w="146"/>
        <w:gridCol w:w="146"/>
        <w:gridCol w:w="247"/>
        <w:gridCol w:w="789"/>
        <w:gridCol w:w="146"/>
        <w:gridCol w:w="146"/>
        <w:gridCol w:w="267"/>
        <w:gridCol w:w="724"/>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Terms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 and expired</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2023</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options granted to employees was $18.56 and $24.74 per share during the years ended December 31, 2022 and 2021, respectively. The total intrinsic value of options exercised during the years ended December 31, 2023, 2022 and 2021 was $9.9 million, $22.2 million and $61.0 million, respectively. The intrinsic value is the difference between the fair value of the Company’s common stock at the time of exercise and the exercise price of the stock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options that vested during the years ended December 31, 2023, 2022 and 2021 was $3.6 million, $6.1 million and $24.5 million, respectively. As of December 31, 2023, the total unrecognized stock-based compensation expense related to the stock options was $3.3 million, which will be recognized over a weighted-average period of 1.15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2021, the Company recorded stock-based compensation expense of $4.3 million related to stock options with performance- and market-based vesting conditions that were fully vested in 2021.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fair value of each stock option grant is estimated on the date of grant using the following assumptions for the periods indicated: </w:t>
      </w:r>
    </w:p>
    <w:tbl>
      <w:tblPr>
        <w:tblW w:w="4661" w:type="dxa"/>
        <w:jc w:val="left"/>
        <w:tblInd w:w="0" w:type="dxa"/>
        <w:tblLayout w:type="fixed"/>
        <w:tblCellMar>
          <w:top w:w="28" w:type="dxa"/>
          <w:left w:w="28" w:type="dxa"/>
          <w:bottom w:w="28" w:type="dxa"/>
          <w:right w:w="28" w:type="dxa"/>
        </w:tblCellMar>
      </w:tblPr>
      <w:tblGrid>
        <w:gridCol w:w="2086"/>
        <w:gridCol w:w="146"/>
        <w:gridCol w:w="705"/>
        <w:gridCol w:w="163"/>
        <w:gridCol w:w="156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6.08</w:t>
            </w:r>
          </w:p>
        </w:tc>
        <w:tc>
          <w:tcPr>
            <w:tcW w:w="163"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5.95 – 6.08</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55.0%</w:t>
            </w:r>
          </w:p>
        </w:tc>
        <w:tc>
          <w:tcPr>
            <w:tcW w:w="163" w:type="dxa"/>
            <w:tcBorders/>
            <w:shd w:fill="FFFFFF" w:val="clear"/>
            <w:vAlign w:val="center"/>
          </w:tcPr>
          <w:p>
            <w:pPr>
              <w:pStyle w:val="TableContents"/>
              <w:bidi w:val="0"/>
              <w:spacing w:before="0" w:after="283"/>
              <w:jc w:val="center"/>
              <w:rPr/>
            </w:pPr>
            <w:r>
              <w:rPr/>
              <w:t> </w:t>
            </w:r>
          </w:p>
        </w:tc>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53.9% – 55.3%</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1.74%</w:t>
            </w:r>
          </w:p>
        </w:tc>
        <w:tc>
          <w:tcPr>
            <w:tcW w:w="163" w:type="dxa"/>
            <w:tcBorders/>
            <w:shd w:fill="CFF0FC" w:val="clear"/>
            <w:vAlign w:val="center"/>
          </w:tcPr>
          <w:p>
            <w:pPr>
              <w:pStyle w:val="TableContents"/>
              <w:bidi w:val="0"/>
              <w:spacing w:before="0" w:after="283"/>
              <w:jc w:val="center"/>
              <w:rPr/>
            </w:pPr>
            <w:r>
              <w:rPr/>
              <w:t> </w:t>
            </w:r>
          </w:p>
        </w:tc>
        <w:tc>
          <w:tcPr>
            <w:tcW w:w="156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0.66% – 1.36%</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63" w:type="dxa"/>
            <w:tcBorders/>
            <w:shd w:fill="FFFFFF" w:val="clear"/>
            <w:vAlign w:val="center"/>
          </w:tcPr>
          <w:p>
            <w:pPr>
              <w:pStyle w:val="TableContents"/>
              <w:bidi w:val="0"/>
              <w:spacing w:before="0" w:after="283"/>
              <w:jc w:val="center"/>
              <w:rPr/>
            </w:pPr>
            <w:r>
              <w:rPr/>
              <w:t> </w:t>
            </w:r>
          </w:p>
        </w:tc>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issues RSUs and PSUs, both of which are considered restricted stock. The Company grants restricted stock pursuant to the 2020 Plan and satisfies such grants through the issuance of new shares. RSUs are share awards that, upon vesting, will deliver to the holder shares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RSUs with a service-based vesting condition granted to a grantee prior to February 2022 generally vest at a rate of 25% on the first anniversary of the original vesting date, with the balance vesting quarterly over the remaining three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and 2023, the Company issued a mix of 50% PSUs and 50% RSUs to its CEO, and a mix of 20% PSUs and 80% RSUs to its other executive officers and certain other senior leaders. These PSUs are earned and vest over performance and vesting periods extending through the end of the third year from the grant year (Year 3) based on achievement against two metrics: (1) an operational metric tied to the number of patients treating at home on Tablo as of the end of the second year from the grant year (Year 2), with 50% of earned units vesting after certification of the achievement level following the end of Year 2 and the remaining 50% of earned units vesting at the end of Year 3 (performance-based vesting conditions, referred to as the Home PSUs) and (2) the Company's relative total stockholder return (relative TSR) over a two-year performance period as compared to companies in a pre-determined index of medical device companies, with 100% of earned units vesting at the end of Year 3 (market-based vesting conditions, referred to as the Relative TSR PSUs). The number of units earned at the end of the Year 2 will vary, based on actual performance, from 0% to 200% (to 250% for the CEO) of the target number of the Home PSUs granted. The number of units earned at the end of the two-year period will vary, based on actual performance, from 75% to 150% (to 250% for the CEO) of the target number of the Relative TSR PSUs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for these Home PSUs is not considered established until the Compensation Committee of the Board approves the target and it is communicated to the award recipients, which then triggers the service inception date, the fair value of the awards, and the associated expense recognition period. The 2024 target for the Home PSUs granted in 2023 (2023 Home PSUs) was not determined and approved by the Compensation Committee of the Board until February 2024. Therefore, no expense was recognized for these 2023 Home PSUs in 2023. The 2023 target for the Home PSUs granted in 2022 (2022 Home PSUs) was determined in January 2023 and achieved and earned at 123.4% as of December 31, 2023. The stock-based compensation expense related to 2022 Home PSUs was adjusted based on the achievement and a cumulative catch up was recognized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2021 and 2020, the Company issued PSUs that vest upon the achievement of specified revenue targets (performance-based vesting conditions) or specified market stock prices (market-based vesting conditions) and continued performance of services. Certain PSUs with performance-based vesting conditions vest in a range between 0% and 200% of the units approved based on the performance relative to specified revenue targets.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Restricted stock activity was as follows (in thousands, except per share amounts): </w:t>
      </w:r>
    </w:p>
    <w:tbl>
      <w:tblPr>
        <w:tblW w:w="8449" w:type="dxa"/>
        <w:jc w:val="left"/>
        <w:tblInd w:w="0" w:type="dxa"/>
        <w:tblLayout w:type="fixed"/>
        <w:tblCellMar>
          <w:top w:w="28" w:type="dxa"/>
          <w:left w:w="28" w:type="dxa"/>
          <w:bottom w:w="28" w:type="dxa"/>
          <w:right w:w="28" w:type="dxa"/>
        </w:tblCellMar>
      </w:tblPr>
      <w:tblGrid>
        <w:gridCol w:w="3166"/>
        <w:gridCol w:w="146"/>
        <w:gridCol w:w="213"/>
        <w:gridCol w:w="837"/>
        <w:gridCol w:w="166"/>
        <w:gridCol w:w="146"/>
        <w:gridCol w:w="313"/>
        <w:gridCol w:w="903"/>
        <w:gridCol w:w="166"/>
        <w:gridCol w:w="146"/>
        <w:gridCol w:w="211"/>
        <w:gridCol w:w="571"/>
        <w:gridCol w:w="146"/>
        <w:gridCol w:w="146"/>
        <w:gridCol w:w="211"/>
        <w:gridCol w:w="57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w:t>
              <w:br/>
              <w:t>Stock Units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w:t>
              <w:br/>
              <w:t>Stock Units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w:t>
              <w:br/>
              <w:t>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PSU</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total grant date fair value of restricted stock vested for the years ended December 31, 2023, 2022 and 2021 were $24.9 million, $9.9 million, and $1.0 million, respectively. As of December 31, 2023, the total unrecognized stock-based compensation expense related to the restricted stock was $45.7 million, which will be recognized over a weighted-average period of 1.78 years.</w:t>
      </w:r>
      <w:r>
        <w:rPr>
          <w:rFonts w:ascii="Times New Roman" w:hAnsi="Times New Roman"/>
          <w:color w:val="FF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Employees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2020, the Company adopted the ESPP. The Company initially reserved 687,000 shares of common stock for purchase under the ESPP. In addition, the number of shares of common stock available for issuance under the ESPP increases automatically on the first day of each fiscal year until (and including) the fiscal year ending December 31, 2030, with such annual increase equal to the lesser of (i) 687,000 shares, (ii) 1% of the number of common stock issued and outstanding on December 31 of the immediately preceding fiscal year, and (iii) an amount determined by the Company’s board of directors. As of December 31, 2023, 1,204,000 shares of common stock were reserved for issuance in connection with the current and future offering periods under the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any limitations contained therein, the ESPP allows eligible participants to contribute, through payroll deductions, up to 15% of their eligible compensation to purchase the Company’s common stock at a purchase price equal to 85% of the fair market value of the common stock on the first day of the offering period or purchase date, whichever is lower. The ESPP generally provides for consecutive 6-month offering periods. Effective beginning with the offering period commencing on March 1, 2022, the ESPP allows eligible participants to purchase shares pursuant to a cashless exercise program, and the duration for each offering period is a 24-month period consisting of four separate consecutive purchase periods of six months in length. This includes a two-year look-back feature in the ESPP, with a reset feature, which causes the offering period to reset if the fair value of the Company’s common stock on the first day of a new offering period is less than that on the original offering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grant date fair value and assumptions used in estimating the fair value of the stock purchase rights under the ESPP were as follows:</w:t>
      </w:r>
    </w:p>
    <w:tbl>
      <w:tblPr>
        <w:tblW w:w="6622" w:type="dxa"/>
        <w:jc w:val="left"/>
        <w:tblInd w:w="0" w:type="dxa"/>
        <w:tblLayout w:type="fixed"/>
        <w:tblCellMar>
          <w:top w:w="28" w:type="dxa"/>
          <w:left w:w="28" w:type="dxa"/>
          <w:bottom w:w="28" w:type="dxa"/>
          <w:right w:w="28" w:type="dxa"/>
        </w:tblCellMar>
      </w:tblPr>
      <w:tblGrid>
        <w:gridCol w:w="2086"/>
        <w:gridCol w:w="146"/>
        <w:gridCol w:w="1351"/>
        <w:gridCol w:w="146"/>
        <w:gridCol w:w="1351"/>
        <w:gridCol w:w="146"/>
        <w:gridCol w:w="139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2.00</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2.00</w:t>
            </w:r>
          </w:p>
        </w:tc>
        <w:tc>
          <w:tcPr>
            <w:tcW w:w="146" w:type="dxa"/>
            <w:tcBorders/>
            <w:shd w:fill="CFF0FC" w:val="clear"/>
            <w:vAlign w:val="center"/>
          </w:tcPr>
          <w:p>
            <w:pPr>
              <w:pStyle w:val="TableContents"/>
              <w:bidi w:val="0"/>
              <w:spacing w:before="0" w:after="283"/>
              <w:jc w:val="center"/>
              <w:rPr/>
            </w:pPr>
            <w:r>
              <w:rPr/>
              <w:t> </w:t>
            </w:r>
          </w:p>
        </w:tc>
        <w:tc>
          <w:tcPr>
            <w:tcW w:w="13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53.3% – 61.6%</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 – 58.0%</w:t>
            </w:r>
          </w:p>
        </w:tc>
        <w:tc>
          <w:tcPr>
            <w:tcW w:w="146" w:type="dxa"/>
            <w:tcBorders/>
            <w:shd w:fill="FFFFFF" w:val="clear"/>
            <w:vAlign w:val="center"/>
          </w:tcPr>
          <w:p>
            <w:pPr>
              <w:pStyle w:val="TableContents"/>
              <w:bidi w:val="0"/>
              <w:spacing w:before="0" w:after="283"/>
              <w:jc w:val="center"/>
              <w:rPr/>
            </w:pPr>
            <w:r>
              <w:rPr/>
              <w:t> </w:t>
            </w:r>
          </w:p>
        </w:tc>
        <w:tc>
          <w:tcPr>
            <w:tcW w:w="13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 – 43.8%</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4.81% – 5.4%</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 – 3.48%</w:t>
            </w:r>
          </w:p>
        </w:tc>
        <w:tc>
          <w:tcPr>
            <w:tcW w:w="146" w:type="dxa"/>
            <w:tcBorders/>
            <w:shd w:fill="CFF0FC" w:val="clear"/>
            <w:vAlign w:val="center"/>
          </w:tcPr>
          <w:p>
            <w:pPr>
              <w:pStyle w:val="TableContents"/>
              <w:bidi w:val="0"/>
              <w:spacing w:before="0" w:after="283"/>
              <w:jc w:val="center"/>
              <w:rPr/>
            </w:pPr>
            <w:r>
              <w:rPr/>
              <w:t> </w:t>
            </w:r>
          </w:p>
        </w:tc>
        <w:tc>
          <w:tcPr>
            <w:tcW w:w="13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0.06% – 0.07%</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vAlign w:val="center"/>
          </w:tcPr>
          <w:p>
            <w:pPr>
              <w:pStyle w:val="TableContents"/>
              <w:bidi w:val="0"/>
              <w:spacing w:before="0" w:after="283"/>
              <w:jc w:val="center"/>
              <w:rPr/>
            </w:pPr>
            <w:r>
              <w:rPr/>
              <w:t> </w:t>
            </w:r>
          </w:p>
        </w:tc>
        <w:tc>
          <w:tcPr>
            <w:tcW w:w="13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FFFFFF" w:val="clear"/>
            <w:vAlign w:val="center"/>
          </w:tcPr>
          <w:p>
            <w:pPr>
              <w:pStyle w:val="TableContents"/>
              <w:bidi w:val="0"/>
              <w:spacing w:before="0" w:after="283"/>
              <w:jc w:val="center"/>
              <w:rPr/>
            </w:pPr>
            <w:r>
              <w:rPr/>
              <w:t> </w:t>
            </w:r>
          </w:p>
        </w:tc>
        <w:tc>
          <w:tcPr>
            <w:tcW w:w="13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$3.25–$8.27</w:t>
            </w:r>
          </w:p>
        </w:tc>
        <w:tc>
          <w:tcPr>
            <w:tcW w:w="146" w:type="dxa"/>
            <w:tcBorders/>
            <w:shd w:fill="CFF0FC" w:val="clear"/>
            <w:vAlign w:val="center"/>
          </w:tcPr>
          <w:p>
            <w:pPr>
              <w:pStyle w:val="TableContents"/>
              <w:bidi w:val="0"/>
              <w:spacing w:before="0" w:after="283"/>
              <w:jc w:val="center"/>
              <w:rPr/>
            </w:pPr>
            <w:r>
              <w:rPr/>
              <w:t> </w:t>
            </w:r>
          </w:p>
        </w:tc>
        <w:tc>
          <w:tcPr>
            <w:tcW w:w="135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$4.89 – $16.23</w:t>
            </w:r>
          </w:p>
        </w:tc>
        <w:tc>
          <w:tcPr>
            <w:tcW w:w="146" w:type="dxa"/>
            <w:tcBorders/>
            <w:shd w:fill="CFF0FC" w:val="clear"/>
            <w:vAlign w:val="center"/>
          </w:tcPr>
          <w:p>
            <w:pPr>
              <w:pStyle w:val="TableContents"/>
              <w:bidi w:val="0"/>
              <w:spacing w:before="0" w:after="283"/>
              <w:jc w:val="center"/>
              <w:rPr/>
            </w:pPr>
            <w:r>
              <w:rPr/>
              <w:t> </w:t>
            </w:r>
          </w:p>
        </w:tc>
        <w:tc>
          <w:tcPr>
            <w:tcW w:w="13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$13.25–$13.95</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total unrecognized stock-based compensation expense related to the ESPP was $5.3 million, which will be recognized over a weighted-average period of 0.81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stock-based compensation expense included in the statements of operations (in thousands): </w:t>
      </w:r>
    </w:p>
    <w:tbl>
      <w:tblPr>
        <w:tblW w:w="7433"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Income Taxes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Loss before provision for income taxes were as follows for the periods indicated (in thousands):</w:t>
      </w:r>
    </w:p>
    <w:tbl>
      <w:tblPr>
        <w:tblW w:w="7793" w:type="dxa"/>
        <w:jc w:val="left"/>
        <w:tblInd w:w="0" w:type="dxa"/>
        <w:tblLayout w:type="fixed"/>
        <w:tblCellMar>
          <w:top w:w="28" w:type="dxa"/>
          <w:left w:w="28" w:type="dxa"/>
          <w:bottom w:w="28" w:type="dxa"/>
          <w:right w:w="28" w:type="dxa"/>
        </w:tblCellMar>
      </w:tblPr>
      <w:tblGrid>
        <w:gridCol w:w="3456"/>
        <w:gridCol w:w="146"/>
        <w:gridCol w:w="211"/>
        <w:gridCol w:w="841"/>
        <w:gridCol w:w="166"/>
        <w:gridCol w:w="146"/>
        <w:gridCol w:w="211"/>
        <w:gridCol w:w="841"/>
        <w:gridCol w:w="166"/>
        <w:gridCol w:w="146"/>
        <w:gridCol w:w="211"/>
        <w:gridCol w:w="841"/>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(128,400</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income taxes were $0.5 million, $0.3 million, and $0.2 million for the years ended December 31, 2023, 2022 and 2021, respectively, which primarily related to foreign income taxes in Mexico. The Company has incurred net operating losses for all periods presented. The Company has not reflected any benefit of such net operating loss carryforwards in the financial statements. The Company has established a full valuation allowance against its deferred tax assets due to the uncertainty surrounding the realization of such assets.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effective tax rate differs from the federal statutory income tax rate applied to the loss before provision for income taxes and tax due to the following: </w:t>
      </w:r>
    </w:p>
    <w:tbl>
      <w:tblPr>
        <w:tblW w:w="6961" w:type="dxa"/>
        <w:jc w:val="left"/>
        <w:tblInd w:w="0" w:type="dxa"/>
        <w:tblLayout w:type="fixed"/>
        <w:tblCellMar>
          <w:top w:w="28" w:type="dxa"/>
          <w:left w:w="28" w:type="dxa"/>
          <w:bottom w:w="28" w:type="dxa"/>
          <w:right w:w="28" w:type="dxa"/>
        </w:tblCellMar>
      </w:tblPr>
      <w:tblGrid>
        <w:gridCol w:w="3076"/>
        <w:gridCol w:w="146"/>
        <w:gridCol w:w="146"/>
        <w:gridCol w:w="526"/>
        <w:gridCol w:w="166"/>
        <w:gridCol w:w="271"/>
        <w:gridCol w:w="146"/>
        <w:gridCol w:w="146"/>
        <w:gridCol w:w="526"/>
        <w:gridCol w:w="166"/>
        <w:gridCol w:w="271"/>
        <w:gridCol w:w="146"/>
        <w:gridCol w:w="146"/>
        <w:gridCol w:w="526"/>
        <w:gridCol w:w="166"/>
        <w:gridCol w:w="3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and state tax credits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permanent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deferred tax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Deferred tax assets and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Deferred income taxes reflect the net tax effect of temporary differences between amounts recorded for financial reporting purposes and amounts used for tax purposes. The major components of deferred tax assets and liabilities were as follows as of the dates indicated (in thousands):</w:t>
      </w:r>
    </w:p>
    <w:tbl>
      <w:tblPr>
        <w:tblW w:w="6374" w:type="dxa"/>
        <w:jc w:val="left"/>
        <w:tblInd w:w="0" w:type="dxa"/>
        <w:tblLayout w:type="fixed"/>
        <w:tblCellMar>
          <w:top w:w="28" w:type="dxa"/>
          <w:left w:w="28" w:type="dxa"/>
          <w:bottom w:w="28" w:type="dxa"/>
          <w:right w:w="28" w:type="dxa"/>
        </w:tblCellMar>
      </w:tblPr>
      <w:tblGrid>
        <w:gridCol w:w="3201"/>
        <w:gridCol w:w="146"/>
        <w:gridCol w:w="211"/>
        <w:gridCol w:w="841"/>
        <w:gridCol w:w="166"/>
        <w:gridCol w:w="146"/>
        <w:gridCol w:w="211"/>
        <w:gridCol w:w="841"/>
        <w:gridCol w:w="61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131,705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Accrual and reserves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Tangible and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deferred tax asset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20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0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Gross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Realization of the deferred tax assets is dependent upon future taxable income, if any, the amount and timing of which are uncertain. A valuation allowance is provided when it is not more likely than not that some portion of the deferred tax assets will be realized. Management believes that, based on a number of factors, it is more likely than not that the U.S. federal and state net deferred tax assets will not be fully realized, thus a full valuation allowance has been recorded as of December 31, 2023 and 2022. The change in the valuation allowance during the years ended December 31, 2023, 2022 and 2021 was an increase of $37.8 million, $42.6 million, and $30.7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Starting in 2022, changes to Internal Revenue Code Section 174 made by the Tax Cuts and Jobs Act of 2017 (the TCJA) no longer permit an immediate deduction for research and development expenditures in the tax year that such costs are incurred. As a result, the Company capitalized such costs in its 2023 and 2022 income tax provisions, resulting in an increase in deferred tax assets. </w:t>
      </w:r>
    </w:p>
    <w:p>
      <w:pPr>
        <w:pStyle w:val="TextBody"/>
        <w:bidi w:val="0"/>
        <w:spacing w:before="240" w:after="283"/>
        <w:jc w:val="left"/>
        <w:rPr>
          <w:rFonts w:ascii="Times New Roman" w:hAnsi="Times New Roman"/>
          <w:sz w:val="20"/>
        </w:rPr>
      </w:pPr>
      <w:r>
        <w:rPr>
          <w:rFonts w:ascii="Times New Roman" w:hAnsi="Times New Roman"/>
          <w:b/>
          <w:i/>
          <w:color w:val="000000"/>
          <w:sz w:val="20"/>
        </w:rPr>
        <w:t>Net Operating Loss and Tax Credit Carryforwards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had a net operating loss carryforward for U.S. federal income tax purposes of $643.4 million. Federal net operating losses of $515.6 million incurred after 2017 do not expire but usage is limited to 80% of taxable income. The remaining $127.8 million of federal net operating loss carryforward will begin to expire in 2024 and continue to expire through 2037. The Company had a total U.S. state net operating loss carryforward of $380.2 million. State net operating losses of $108.3 million do not expire. The remaining state net operating loss carryforward of $271.9 million will begin to expire in 2024 and continue to expire through 2043.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had federal research and development credits of $8.8 million, which will begin to expire in 2030 and state research and development credits of $7.5 million which are not currently subject to expiration. Utilization of the operating loss and tax credits may be subject to annual limitation due to the ownership change limitations provided by the Code and similar state provisions. Such an annual limitation could result in the expiration of net operating loss and tax credit carryforwards before utilization.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laws impose substantial restrictions on the utilization of net operating loss and tax credit carryforwards in the event of an ownership change for tax purposes, as defined in Section 382 of the Internal Revenue Code. As a result of such ownership changes, the Company’s ability to realize the potential future benefit of tax losses and tax credits that existed at the time of the ownership change may be significantly reduced. The Company’s deferred tax asset and related valuation allowance would be reduced, as a result. The Company has not performed a Section 382 study to determine the amount of reduction, if any. Unrecognized tax benefits as of December 31, 2023 have been recorded as an offset to federal and state research and development credit carryforwards.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Unrecognized Tax Benefits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reconciliation of the total unrecognized tax benefits for the periods presented was as follows (in thousands): </w:t>
      </w:r>
    </w:p>
    <w:tbl>
      <w:tblPr>
        <w:tblW w:w="5644"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prior years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related to current year positions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current year positions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material accrued interest or penalties associated with unrecognized tax benefits. The Company does not believe it is reasonably possible that its unrecognized tax benefits will significantly change within the next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income tax returns in the United States, various U.S. states and Mexico. The Company is currently under Texas franchise tax audit. The Company is not under examination by income tax authorities in federal, other states with the exception of Texas, or other jurisdictions. All tax returns remain open for examination by federal, state, and foreign authorities for three, four, and five years, respectively, from the date of utilization of any net operating loss or credits.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loss per share due to their anti-dilutive effect (in thousands): </w:t>
      </w:r>
    </w:p>
    <w:tbl>
      <w:tblPr>
        <w:tblW w:w="6523" w:type="dxa"/>
        <w:jc w:val="left"/>
        <w:tblInd w:w="0" w:type="dxa"/>
        <w:tblLayout w:type="fixed"/>
        <w:tblCellMar>
          <w:top w:w="28" w:type="dxa"/>
          <w:left w:w="28" w:type="dxa"/>
          <w:bottom w:w="28" w:type="dxa"/>
          <w:right w:w="28" w:type="dxa"/>
        </w:tblCellMar>
      </w:tblPr>
      <w:tblGrid>
        <w:gridCol w:w="3451"/>
        <w:gridCol w:w="146"/>
        <w:gridCol w:w="146"/>
        <w:gridCol w:w="571"/>
        <w:gridCol w:w="146"/>
        <w:gridCol w:w="146"/>
        <w:gridCol w:w="146"/>
        <w:gridCol w:w="571"/>
        <w:gridCol w:w="146"/>
        <w:gridCol w:w="146"/>
        <w:gridCol w:w="146"/>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35" w:type="dxa"/>
            <w:gridSpan w:val="1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Restructuring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Early in the fourth quarter of 2023, the Company began restructuring its organization to better align its talent, organizational design and spending in support of its most critical strategies while also streamlining its overall cost structure. The restructuring plan was substantially completed as of December 31, 2023. As a result, we recognized restructuring charges of $2.5 million for severance costs, all of which were paid or will be paid in cash. As of December 31, 2023, $0.9 million of restructuring costs were recorded in accrued compensation and related benefits on the balance sheet.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Restructuring costs are recorded in the statements of operations as follows (in thousands): </w:t>
      </w:r>
    </w:p>
    <w:tbl>
      <w:tblPr>
        <w:tblW w:w="4373" w:type="dxa"/>
        <w:jc w:val="left"/>
        <w:tblInd w:w="0" w:type="dxa"/>
        <w:tblLayout w:type="fixed"/>
        <w:tblCellMar>
          <w:top w:w="28" w:type="dxa"/>
          <w:left w:w="28" w:type="dxa"/>
          <w:bottom w:w="28" w:type="dxa"/>
          <w:right w:w="28" w:type="dxa"/>
        </w:tblCellMar>
      </w:tblPr>
      <w:tblGrid>
        <w:gridCol w:w="2311"/>
        <w:gridCol w:w="146"/>
        <w:gridCol w:w="464"/>
        <w:gridCol w:w="126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Subsequent Event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2, 2024, the Company borrowed and received $66.5 million under the SLR Term Loan Facility (the Term B-2 Loan). After giving effect to such borrowing and the recent borrowing the Company made in December 2023, the outstanding principal amount under the SLR Term Loan Facility is $200.0 million as of the date of this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9_changes_in_disagreements_with_acc"/>
      <w:bookmarkEnd w:id="21"/>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sz w:val="20"/>
        </w:rPr>
      </w:pPr>
      <w:bookmarkStart w:id="22" w:name="item_9a_controls_procedures"/>
      <w:bookmarkEnd w:id="22"/>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Annual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Rules 13a-15(f) and 15d-15(f) under the Exchange Act. The rules define internal control over financial reporting as a process designed by, or under the supervision of, the Company’s Chief Executive Officer and Chief Financial Officer,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 - Integrated Framework (2013), our management concluded that our internal control over financial reporting was effective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2023 has been audited by an independent registered public accounting firm, as stated in their report, which is included under “Item 8. Financial Statements and Supplementary Data” of this Annual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of the Exchange Act) that occurred during the quarter ended December 31, 2023 that have materially affected, or are reasonably likely to materially affect, our internal control over financial reporting.</w:t>
      </w:r>
    </w:p>
    <w:p>
      <w:pPr>
        <w:pStyle w:val="TextBody"/>
        <w:bidi w:val="0"/>
        <w:spacing w:before="120" w:after="283"/>
        <w:jc w:val="left"/>
        <w:rPr>
          <w:rFonts w:ascii="Times New Roman" w:hAnsi="Times New Roman"/>
          <w:sz w:val="20"/>
        </w:rPr>
      </w:pPr>
      <w:bookmarkStart w:id="23" w:name="item_9b_other_information_"/>
      <w:bookmarkEnd w:id="23"/>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2023, no director or officer of the Company adopted, modified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4" w:name="item_9c_dis_reg_foreign_jurisdictions"/>
      <w:bookmarkEnd w:id="24"/>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25" w:name="item_10_directors_executive_ficers_corpo"/>
      <w:bookmarkEnd w:id="25"/>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10 with respect to executive officers may be found under the heading “Information About Our Executive Officers” in Part I, Item 1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conduct applicable to our principal executive, financial and accounting officers and all persons performing similar functions. A copy of our code of conduct is available on our principal corporate website at www.outsetmedical.com in the Investors section under “Corporate Governance.” We intend to post any required disclosures regarding an amendment to, or waiver from, a provision of our code of conduct on the same website. </w:t>
      </w:r>
    </w:p>
    <w:p>
      <w:pPr>
        <w:pStyle w:val="TextBody"/>
        <w:bidi w:val="0"/>
        <w:spacing w:before="120" w:after="283"/>
        <w:jc w:val="left"/>
        <w:rPr>
          <w:rFonts w:ascii="Times New Roman" w:hAnsi="Times New Roman"/>
          <w:sz w:val="20"/>
        </w:rPr>
      </w:pPr>
      <w:r>
        <w:rPr>
          <w:rFonts w:ascii="Times New Roman" w:hAnsi="Times New Roman"/>
          <w:color w:val="000000"/>
          <w:sz w:val="20"/>
        </w:rPr>
        <w:t>The remaining information required by this Item 10 is incorporated by reference from the sections entitled “</w:t>
      </w:r>
      <w:r>
        <w:rPr>
          <w:rFonts w:ascii="Times New Roman" w:hAnsi="Times New Roman"/>
          <w:i/>
          <w:color w:val="000000"/>
          <w:sz w:val="20"/>
        </w:rPr>
        <w:t>Board and Corporate Governance Matters,” “Audit Matters”</w:t>
      </w:r>
      <w:r>
        <w:rPr>
          <w:rFonts w:ascii="Times New Roman" w:hAnsi="Times New Roman"/>
          <w:color w:val="000000"/>
          <w:sz w:val="20"/>
        </w:rPr>
        <w:t xml:space="preserve"> and “</w:t>
      </w:r>
      <w:r>
        <w:rPr>
          <w:rFonts w:ascii="Times New Roman" w:hAnsi="Times New Roman"/>
          <w:i/>
          <w:color w:val="000000"/>
          <w:sz w:val="20"/>
        </w:rPr>
        <w:t>Delinquent Section 16(a) Reports</w:t>
      </w:r>
      <w:r>
        <w:rPr>
          <w:rFonts w:ascii="Times New Roman" w:hAnsi="Times New Roman"/>
          <w:color w:val="000000"/>
          <w:sz w:val="20"/>
        </w:rPr>
        <w:t>” to be included in our definitive proxy statement to be filed with the Securities and Exchange Commission in connection with our 2024 Annual Meeting of Stockholders within 120 days of our fiscal year ended December 31, 2023 (the Proxy Statement).</w:t>
      </w:r>
    </w:p>
    <w:p>
      <w:pPr>
        <w:pStyle w:val="TextBody"/>
        <w:bidi w:val="0"/>
        <w:spacing w:before="240" w:after="283"/>
        <w:jc w:val="left"/>
        <w:rPr>
          <w:rFonts w:ascii="Times New Roman" w:hAnsi="Times New Roman"/>
          <w:sz w:val="20"/>
        </w:rPr>
      </w:pPr>
      <w:bookmarkStart w:id="26" w:name="item_11_executive_compensation"/>
      <w:bookmarkEnd w:id="26"/>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11 will be set forth in the sections entitled “</w:t>
      </w:r>
      <w:r>
        <w:rPr>
          <w:rFonts w:ascii="Times New Roman" w:hAnsi="Times New Roman"/>
          <w:i/>
          <w:color w:val="000000"/>
          <w:sz w:val="20"/>
        </w:rPr>
        <w:t>Director Compensation</w:t>
      </w:r>
      <w:r>
        <w:rPr>
          <w:rFonts w:ascii="Times New Roman" w:hAnsi="Times New Roman"/>
          <w:color w:val="000000"/>
          <w:sz w:val="20"/>
        </w:rPr>
        <w:t>,” “</w:t>
      </w:r>
      <w:r>
        <w:rPr>
          <w:rFonts w:ascii="Times New Roman" w:hAnsi="Times New Roman"/>
          <w:i/>
          <w:color w:val="000000"/>
          <w:sz w:val="20"/>
        </w:rPr>
        <w:t>Executive Compensation,</w:t>
      </w:r>
      <w:r>
        <w:rPr>
          <w:rFonts w:ascii="Times New Roman" w:hAnsi="Times New Roman"/>
          <w:color w:val="000000"/>
          <w:sz w:val="20"/>
        </w:rPr>
        <w:t>” “</w:t>
      </w:r>
      <w:r>
        <w:rPr>
          <w:rFonts w:ascii="Times New Roman" w:hAnsi="Times New Roman"/>
          <w:i/>
          <w:color w:val="000000"/>
          <w:sz w:val="20"/>
        </w:rPr>
        <w:t>Compensation Committee Report</w:t>
      </w:r>
      <w:r>
        <w:rPr>
          <w:rFonts w:ascii="Times New Roman" w:hAnsi="Times New Roman"/>
          <w:color w:val="000000"/>
          <w:sz w:val="20"/>
        </w:rPr>
        <w:t>” and “</w:t>
      </w:r>
      <w:r>
        <w:rPr>
          <w:rFonts w:ascii="Times New Roman" w:hAnsi="Times New Roman"/>
          <w:i/>
          <w:color w:val="000000"/>
          <w:sz w:val="20"/>
        </w:rPr>
        <w:t>Compensation Committee Interlocks and Insider Participation</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7" w:name="item_12_security_ownership_certain_benef"/>
      <w:bookmarkEnd w:id="27"/>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12 will be set forth in the section entitled “</w:t>
      </w:r>
      <w:r>
        <w:rPr>
          <w:rFonts w:ascii="Times New Roman" w:hAnsi="Times New Roman"/>
          <w:i/>
          <w:color w:val="000000"/>
          <w:sz w:val="20"/>
        </w:rPr>
        <w:t>Security Ownership of Certain Beneficial Owners and Management</w:t>
      </w:r>
      <w:r>
        <w:rPr>
          <w:rFonts w:ascii="Times New Roman" w:hAnsi="Times New Roman"/>
          <w:color w:val="000000"/>
          <w:sz w:val="20"/>
        </w:rPr>
        <w:t>” and “</w:t>
      </w:r>
      <w:r>
        <w:rPr>
          <w:rFonts w:ascii="Times New Roman" w:hAnsi="Times New Roman"/>
          <w:i/>
          <w:color w:val="000000"/>
          <w:sz w:val="20"/>
        </w:rPr>
        <w:t>Equity Plan Information</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8" w:name="item_13_certain_relationships_related_tr"/>
      <w:bookmarkEnd w:id="28"/>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13 will be set forth in the sections entitled “</w:t>
      </w:r>
      <w:r>
        <w:rPr>
          <w:rFonts w:ascii="Times New Roman" w:hAnsi="Times New Roman"/>
          <w:i/>
          <w:color w:val="000000"/>
          <w:sz w:val="20"/>
        </w:rPr>
        <w:t>Certain Relationships and Related Party Transactions</w:t>
      </w:r>
      <w:r>
        <w:rPr>
          <w:rFonts w:ascii="Times New Roman" w:hAnsi="Times New Roman"/>
          <w:color w:val="000000"/>
          <w:sz w:val="20"/>
        </w:rPr>
        <w:t>” and “</w:t>
      </w:r>
      <w:r>
        <w:rPr>
          <w:rFonts w:ascii="Times New Roman" w:hAnsi="Times New Roman"/>
          <w:i/>
          <w:color w:val="000000"/>
          <w:sz w:val="20"/>
        </w:rPr>
        <w:t>Director Independence</w:t>
      </w:r>
      <w:r>
        <w:rPr>
          <w:rFonts w:ascii="Times New Roman" w:hAnsi="Times New Roman"/>
          <w:color w:val="000000"/>
          <w:sz w:val="20"/>
        </w:rPr>
        <w:t>” to be included in the Proxy Statement and is incorporated herein by reference.</w:t>
      </w:r>
    </w:p>
    <w:p>
      <w:pPr>
        <w:pStyle w:val="TextBody"/>
        <w:bidi w:val="0"/>
        <w:spacing w:before="240" w:after="283"/>
        <w:jc w:val="left"/>
        <w:rPr>
          <w:rFonts w:ascii="Times New Roman" w:hAnsi="Times New Roman"/>
          <w:sz w:val="20"/>
        </w:rPr>
      </w:pPr>
      <w:bookmarkStart w:id="29" w:name="item_14_principal_accounting_fees_servic"/>
      <w:bookmarkEnd w:id="29"/>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KPMG LLP, San Francisco, CA, Auditor ID: 185.</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14 will be set forth in the section entitled “</w:t>
      </w:r>
      <w:r>
        <w:rPr>
          <w:rFonts w:ascii="Times New Roman" w:hAnsi="Times New Roman"/>
          <w:i/>
          <w:color w:val="000000"/>
          <w:sz w:val="20"/>
        </w:rPr>
        <w:t>Audit Matters</w:t>
      </w:r>
      <w:r>
        <w:rPr>
          <w:rFonts w:ascii="Times New Roman" w:hAnsi="Times New Roman"/>
          <w:color w:val="000000"/>
          <w:sz w:val="20"/>
        </w:rPr>
        <w:t>” to be included in the Proxy Statement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0" w:name="item_15_exhibits_financial_statement_sch"/>
      <w:bookmarkEnd w:id="30"/>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filed the following documents as part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The financial statements included in “Index to Financial Statements” in Part II, Item 8 are filed as part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The exhibits listed in the accompanying Exhibit Index are filed or incorporated by reference as part of this Annual Report.</w:t>
      </w:r>
    </w:p>
    <w:p>
      <w:pPr>
        <w:pStyle w:val="TextBody"/>
        <w:bidi w:val="0"/>
        <w:spacing w:before="240" w:after="283"/>
        <w:jc w:val="left"/>
        <w:rPr>
          <w:rFonts w:ascii="Times New Roman" w:hAnsi="Times New Roman"/>
          <w:b/>
          <w:color w:val="000000"/>
          <w:sz w:val="20"/>
        </w:rPr>
      </w:pPr>
      <w:bookmarkStart w:id="31" w:name="item_16_form_10k_summary"/>
      <w:bookmarkEnd w:id="31"/>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308"/>
        <w:gridCol w:w="146"/>
        <w:gridCol w:w="586"/>
        <w:gridCol w:w="146"/>
        <w:gridCol w:w="841"/>
        <w:gridCol w:w="146"/>
        <w:gridCol w:w="736"/>
        <w:gridCol w:w="146"/>
        <w:gridCol w:w="1193"/>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30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9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by Reference</w:t>
            </w:r>
          </w:p>
        </w:tc>
      </w:tr>
      <w:tr>
        <w:trPr/>
        <w:tc>
          <w:tcPr>
            <w:tcW w:w="81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vAlign w:val="center"/>
          </w:tcPr>
          <w:p>
            <w:pPr>
              <w:pStyle w:val="TableContents"/>
              <w:bidi w:val="0"/>
              <w:spacing w:before="0" w:after="283"/>
              <w:jc w:val="left"/>
              <w:rPr>
                <w:sz w:val="4"/>
                <w:szCs w:val="4"/>
              </w:rPr>
            </w:pPr>
            <w:r>
              <w:rPr>
                <w:sz w:val="4"/>
                <w:szCs w:val="4"/>
              </w:rPr>
            </w:r>
          </w:p>
        </w:tc>
        <w:tc>
          <w:tcPr>
            <w:tcW w:w="530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vAlign w:val="center"/>
          </w:tcPr>
          <w:p>
            <w:pPr>
              <w:pStyle w:val="TableContents"/>
              <w:bidi w:val="0"/>
              <w:spacing w:before="0" w:after="283"/>
              <w:jc w:val="center"/>
              <w:rPr/>
            </w:pPr>
            <w:r>
              <w:rPr/>
              <w:t> </w:t>
            </w:r>
          </w:p>
        </w:tc>
        <w:tc>
          <w:tcPr>
            <w:tcW w:w="84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vAlign w:val="center"/>
          </w:tcPr>
          <w:p>
            <w:pPr>
              <w:pStyle w:val="TableContents"/>
              <w:bidi w:val="0"/>
              <w:spacing w:before="0" w:after="283"/>
              <w:jc w:val="center"/>
              <w:rPr/>
            </w:pPr>
            <w:r>
              <w:rPr/>
              <w:t> </w:t>
            </w:r>
          </w:p>
        </w:tc>
        <w:tc>
          <w:tcPr>
            <w:tcW w:w="1193"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4">
              <w:r>
                <w:rPr>
                  <w:rStyle w:val="InternetLink"/>
                  <w:rFonts w:ascii="Times New Roman" w:hAnsi="Times New Roman"/>
                  <w:color w:val="0563C1"/>
                  <w:sz w:val="20"/>
                  <w:u w:val="single"/>
                </w:rPr>
                <w:t>Form of Amended and Restated Certificate of Incorporation of Outset Medical, Inc.</w:t>
              </w:r>
            </w:hyperlink>
            <w:r>
              <w:rPr>
                <w:rFonts w:ascii="Times New Roman" w:hAnsi="Times New Roman"/>
                <w:color w:val="000000"/>
                <w:sz w:val="20"/>
              </w:rPr>
              <w:t xml:space="preserve"> </w:t>
            </w:r>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5">
              <w:r>
                <w:rPr>
                  <w:rStyle w:val="InternetLink"/>
                  <w:rFonts w:ascii="Times New Roman" w:hAnsi="Times New Roman"/>
                  <w:color w:val="0563C1"/>
                  <w:sz w:val="20"/>
                  <w:u w:val="single"/>
                </w:rPr>
                <w:t>Form of Amended and Restated Bylaws of Outset Medical, Inc.</w:t>
              </w:r>
            </w:hyperlink>
            <w:r>
              <w:rPr>
                <w:rFonts w:ascii="Times New Roman" w:hAnsi="Times New Roman"/>
                <w:color w:val="000000"/>
                <w:sz w:val="20"/>
              </w:rPr>
              <w:t xml:space="preserve"> </w:t>
            </w:r>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6">
              <w:r>
                <w:rPr>
                  <w:rStyle w:val="InternetLink"/>
                  <w:rFonts w:ascii="Times New Roman" w:hAnsi="Times New Roman"/>
                  <w:color w:val="0563C1"/>
                  <w:sz w:val="20"/>
                  <w:u w:val="single"/>
                </w:rPr>
                <w:t>Form of Common Stock Certificate</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7">
              <w:r>
                <w:rPr>
                  <w:rStyle w:val="InternetLink"/>
                  <w:rFonts w:ascii="Times New Roman" w:hAnsi="Times New Roman"/>
                  <w:color w:val="0563C1"/>
                  <w:sz w:val="20"/>
                  <w:u w:val="single"/>
                </w:rPr>
                <w:t>Amended and Restated Registration Rights Agreement</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8">
              <w:r>
                <w:rPr>
                  <w:rStyle w:val="InternetLink"/>
                  <w:rFonts w:ascii="Times New Roman" w:hAnsi="Times New Roman"/>
                  <w:color w:val="0563C1"/>
                  <w:sz w:val="20"/>
                  <w:u w:val="single"/>
                </w:rPr>
                <w:t>Form of Series A Warrant Agreement #1</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9">
              <w:r>
                <w:rPr>
                  <w:rStyle w:val="InternetLink"/>
                  <w:rFonts w:ascii="Times New Roman" w:hAnsi="Times New Roman"/>
                  <w:color w:val="0563C1"/>
                  <w:sz w:val="20"/>
                  <w:u w:val="single"/>
                </w:rPr>
                <w:t>Form of Series A Warrant Agreement #2</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4.5</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0">
              <w:r>
                <w:rPr>
                  <w:rStyle w:val="InternetLink"/>
                  <w:rFonts w:ascii="Times New Roman" w:hAnsi="Times New Roman"/>
                  <w:color w:val="0563C1"/>
                  <w:sz w:val="20"/>
                  <w:u w:val="single"/>
                </w:rPr>
                <w:t>Description of Outset Medical, Inc.’s Securities Registered Pursuant to Section 12 of the Exchange Act</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4.5</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1">
              <w:r>
                <w:rPr>
                  <w:rStyle w:val="InternetLink"/>
                  <w:rFonts w:ascii="Times New Roman" w:hAnsi="Times New Roman"/>
                  <w:color w:val="0563C1"/>
                  <w:sz w:val="20"/>
                  <w:u w:val="single"/>
                </w:rPr>
                <w:t>Form of Indemnification Agreement</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September 9,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2">
              <w:r>
                <w:rPr>
                  <w:rStyle w:val="InternetLink"/>
                  <w:rFonts w:ascii="Times New Roman" w:hAnsi="Times New Roman"/>
                  <w:color w:val="0563C1"/>
                  <w:sz w:val="20"/>
                  <w:u w:val="single"/>
                </w:rPr>
                <w:t>Outset Medical, Inc. 2010 Equity Incentive Plan and related form agreements</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3">
              <w:r>
                <w:rPr>
                  <w:rStyle w:val="InternetLink"/>
                  <w:rFonts w:ascii="Times New Roman" w:hAnsi="Times New Roman"/>
                  <w:color w:val="0563C1"/>
                  <w:sz w:val="20"/>
                  <w:u w:val="single"/>
                </w:rPr>
                <w:t>Outset Medical, Inc. 2019 Equity Incentive Plan and related form agreements</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4">
              <w:r>
                <w:rPr>
                  <w:rStyle w:val="InternetLink"/>
                  <w:rFonts w:ascii="Times New Roman" w:hAnsi="Times New Roman"/>
                  <w:color w:val="000080"/>
                  <w:sz w:val="20"/>
                  <w:u w:val="single"/>
                </w:rPr>
                <w:t>Outset Medical, Inc. 2020 Equity Incentive Plan</w:t>
              </w:r>
            </w:hyperlink>
            <w:r>
              <w:rPr>
                <w:rFonts w:ascii="Times New Roman" w:hAnsi="Times New Roman"/>
                <w:color w:val="0563C1"/>
                <w:sz w:val="20"/>
                <w:u w:val="single"/>
              </w:rPr>
              <w:t>, as amended and restated</w:t>
            </w:r>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pPr>
            <w:r>
              <w:rPr/>
              <w:t> </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pPr>
            <w:r>
              <w:rPr/>
              <w:t> </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pPr>
            <w:r>
              <w:rPr/>
              <w:t> </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5">
              <w:r>
                <w:rPr>
                  <w:rStyle w:val="InternetLink"/>
                  <w:rFonts w:ascii="Times New Roman" w:hAnsi="Times New Roman"/>
                  <w:color w:val="0563C1"/>
                  <w:sz w:val="20"/>
                  <w:u w:val="single"/>
                </w:rPr>
                <w:t>Form of Stock Option Grant Notice and Option Agreement for Outset Medical, Inc. 2020 Equity Incentive Plan</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6">
              <w:r>
                <w:rPr>
                  <w:rStyle w:val="InternetLink"/>
                  <w:rFonts w:ascii="Times New Roman" w:hAnsi="Times New Roman"/>
                  <w:color w:val="0563C1"/>
                  <w:sz w:val="20"/>
                  <w:u w:val="single"/>
                </w:rPr>
                <w:t>Form of Restricted Stock Unit Award Grant Notice and Award Agreement for Outset Medical, Inc. 2020 Equity Incentive Plan</w:t>
              </w:r>
            </w:hyperlink>
            <w:r>
              <w:rPr>
                <w:rFonts w:ascii="Times New Roman" w:hAnsi="Times New Roman"/>
                <w:color w:val="000000"/>
                <w:sz w:val="20"/>
              </w:rPr>
              <w:t xml:space="preserve"> </w:t>
            </w:r>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7">
              <w:r>
                <w:rPr>
                  <w:rStyle w:val="InternetLink"/>
                  <w:rFonts w:ascii="Times New Roman" w:hAnsi="Times New Roman"/>
                  <w:color w:val="0563C1"/>
                  <w:sz w:val="20"/>
                  <w:u w:val="single"/>
                </w:rPr>
                <w:t>Form of Restricted Stock Award Grant Notice and Award Agreement for Outset Medical, Inc. 2020 Equity Incentive Plan</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8">
              <w:r>
                <w:rPr>
                  <w:rStyle w:val="InternetLink"/>
                  <w:rFonts w:ascii="Times New Roman" w:hAnsi="Times New Roman"/>
                  <w:color w:val="0563C1"/>
                  <w:sz w:val="20"/>
                  <w:u w:val="single"/>
                </w:rPr>
                <w:t>Form of Performance Stock Unit Award Grant Notice and Award Agreement for Outset Medical, Inc. 2020 Equity Incentive Plan</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19">
              <w:r>
                <w:rPr>
                  <w:rStyle w:val="InternetLink"/>
                  <w:rFonts w:ascii="Times New Roman" w:hAnsi="Times New Roman"/>
                  <w:color w:val="0563C1"/>
                  <w:sz w:val="20"/>
                  <w:u w:val="single"/>
                </w:rPr>
                <w:t>Outset Medical, Inc. Employee Stock Purchase Plan, as amended and restated</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November 9, 2022</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20">
              <w:r>
                <w:rPr>
                  <w:rStyle w:val="InternetLink"/>
                  <w:rFonts w:ascii="Times New Roman" w:hAnsi="Times New Roman"/>
                  <w:color w:val="0563C1"/>
                  <w:sz w:val="20"/>
                  <w:u w:val="single"/>
                </w:rPr>
                <w:t>Employment Agreement by and between Outset Medical and Leslie Trigg, dated as of February 23, 2015</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w:anchor="om-ex10_11.htm">
              <w:r>
                <w:rPr>
                  <w:rStyle w:val="InternetLink"/>
                  <w:rFonts w:ascii="Times New Roman" w:hAnsi="Times New Roman"/>
                  <w:color w:val="0563C1"/>
                  <w:sz w:val="20"/>
                  <w:u w:val="single"/>
                </w:rPr>
                <w:t>Form of Amended and Restated Change in Control and Severance Agreement for Chief Executive Officer</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pPr>
            <w:r>
              <w:rPr/>
              <w:t> </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pPr>
            <w:r>
              <w:rPr/>
              <w:t> </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pPr>
            <w:r>
              <w:rPr/>
              <w:t> </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w:anchor="om-ex10_12.htm">
              <w:r>
                <w:rPr>
                  <w:rStyle w:val="InternetLink"/>
                  <w:rFonts w:ascii="Times New Roman" w:hAnsi="Times New Roman"/>
                  <w:color w:val="0563C1"/>
                  <w:sz w:val="20"/>
                  <w:u w:val="single"/>
                </w:rPr>
                <w:t>Form of Amended and Restated Change in Control and Severance Agreement for non-Chief Executive Officer executive officers</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pPr>
            <w:r>
              <w:rPr/>
              <w:t> </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pPr>
            <w:r>
              <w:rPr/>
              <w:t> </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pPr>
            <w:r>
              <w:rPr/>
              <w:t> </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21">
              <w:r>
                <w:rPr>
                  <w:rStyle w:val="InternetLink"/>
                  <w:rFonts w:ascii="Times New Roman" w:hAnsi="Times New Roman"/>
                  <w:color w:val="0563C1"/>
                  <w:sz w:val="20"/>
                  <w:u w:val="single"/>
                </w:rPr>
                <w:t>Lease by and between WH Silicon Valley IV LP and Outset Medical, Inc., dated as of September 19, 2019</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22">
              <w:r>
                <w:rPr>
                  <w:rStyle w:val="InternetLink"/>
                  <w:rFonts w:ascii="Times New Roman" w:hAnsi="Times New Roman"/>
                  <w:color w:val="0563C1"/>
                  <w:sz w:val="20"/>
                  <w:u w:val="single"/>
                </w:rPr>
                <w:t>Sublease Agreement by and among Inmobiliaria IAMSA, S.A. de C.V. (Sublessor), Baja Fur S.A. de C.V. (Sublessee) and Outset Medical, Inc. (Guarantor), dated as of May 5, 2020</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23">
              <w:r>
                <w:rPr>
                  <w:rStyle w:val="InternetLink"/>
                  <w:rFonts w:ascii="Times New Roman" w:hAnsi="Times New Roman"/>
                  <w:color w:val="0563C1"/>
                  <w:sz w:val="20"/>
                  <w:u w:val="single"/>
                </w:rPr>
                <w:t>First Amendment Agreement by and among Inmobiliaria IAMSA, S.A. de C.V. (Sublessor), Baja Fur S.A. de C.V. (Sublessee) and Outset Medical, Inc. (Guarantor), dated as of June 26, 2020</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24">
              <w:r>
                <w:rPr>
                  <w:rStyle w:val="InternetLink"/>
                  <w:rFonts w:ascii="Times New Roman" w:hAnsi="Times New Roman"/>
                  <w:color w:val="0563C1"/>
                  <w:sz w:val="20"/>
                  <w:u w:val="single"/>
                </w:rPr>
                <w:t>Guaranty by and between Inmobiliaria IAMSA, S.A. de C.V. and Outset Medical, Inc dated as of May 6, 2020</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81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20" w:after="20"/>
              <w:jc w:val="center"/>
              <w:rPr/>
            </w:pPr>
            <w:r>
              <w:rPr/>
              <w:t> </w:t>
            </w:r>
          </w:p>
        </w:tc>
        <w:tc>
          <w:tcPr>
            <w:tcW w:w="5308" w:type="dxa"/>
            <w:tcBorders/>
            <w:vAlign w:val="center"/>
          </w:tcPr>
          <w:p>
            <w:pPr>
              <w:pStyle w:val="TableContents"/>
              <w:bidi w:val="0"/>
              <w:spacing w:before="20" w:after="20"/>
              <w:jc w:val="left"/>
              <w:rPr/>
            </w:pPr>
            <w:hyperlink r:id="rId25">
              <w:r>
                <w:rPr>
                  <w:rStyle w:val="InternetLink"/>
                  <w:rFonts w:ascii="Times New Roman" w:hAnsi="Times New Roman"/>
                  <w:color w:val="0563C1"/>
                  <w:sz w:val="20"/>
                  <w:u w:val="single"/>
                </w:rPr>
                <w:t>Manufacturing Services Agreement by and between TACNA Services, Inc. and Outset Medical, Inc. dated as of January 15, 2020</w:t>
              </w:r>
            </w:hyperlink>
          </w:p>
        </w:tc>
        <w:tc>
          <w:tcPr>
            <w:tcW w:w="146" w:type="dxa"/>
            <w:tcBorders/>
            <w:vAlign w:val="center"/>
          </w:tcPr>
          <w:p>
            <w:pPr>
              <w:pStyle w:val="TableContents"/>
              <w:bidi w:val="0"/>
              <w:spacing w:before="20" w:after="20"/>
              <w:jc w:val="left"/>
              <w:rPr/>
            </w:pPr>
            <w:r>
              <w:rPr/>
              <w:t> </w:t>
            </w:r>
          </w:p>
        </w:tc>
        <w:tc>
          <w:tcPr>
            <w:tcW w:w="586"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4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736"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20" w:after="20"/>
              <w:jc w:val="left"/>
              <w:rPr/>
            </w:pPr>
            <w:r>
              <w:rPr/>
              <w:t> </w:t>
            </w:r>
          </w:p>
        </w:tc>
        <w:tc>
          <w:tcPr>
            <w:tcW w:w="119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0"/>
        <w:gridCol w:w="146"/>
        <w:gridCol w:w="5764"/>
        <w:gridCol w:w="146"/>
        <w:gridCol w:w="418"/>
        <w:gridCol w:w="146"/>
        <w:gridCol w:w="853"/>
        <w:gridCol w:w="146"/>
        <w:gridCol w:w="571"/>
        <w:gridCol w:w="146"/>
        <w:gridCol w:w="1199"/>
      </w:tblGrid>
      <w:tr>
        <w:trPr/>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r:id="rId26">
              <w:r>
                <w:rPr>
                  <w:rStyle w:val="InternetLink"/>
                  <w:rFonts w:ascii="Times New Roman" w:hAnsi="Times New Roman"/>
                  <w:color w:val="0563C1"/>
                  <w:sz w:val="20"/>
                  <w:u w:val="single"/>
                </w:rPr>
                <w:t>Authorized Reseller Agreement by and between SDV Office Systems, LLC dba SDV Medical and Outset Medical, Inc. dated as of October 14, 2019</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r:id="rId27">
              <w:r>
                <w:rPr>
                  <w:rStyle w:val="InternetLink"/>
                  <w:rFonts w:ascii="Times New Roman" w:hAnsi="Times New Roman"/>
                  <w:color w:val="0563C1"/>
                  <w:sz w:val="20"/>
                  <w:u w:val="single"/>
                </w:rPr>
                <w:t>Amendment 1 to the Authorized Reseller Agreement by and between SDV Office Systems, LLC dba SDV Medical and Outset Medical, Inc. dated as of March 26, 2020</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r:id="rId28">
              <w:r>
                <w:rPr>
                  <w:rStyle w:val="InternetLink"/>
                  <w:rFonts w:ascii="Times New Roman" w:hAnsi="Times New Roman"/>
                  <w:color w:val="0563C1"/>
                  <w:sz w:val="20"/>
                  <w:u w:val="single"/>
                </w:rPr>
                <w:t>Amendment 2 to the Authorized Reseller Agreement by and between SDV Office Systems, LLC dba SDV Medical and Outset Medical, Inc. dated as of May 6, 2020</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r:id="rId29">
              <w:r>
                <w:rPr>
                  <w:rStyle w:val="InternetLink"/>
                  <w:rFonts w:ascii="Times New Roman" w:hAnsi="Times New Roman"/>
                  <w:color w:val="0563C1"/>
                  <w:sz w:val="20"/>
                  <w:u w:val="single"/>
                </w:rPr>
                <w:t>Purchasing Agreement by and between HCA Management Services, L.P. and Outset Medical, Inc. dated as of May 1, 2020</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 xml:space="preserve">S-1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333-248225</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August 21, 2020</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r:id="rId30">
              <w:r>
                <w:rPr>
                  <w:rStyle w:val="InternetLink"/>
                  <w:rFonts w:ascii="Times New Roman" w:hAnsi="Times New Roman"/>
                  <w:color w:val="0563C1"/>
                  <w:sz w:val="20"/>
                  <w:u w:val="single"/>
                </w:rPr>
                <w:t>Supply Agreement by and between Carlisle Interconnect Technologies, Inc. and Outset Medical, Inc., dated January 12, 2021</w:t>
              </w:r>
            </w:hyperlink>
          </w:p>
        </w:tc>
        <w:tc>
          <w:tcPr>
            <w:tcW w:w="146" w:type="dxa"/>
            <w:tcBorders/>
            <w:vAlign w:val="center"/>
          </w:tcPr>
          <w:p>
            <w:pPr>
              <w:pStyle w:val="TableContents"/>
              <w:bidi w:val="0"/>
              <w:jc w:val="left"/>
              <w:rPr/>
            </w:pPr>
            <w:r>
              <w:rPr/>
              <w:t> </w:t>
            </w:r>
          </w:p>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March 22, 2021</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r:id="rId31">
              <w:r>
                <w:rPr>
                  <w:rStyle w:val="InternetLink"/>
                  <w:rFonts w:ascii="Times New Roman" w:hAnsi="Times New Roman"/>
                  <w:color w:val="0563C1"/>
                  <w:sz w:val="20"/>
                  <w:u w:val="single"/>
                </w:rPr>
                <w:t>Loan and Security Agreement by and between SLR Investment Corp., the lenders from time to time party thereto and Outset Medical, Inc. dated as of November 3, 2022</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November 9, 2022</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r:id="rId32">
              <w:r>
                <w:rPr>
                  <w:rStyle w:val="InternetLink"/>
                  <w:rFonts w:ascii="Times New Roman" w:hAnsi="Times New Roman"/>
                  <w:color w:val="0563C1"/>
                  <w:sz w:val="20"/>
                  <w:u w:val="single"/>
                </w:rPr>
                <w:t>Credit Agreement by and between Gemino Healthcare Finance, LLC d/b/a SLR Healthcare ABL and Outset Medical, Inc. dated as of November 3, 2022</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001-39513</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November 9, 2022</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w:anchor="om-ex10_25.htm">
              <w:r>
                <w:rPr>
                  <w:rStyle w:val="InternetLink"/>
                  <w:rFonts w:ascii="Times New Roman" w:hAnsi="Times New Roman"/>
                  <w:color w:val="0563C1"/>
                  <w:sz w:val="20"/>
                  <w:u w:val="single"/>
                </w:rPr>
                <w:t>First Amendment to Loan and Security Agreement by and among SLR Investment Corp., as collateral agent, the lenders party thereto and Outset Medical, Inc. dated as of December 11, 2023</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w:anchor="om-ex23_1.htm">
              <w:r>
                <w:rPr>
                  <w:rStyle w:val="InternetLink"/>
                  <w:rFonts w:ascii="Times New Roman" w:hAnsi="Times New Roman"/>
                  <w:color w:val="0563C1"/>
                  <w:sz w:val="20"/>
                  <w:u w:val="single"/>
                </w:rPr>
                <w:t>Consent of KPMG LLP, independent registered public accounting firm</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20" w:after="20"/>
              <w:jc w:val="center"/>
              <w:rPr/>
            </w:pPr>
            <w:r>
              <w:rPr/>
              <w:t> </w:t>
            </w:r>
          </w:p>
        </w:tc>
        <w:tc>
          <w:tcPr>
            <w:tcW w:w="5764" w:type="dxa"/>
            <w:tcBorders/>
            <w:vAlign w:val="center"/>
          </w:tcPr>
          <w:p>
            <w:pPr>
              <w:pStyle w:val="TableContents"/>
              <w:bidi w:val="0"/>
              <w:spacing w:before="20" w:after="20"/>
              <w:jc w:val="left"/>
              <w:rPr/>
            </w:pPr>
            <w:hyperlink w:anchor="signatures">
              <w:r>
                <w:rPr>
                  <w:rStyle w:val="InternetLink"/>
                  <w:rFonts w:ascii="Times New Roman" w:hAnsi="Times New Roman"/>
                  <w:color w:val="0563C1"/>
                  <w:sz w:val="20"/>
                  <w:u w:val="single"/>
                </w:rPr>
                <w:t>Power of Attorney (included on the signature page)</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5764" w:type="dxa"/>
            <w:tcBorders/>
            <w:vAlign w:val="center"/>
          </w:tcPr>
          <w:p>
            <w:pPr>
              <w:pStyle w:val="TableContents"/>
              <w:bidi w:val="0"/>
              <w:spacing w:before="20" w:after="20"/>
              <w:jc w:val="left"/>
              <w:rPr/>
            </w:pPr>
            <w:hyperlink w:anchor="om-ex31_1.htm">
              <w:r>
                <w:rPr>
                  <w:rStyle w:val="InternetLink"/>
                  <w:rFonts w:ascii="Times New Roman" w:hAnsi="Times New Roman"/>
                  <w:color w:val="0563C1"/>
                  <w:sz w:val="20"/>
                  <w:u w:val="single"/>
                </w:rPr>
                <w:t>Certification of Principal Executive Officer pursuant to Rules 13a-14(a) and 15d-14(a) of the Exchange Act, as adopted pursuant to Section 302 of the Sarbanes-Oxley Act of 2002</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5764" w:type="dxa"/>
            <w:tcBorders/>
            <w:vAlign w:val="center"/>
          </w:tcPr>
          <w:p>
            <w:pPr>
              <w:pStyle w:val="TableContents"/>
              <w:bidi w:val="0"/>
              <w:spacing w:before="20" w:after="20"/>
              <w:jc w:val="left"/>
              <w:rPr/>
            </w:pPr>
            <w:hyperlink w:anchor="om-ex31_2.htm">
              <w:r>
                <w:rPr>
                  <w:rStyle w:val="InternetLink"/>
                  <w:rFonts w:ascii="Times New Roman" w:hAnsi="Times New Roman"/>
                  <w:color w:val="0563C1"/>
                  <w:sz w:val="20"/>
                  <w:u w:val="single"/>
                </w:rPr>
                <w:t>Certification of Principal Financial Officer pursuant to Rules 13a-14(a) and 15d-14(a) of the Exchange Act of 1934, as adopted pursuant to Section 302 of the Sarbanes-Oxley Act of 2002</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5764" w:type="dxa"/>
            <w:tcBorders/>
            <w:vAlign w:val="center"/>
          </w:tcPr>
          <w:p>
            <w:pPr>
              <w:pStyle w:val="TableContents"/>
              <w:bidi w:val="0"/>
              <w:spacing w:before="20" w:after="20"/>
              <w:jc w:val="left"/>
              <w:rPr/>
            </w:pPr>
            <w:hyperlink w:anchor="om-ex32_1.htm">
              <w:r>
                <w:rPr>
                  <w:rStyle w:val="InternetLink"/>
                  <w:rFonts w:ascii="Times New Roman" w:hAnsi="Times New Roman"/>
                  <w:color w:val="0563C1"/>
                  <w:sz w:val="20"/>
                  <w:u w:val="single"/>
                </w:rPr>
                <w:t>Certification of Principal Executive Officer and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20" w:after="20"/>
              <w:jc w:val="left"/>
              <w:rPr/>
            </w:pPr>
            <w:r>
              <w:rPr/>
              <w:t> </w:t>
            </w:r>
          </w:p>
        </w:tc>
        <w:tc>
          <w:tcPr>
            <w:tcW w:w="5764" w:type="dxa"/>
            <w:tcBorders/>
            <w:vAlign w:val="center"/>
          </w:tcPr>
          <w:p>
            <w:pPr>
              <w:pStyle w:val="TableContents"/>
              <w:bidi w:val="0"/>
              <w:spacing w:before="20" w:after="20"/>
              <w:jc w:val="left"/>
              <w:rPr/>
            </w:pPr>
            <w:hyperlink w:anchor="om-ex97_1.htm">
              <w:r>
                <w:rPr>
                  <w:rStyle w:val="InternetLink"/>
                  <w:rFonts w:ascii="Times New Roman" w:hAnsi="Times New Roman"/>
                  <w:color w:val="0563C1"/>
                  <w:sz w:val="20"/>
                  <w:u w:val="single"/>
                </w:rPr>
                <w:t>Outset Medical, Inc. Policy on Recoupment of Incentive Compensation</w:t>
              </w:r>
            </w:hyperlink>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5764"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5764"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r>
        <w:trPr/>
        <w:tc>
          <w:tcPr>
            <w:tcW w:w="670" w:type="dxa"/>
            <w:tcBorders/>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20" w:after="20"/>
              <w:jc w:val="left"/>
              <w:rPr/>
            </w:pPr>
            <w:r>
              <w:rPr/>
              <w:t> </w:t>
            </w:r>
          </w:p>
        </w:tc>
        <w:tc>
          <w:tcPr>
            <w:tcW w:w="5764" w:type="dxa"/>
            <w:tcBorders/>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vAlign w:val="center"/>
          </w:tcPr>
          <w:p>
            <w:pPr>
              <w:pStyle w:val="TableContents"/>
              <w:bidi w:val="0"/>
              <w:spacing w:before="20" w:after="20"/>
              <w:jc w:val="left"/>
              <w:rPr/>
            </w:pPr>
            <w:r>
              <w:rPr/>
              <w:t> </w:t>
            </w:r>
          </w:p>
        </w:tc>
        <w:tc>
          <w:tcPr>
            <w:tcW w:w="418"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853"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center"/>
              <w:rPr/>
            </w:pPr>
            <w:r>
              <w:rPr/>
              <w:t> </w:t>
            </w:r>
          </w:p>
        </w:tc>
        <w:tc>
          <w:tcPr>
            <w:tcW w:w="571" w:type="dxa"/>
            <w:tcBorders/>
            <w:vAlign w:val="center"/>
          </w:tcPr>
          <w:p>
            <w:pPr>
              <w:pStyle w:val="TableContents"/>
              <w:bidi w:val="0"/>
              <w:spacing w:before="20" w:after="20"/>
              <w:jc w:val="left"/>
              <w:rPr/>
            </w:pPr>
            <w:r>
              <w:rPr/>
              <w:t> </w:t>
            </w:r>
          </w:p>
        </w:tc>
        <w:tc>
          <w:tcPr>
            <w:tcW w:w="146" w:type="dxa"/>
            <w:tcBorders/>
            <w:vAlign w:val="center"/>
          </w:tcPr>
          <w:p>
            <w:pPr>
              <w:pStyle w:val="TableContents"/>
              <w:bidi w:val="0"/>
              <w:spacing w:before="20" w:after="20"/>
              <w:jc w:val="left"/>
              <w:rPr/>
            </w:pPr>
            <w:r>
              <w:rPr/>
              <w:t> </w:t>
            </w:r>
          </w:p>
        </w:tc>
        <w:tc>
          <w:tcPr>
            <w:tcW w:w="1199" w:type="dxa"/>
            <w:tcBorders/>
            <w:vAlign w:val="center"/>
          </w:tcPr>
          <w:p>
            <w:pPr>
              <w:pStyle w:val="TableContents"/>
              <w:bidi w:val="0"/>
              <w:spacing w:before="20" w:after="20"/>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Portions of the exhibit have been or will be excluded because it is both not material and is the type of information that the registrant treats as private or confidential.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6847" w:type="dxa"/>
        <w:jc w:val="left"/>
        <w:tblInd w:w="0" w:type="dxa"/>
        <w:tblLayout w:type="fixed"/>
        <w:tblCellMar>
          <w:top w:w="28" w:type="dxa"/>
          <w:left w:w="28" w:type="dxa"/>
          <w:bottom w:w="28" w:type="dxa"/>
          <w:right w:w="28" w:type="dxa"/>
        </w:tblCellMar>
      </w:tblPr>
      <w:tblGrid>
        <w:gridCol w:w="2086"/>
        <w:gridCol w:w="109"/>
        <w:gridCol w:w="406"/>
        <w:gridCol w:w="424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Outset Medical,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olor w:val="000000"/>
                <w:sz w:val="18"/>
              </w:rPr>
              <w:t>Leslie Trigg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Leslie Trigg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and Chief Executive Officer; Chair of the Board</w:t>
            </w:r>
          </w:p>
        </w:tc>
      </w:tr>
    </w:tbl>
    <w:p>
      <w:pPr>
        <w:pStyle w:val="TextBody"/>
        <w:bidi w:val="0"/>
        <w:spacing w:before="120" w:after="283"/>
        <w:jc w:val="left"/>
        <w:rPr>
          <w:rFonts w:ascii="Times New Roman" w:hAnsi="Times New Roman"/>
          <w:color w:val="000000"/>
          <w:sz w:val="20"/>
        </w:rPr>
      </w:pPr>
      <w:bookmarkStart w:id="33" w:name="know_all_men_by_se_presents_that_each_pe"/>
      <w:bookmarkEnd w:id="33"/>
      <w:r>
        <w:rPr>
          <w:rFonts w:ascii="Times New Roman" w:hAnsi="Times New Roman"/>
          <w:color w:val="000000"/>
          <w:sz w:val="20"/>
        </w:rPr>
        <w:t>KNOW ALL MEN BY THESE PRESENTS, that each person whose signature appears below constitutes and appoints Leslie Trigg and Nabeel Ahmed, and each of them,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tbl>
      <w:tblPr>
        <w:tblW w:w="10205" w:type="dxa"/>
        <w:jc w:val="left"/>
        <w:tblInd w:w="0" w:type="dxa"/>
        <w:tblLayout w:type="fixed"/>
        <w:tblCellMar>
          <w:top w:w="28" w:type="dxa"/>
          <w:left w:w="28" w:type="dxa"/>
          <w:bottom w:w="28" w:type="dxa"/>
          <w:right w:w="28" w:type="dxa"/>
        </w:tblCellMar>
      </w:tblPr>
      <w:tblGrid>
        <w:gridCol w:w="1783"/>
        <w:gridCol w:w="146"/>
        <w:gridCol w:w="6569"/>
        <w:gridCol w:w="146"/>
        <w:gridCol w:w="1561"/>
      </w:tblGrid>
      <w:tr>
        <w:trPr/>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7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56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2"/>
              </w:rPr>
            </w:pPr>
            <w:r>
              <w:rPr>
                <w:rFonts w:ascii="Times New Roman" w:hAnsi="Times New Roman"/>
                <w:color w:val="000000"/>
                <w:sz w:val="22"/>
              </w:rPr>
              <w:t xml:space="preserve">/s/ </w:t>
            </w:r>
            <w:r>
              <w:rPr>
                <w:rFonts w:ascii="Times New Roman" w:hAnsi="Times New Roman"/>
                <w:color w:val="000000"/>
                <w:sz w:val="20"/>
              </w:rPr>
              <w:t>Leslie Trigg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President and Chief Executive Officer; Chair of the Board (</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7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Leslie Trigg</w:t>
            </w:r>
          </w:p>
        </w:tc>
        <w:tc>
          <w:tcPr>
            <w:tcW w:w="146" w:type="dxa"/>
            <w:tcBorders/>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Nabeel Ahmed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7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Nabeel Ahmed</w:t>
            </w:r>
          </w:p>
        </w:tc>
        <w:tc>
          <w:tcPr>
            <w:tcW w:w="146" w:type="dxa"/>
            <w:tcBorders/>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 Keith Grossman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7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 Keith Grossman</w:t>
            </w:r>
          </w:p>
        </w:tc>
        <w:tc>
          <w:tcPr>
            <w:tcW w:w="146" w:type="dxa"/>
            <w:tcBorders/>
            <w:vAlign w:val="center"/>
          </w:tcPr>
          <w:p>
            <w:pPr>
              <w:pStyle w:val="TableContents"/>
              <w:bidi w:val="0"/>
              <w:spacing w:before="0" w:after="283"/>
              <w:jc w:val="left"/>
              <w:rPr/>
            </w:pPr>
            <w:r>
              <w:rPr/>
              <w:t> </w:t>
            </w:r>
          </w:p>
        </w:tc>
        <w:tc>
          <w:tcPr>
            <w:tcW w:w="65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Karen Drexler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7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Karen Drexler</w:t>
            </w:r>
          </w:p>
        </w:tc>
        <w:tc>
          <w:tcPr>
            <w:tcW w:w="146" w:type="dxa"/>
            <w:tcBorders/>
            <w:vAlign w:val="center"/>
          </w:tcPr>
          <w:p>
            <w:pPr>
              <w:pStyle w:val="TableContents"/>
              <w:bidi w:val="0"/>
              <w:spacing w:before="0" w:after="283"/>
              <w:jc w:val="left"/>
              <w:rPr/>
            </w:pPr>
            <w:r>
              <w:rPr/>
              <w:t> </w:t>
            </w:r>
          </w:p>
        </w:tc>
        <w:tc>
          <w:tcPr>
            <w:tcW w:w="65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T. Hackett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Director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7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T. Hackett</w:t>
            </w:r>
          </w:p>
        </w:tc>
        <w:tc>
          <w:tcPr>
            <w:tcW w:w="146" w:type="dxa"/>
            <w:tcBorders/>
            <w:vAlign w:val="center"/>
          </w:tcPr>
          <w:p>
            <w:pPr>
              <w:pStyle w:val="TableContents"/>
              <w:bidi w:val="0"/>
              <w:spacing w:before="0" w:after="283"/>
              <w:jc w:val="left"/>
              <w:rPr/>
            </w:pPr>
            <w:r>
              <w:rPr/>
              <w:t> </w:t>
            </w:r>
          </w:p>
        </w:tc>
        <w:tc>
          <w:tcPr>
            <w:tcW w:w="65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Jim Hinrichs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7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Jim Hinrichs</w:t>
            </w:r>
          </w:p>
        </w:tc>
        <w:tc>
          <w:tcPr>
            <w:tcW w:w="146" w:type="dxa"/>
            <w:tcBorders/>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78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56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pPr>
            <w:r>
              <w:rPr/>
              <w:t> </w:t>
            </w:r>
          </w:p>
        </w:tc>
      </w:tr>
      <w:tr>
        <w:trPr/>
        <w:tc>
          <w:tcPr>
            <w:tcW w:w="17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Dale Jones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6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56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78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Dale Jones</w:t>
            </w:r>
          </w:p>
        </w:tc>
        <w:tc>
          <w:tcPr>
            <w:tcW w:w="146" w:type="dxa"/>
            <w:tcBorders/>
            <w:vAlign w:val="center"/>
          </w:tcPr>
          <w:p>
            <w:pPr>
              <w:pStyle w:val="TableContents"/>
              <w:bidi w:val="0"/>
              <w:spacing w:before="0" w:after="283"/>
              <w:jc w:val="left"/>
              <w:rPr/>
            </w:pPr>
            <w:r>
              <w:rPr/>
              <w:t> </w:t>
            </w:r>
          </w:p>
        </w:tc>
        <w:tc>
          <w:tcPr>
            <w:tcW w:w="6569"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561" w:type="dxa"/>
            <w:tcBorders/>
            <w:vAlign w:val="center"/>
          </w:tcPr>
          <w:p>
            <w:pPr>
              <w:pStyle w:val="TableContents"/>
              <w:bidi w:val="0"/>
              <w:spacing w:before="0" w:after="283"/>
              <w:jc w:val="right"/>
              <w:rPr/>
            </w:pPr>
            <w:r>
              <w:rPr/>
              <w:t> </w:t>
            </w:r>
          </w:p>
        </w:tc>
      </w:tr>
    </w:tbl>
    <w:p>
      <w:pPr>
        <w:pStyle w:val="TextBody"/>
        <w:bidi w:val="0"/>
        <w:spacing w:before="120" w:after="120"/>
        <w:jc w:val="left"/>
        <w:rPr/>
      </w:pPr>
      <w:r>
        <w:rPr/>
        <w:t> </w:t>
      </w:r>
    </w:p>
    <w:tbl>
      <w:tblPr>
        <w:tblW w:w="4240" w:type="dxa"/>
        <w:jc w:val="left"/>
        <w:tblInd w:w="0" w:type="dxa"/>
        <w:tblLayout w:type="fixed"/>
        <w:tblCellMar>
          <w:top w:w="28" w:type="dxa"/>
          <w:left w:w="28" w:type="dxa"/>
          <w:bottom w:w="28" w:type="dxa"/>
          <w:right w:w="28" w:type="dxa"/>
        </w:tblCellMar>
      </w:tblPr>
      <w:tblGrid>
        <w:gridCol w:w="1546"/>
        <w:gridCol w:w="146"/>
        <w:gridCol w:w="766"/>
        <w:gridCol w:w="146"/>
        <w:gridCol w:w="163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pPr>
            <w:r>
              <w:rPr/>
              <w:t> </w:t>
            </w:r>
          </w:p>
        </w:tc>
      </w:tr>
      <w:tr>
        <w:trPr/>
        <w:tc>
          <w:tcPr>
            <w:tcW w:w="15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Andrea L. Saia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5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Andrea L. Saia</w:t>
            </w:r>
          </w:p>
        </w:tc>
        <w:tc>
          <w:tcPr>
            <w:tcW w:w="146" w:type="dxa"/>
            <w:tcBorders/>
            <w:vAlign w:val="center"/>
          </w:tcPr>
          <w:p>
            <w:pPr>
              <w:pStyle w:val="TableContents"/>
              <w:bidi w:val="0"/>
              <w:spacing w:before="0" w:after="283"/>
              <w:jc w:val="left"/>
              <w:rPr/>
            </w:pPr>
            <w:r>
              <w:rPr/>
              <w:t> </w:t>
            </w:r>
          </w:p>
        </w:tc>
        <w:tc>
          <w:tcPr>
            <w:tcW w:w="7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636" w:type="dxa"/>
            <w:tcBorders/>
            <w:vAlign w:val="center"/>
          </w:tcPr>
          <w:p>
            <w:pPr>
              <w:pStyle w:val="TableContents"/>
              <w:bidi w:val="0"/>
              <w:spacing w:before="0" w:after="283"/>
              <w:jc w:val="right"/>
              <w:rPr/>
            </w:pPr>
            <w:r>
              <w:rPr/>
              <w:t> </w:t>
            </w:r>
          </w:p>
        </w:tc>
      </w:tr>
    </w:tbl>
    <w:p>
      <w:pPr>
        <w:pStyle w:val="TextBody"/>
        <w:bidi w:val="0"/>
        <w:spacing w:before="120" w:after="120"/>
        <w:jc w:val="left"/>
        <w:rPr/>
      </w:pPr>
      <w:r>
        <w:rPr/>
        <w:t> </w:t>
      </w:r>
    </w:p>
    <w:tbl>
      <w:tblPr>
        <w:tblW w:w="4540" w:type="dxa"/>
        <w:jc w:val="left"/>
        <w:tblInd w:w="0" w:type="dxa"/>
        <w:tblLayout w:type="fixed"/>
        <w:tblCellMar>
          <w:top w:w="28" w:type="dxa"/>
          <w:left w:w="28" w:type="dxa"/>
          <w:bottom w:w="28" w:type="dxa"/>
          <w:right w:w="28" w:type="dxa"/>
        </w:tblCellMar>
      </w:tblPr>
      <w:tblGrid>
        <w:gridCol w:w="1846"/>
        <w:gridCol w:w="146"/>
        <w:gridCol w:w="766"/>
        <w:gridCol w:w="146"/>
        <w:gridCol w:w="163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pPr>
            <w:r>
              <w:rPr/>
              <w:t> </w:t>
            </w:r>
          </w:p>
        </w:tc>
      </w:tr>
      <w:tr>
        <w:trPr/>
        <w:tc>
          <w:tcPr>
            <w:tcW w:w="18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Catherine Szyman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184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Catherine Szyman</w:t>
            </w:r>
          </w:p>
        </w:tc>
        <w:tc>
          <w:tcPr>
            <w:tcW w:w="146" w:type="dxa"/>
            <w:tcBorders/>
            <w:vAlign w:val="center"/>
          </w:tcPr>
          <w:p>
            <w:pPr>
              <w:pStyle w:val="TableContents"/>
              <w:bidi w:val="0"/>
              <w:spacing w:before="0" w:after="283"/>
              <w:jc w:val="left"/>
              <w:rPr/>
            </w:pPr>
            <w:r>
              <w:rPr/>
              <w:t> </w:t>
            </w:r>
          </w:p>
        </w:tc>
        <w:tc>
          <w:tcPr>
            <w:tcW w:w="7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636"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bookmarkStart w:id="34" w:name="om-ex10_4.htm"/>
      <w:bookmarkStart w:id="35" w:name="ksomex10_4"/>
      <w:bookmarkEnd w:id="34"/>
      <w:bookmarkEnd w:id="35"/>
      <w:r>
        <w:rPr/>
        <w:drawing>
          <wp:inline distT="0" distB="0" distL="0" distR="0">
            <wp:extent cx="110490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3"/>
                    <a:stretch>
                      <a:fillRect/>
                    </a:stretch>
                  </pic:blipFill>
                  <pic:spPr bwMode="auto">
                    <a:xfrm>
                      <a:off x="0" y="0"/>
                      <a:ext cx="1104900" cy="409575"/>
                    </a:xfrm>
                    <a:prstGeom prst="rect">
                      <a:avLst/>
                    </a:prstGeom>
                  </pic:spPr>
                </pic:pic>
              </a:graphicData>
            </a:graphic>
          </wp:inline>
        </w:drawing>
      </w:r>
      <w:r>
        <w:rPr>
          <w:color w:val="000000"/>
        </w:rPr>
        <w:t xml:space="preserve"> </w:t>
      </w:r>
      <w:r>
        <w:rPr>
          <w:rFonts w:ascii="Times New Roman" w:hAnsi="Times New Roman"/>
          <w:b/>
          <w:color w:val="000000"/>
          <w:sz w:val="20"/>
        </w:rPr>
        <w:t>Exhibit 10.4</w:t>
      </w:r>
      <w:r>
        <w:br w:type="page"/>
      </w:r>
    </w:p>
    <w:p>
      <w:pPr>
        <w:pStyle w:val="TextBody"/>
        <w:bidi w:val="0"/>
        <w:spacing w:before="240" w:after="283"/>
        <w:jc w:val="center"/>
        <w:rPr/>
      </w:pPr>
      <w:r>
        <w:rPr/>
        <w:t> </w:t>
      </w:r>
    </w:p>
    <w:p>
      <w:pPr>
        <w:pStyle w:val="TextBody"/>
        <w:bidi w:val="0"/>
        <w:jc w:val="center"/>
        <w:rPr>
          <w:rFonts w:ascii="Times New Roman" w:hAnsi="Times New Roman"/>
          <w:sz w:val="20"/>
        </w:rPr>
      </w:pPr>
      <w:r>
        <w:rPr>
          <w:rFonts w:ascii="Times New Roman" w:hAnsi="Times New Roman"/>
          <w:b/>
          <w:smallCaps/>
          <w:color w:val="000000"/>
          <w:sz w:val="20"/>
        </w:rPr>
        <w:t>Outset Medical, Inc.</w:t>
        <w:br/>
      </w:r>
      <w:r>
        <w:rPr>
          <w:rFonts w:ascii="Times New Roman" w:hAnsi="Times New Roman"/>
          <w:smallCaps/>
          <w:color w:val="000000"/>
          <w:sz w:val="20"/>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2020 Equity Incentive Plan</w:t>
      </w:r>
    </w:p>
    <w:p>
      <w:pPr>
        <w:pStyle w:val="TextBody"/>
        <w:bidi w:val="0"/>
        <w:spacing w:before="240" w:after="283"/>
        <w:jc w:val="center"/>
        <w:rPr>
          <w:rFonts w:ascii="Times New Roman" w:hAnsi="Times New Roman"/>
          <w:b/>
          <w:smallCaps/>
          <w:color w:val="000000"/>
          <w:sz w:val="20"/>
        </w:rPr>
      </w:pPr>
      <w:r>
        <w:rPr>
          <w:rFonts w:ascii="Times New Roman" w:hAnsi="Times New Roman"/>
          <w:b/>
          <w:smallCaps/>
          <w:color w:val="000000"/>
          <w:sz w:val="20"/>
        </w:rPr>
        <w:t>Adopted By The Board Of Directors: September 2, 2020</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Approved By The Stockholders: September 7, 2020</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Amended and Restated : January 1, 2024</w:t>
      </w:r>
    </w:p>
    <w:p>
      <w:pPr>
        <w:pStyle w:val="TextBody"/>
        <w:bidi w:val="0"/>
        <w:jc w:val="center"/>
        <w:rPr>
          <w:rFonts w:ascii="Times New Roman" w:hAnsi="Times New Roman"/>
          <w:sz w:val="20"/>
        </w:rPr>
      </w:pPr>
      <w:r>
        <w:rPr>
          <w:rFonts w:ascii="Times New Roman" w:hAnsi="Times New Roman"/>
          <w:b/>
          <w:smallCaps/>
          <w:color w:val="000000"/>
          <w:sz w:val="20"/>
        </w:rPr>
        <w:t>Termination Date: September 2, 2030</w:t>
      </w:r>
      <w:r>
        <w:rPr>
          <w:rFonts w:ascii="Times New Roman" w:hAnsi="Times New Roman"/>
          <w:smallCaps/>
          <w:color w:val="000000"/>
          <w:sz w:val="20"/>
        </w:rPr>
        <w:b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xml:space="preserve">I.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Introduction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smallCaps/>
          <w:color w:val="000000"/>
          <w:sz w:val="20"/>
        </w:rPr>
        <w:t>Purposes</w:t>
      </w:r>
      <w:r>
        <w:rPr>
          <w:rFonts w:ascii="Times New Roman" w:hAnsi="Times New Roman"/>
          <w:b/>
          <w:color w:val="000000"/>
          <w:sz w:val="20"/>
        </w:rPr>
        <w:t>.</w:t>
      </w:r>
      <w:r>
        <w:rPr>
          <w:color w:val="000000"/>
        </w:rPr>
        <w:t xml:space="preserve"> </w:t>
      </w:r>
      <w:r>
        <w:rPr>
          <w:rFonts w:ascii="Times New Roman" w:hAnsi="Times New Roman"/>
          <w:color w:val="000000"/>
          <w:sz w:val="20"/>
        </w:rPr>
        <w:t>The purposes of the Outset Medical, Inc. 2020 Equity Incentive Plan (this “</w:t>
      </w:r>
      <w:r>
        <w:rPr>
          <w:rFonts w:ascii="Times New Roman" w:hAnsi="Times New Roman"/>
          <w:b/>
          <w:i/>
          <w:color w:val="000000"/>
          <w:sz w:val="20"/>
        </w:rPr>
        <w:t>Plan</w:t>
      </w:r>
      <w:r>
        <w:rPr>
          <w:color w:val="000000"/>
        </w:rPr>
        <w:t>”</w:t>
      </w:r>
      <w:r>
        <w:rPr>
          <w:rFonts w:ascii="Times New Roman" w:hAnsi="Times New Roman"/>
          <w:color w:val="000000"/>
          <w:sz w:val="20"/>
        </w:rPr>
        <w:t>) are (i) to align the interests of the Company’s stockholders and the 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w:t>
        <w:noBreakHyphen/>
        <w:t xml:space="preserve">term best interests of the Company and its stockholders.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smallCaps/>
          <w:color w:val="000000"/>
          <w:sz w:val="20"/>
        </w:rPr>
        <w:t>Certain Definitions</w:t>
      </w:r>
      <w:r>
        <w:rPr>
          <w:rFonts w:ascii="Times New Roman" w:hAnsi="Times New Roman"/>
          <w:b/>
          <w:color w:val="000000"/>
          <w:sz w:val="20"/>
        </w:rPr>
        <w:t>.</w:t>
      </w:r>
    </w:p>
    <w:p>
      <w:pPr>
        <w:pStyle w:val="TextBody"/>
        <w:bidi w:val="0"/>
        <w:spacing w:before="0" w:after="240"/>
        <w:jc w:val="both"/>
        <w:rPr/>
      </w:pPr>
      <w:r>
        <w:rPr>
          <w:color w:val="000000"/>
        </w:rPr>
        <w:t>“</w:t>
      </w:r>
      <w:r>
        <w:rPr>
          <w:rFonts w:ascii="Times New Roman" w:hAnsi="Times New Roman"/>
          <w:b/>
          <w:i/>
          <w:color w:val="000000"/>
          <w:sz w:val="20"/>
        </w:rPr>
        <w:t>Agreement</w:t>
      </w:r>
      <w:r>
        <w:rPr>
          <w:rFonts w:ascii="Times New Roman" w:hAnsi="Times New Roman"/>
          <w:color w:val="000000"/>
          <w:sz w:val="20"/>
        </w:rPr>
        <w:t>” means the written or electronic agreement evidencing an award hereunder between the Company and the recipient of such award.</w:t>
      </w:r>
    </w:p>
    <w:p>
      <w:pPr>
        <w:pStyle w:val="TextBody"/>
        <w:bidi w:val="0"/>
        <w:spacing w:before="0" w:after="240"/>
        <w:jc w:val="both"/>
        <w:rPr/>
      </w:pPr>
      <w:r>
        <w:rPr>
          <w:color w:val="000000"/>
        </w:rPr>
        <w:t>“</w:t>
      </w:r>
      <w:r>
        <w:rPr>
          <w:rFonts w:ascii="Times New Roman" w:hAnsi="Times New Roman"/>
          <w:b/>
          <w:i/>
          <w:color w:val="000000"/>
          <w:sz w:val="20"/>
        </w:rPr>
        <w:t>Board</w:t>
      </w:r>
      <w:r>
        <w:rPr>
          <w:rFonts w:ascii="Times New Roman" w:hAnsi="Times New Roman"/>
          <w:color w:val="000000"/>
          <w:sz w:val="20"/>
        </w:rPr>
        <w:t>” means the Board of Directors of the Company.</w:t>
      </w:r>
    </w:p>
    <w:p>
      <w:pPr>
        <w:pStyle w:val="TextBody"/>
        <w:bidi w:val="0"/>
        <w:spacing w:before="0" w:after="240"/>
        <w:jc w:val="both"/>
        <w:rPr/>
      </w:pPr>
      <w:r>
        <w:rPr>
          <w:color w:val="000000"/>
        </w:rPr>
        <w:t>“</w:t>
      </w:r>
      <w:r>
        <w:rPr>
          <w:rFonts w:ascii="Times New Roman" w:hAnsi="Times New Roman"/>
          <w:b/>
          <w:i/>
          <w:color w:val="000000"/>
          <w:sz w:val="20"/>
        </w:rPr>
        <w:t>Change in Control</w:t>
      </w:r>
      <w:r>
        <w:rPr>
          <w:rFonts w:ascii="Times New Roman" w:hAnsi="Times New Roman"/>
          <w:color w:val="000000"/>
          <w:sz w:val="20"/>
        </w:rPr>
        <w:t xml:space="preserve">” has the meaning set forth in </w:t>
      </w:r>
      <w:r>
        <w:rPr>
          <w:rFonts w:ascii="Times New Roman" w:hAnsi="Times New Roman"/>
          <w:color w:val="000000"/>
          <w:sz w:val="20"/>
          <w:u w:val="single"/>
        </w:rPr>
        <w:t>Section 5.8(a)</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0"/>
        </w:rPr>
        <w:t>Code</w:t>
      </w:r>
      <w:r>
        <w:rPr>
          <w:rFonts w:ascii="Times New Roman" w:hAnsi="Times New Roman"/>
          <w:color w:val="000000"/>
          <w:sz w:val="20"/>
        </w:rPr>
        <w:t>” means the Internal Revenue Code of 1986, as amended.</w:t>
      </w:r>
    </w:p>
    <w:p>
      <w:pPr>
        <w:pStyle w:val="TextBody"/>
        <w:bidi w:val="0"/>
        <w:spacing w:before="0" w:after="240"/>
        <w:jc w:val="both"/>
        <w:rPr/>
      </w:pPr>
      <w:r>
        <w:rPr>
          <w:color w:val="000000"/>
        </w:rPr>
        <w:t>“</w:t>
      </w:r>
      <w:r>
        <w:rPr>
          <w:rFonts w:ascii="Times New Roman" w:hAnsi="Times New Roman"/>
          <w:b/>
          <w:i/>
          <w:color w:val="000000"/>
          <w:sz w:val="20"/>
        </w:rPr>
        <w:t>Committee</w:t>
      </w:r>
      <w:r>
        <w:rPr>
          <w:rFonts w:ascii="Times New Roman" w:hAnsi="Times New Roman"/>
          <w:color w:val="000000"/>
          <w:sz w:val="20"/>
        </w:rPr>
        <w:t xml:space="preserve">” means the Compensation Committee of the Board, or a subcommittee thereof, or such other committee designated by the Board, in each case, consisting of two or more members of the Board, each of whom is intended to be (i) a “Non-Employee Director” within the meaning of Rule 16b-3 under the Exchange Act and (ii) “independent” within the meaning of the rules of NASDAQ or, if the Common Stock is not listed on NASDAQ, within the meaning of the rules of the principal stock exchange on which the Common Stock is then traded. </w:t>
      </w:r>
    </w:p>
    <w:p>
      <w:pPr>
        <w:pStyle w:val="TextBody"/>
        <w:bidi w:val="0"/>
        <w:spacing w:before="0" w:after="240"/>
        <w:jc w:val="both"/>
        <w:rPr/>
      </w:pPr>
      <w:r>
        <w:rPr>
          <w:color w:val="000000"/>
        </w:rPr>
        <w:t>“</w:t>
      </w:r>
      <w:r>
        <w:rPr>
          <w:rFonts w:ascii="Times New Roman" w:hAnsi="Times New Roman"/>
          <w:b/>
          <w:i/>
          <w:color w:val="000000"/>
          <w:sz w:val="20"/>
        </w:rPr>
        <w:t>Common Stock</w:t>
      </w:r>
      <w:r>
        <w:rPr>
          <w:rFonts w:ascii="Times New Roman" w:hAnsi="Times New Roman"/>
          <w:color w:val="000000"/>
          <w:sz w:val="20"/>
        </w:rPr>
        <w:t>” means the common stock, par value $0.001 per share, of the Company, and all rights appurtenant thereto.</w:t>
      </w:r>
    </w:p>
    <w:p>
      <w:pPr>
        <w:pStyle w:val="TextBody"/>
        <w:bidi w:val="0"/>
        <w:spacing w:before="0" w:after="240"/>
        <w:jc w:val="both"/>
        <w:rPr/>
      </w:pPr>
      <w:r>
        <w:rPr>
          <w:color w:val="000000"/>
        </w:rPr>
        <w:t>“</w:t>
      </w:r>
      <w:r>
        <w:rPr>
          <w:rFonts w:ascii="Times New Roman" w:hAnsi="Times New Roman"/>
          <w:b/>
          <w:i/>
          <w:color w:val="000000"/>
          <w:sz w:val="20"/>
        </w:rPr>
        <w:t>Company</w:t>
      </w:r>
      <w:r>
        <w:rPr>
          <w:rFonts w:ascii="Times New Roman" w:hAnsi="Times New Roman"/>
          <w:color w:val="000000"/>
          <w:sz w:val="20"/>
        </w:rPr>
        <w:t>” means Outset Medical, Inc., a Delaware corporation, or any successor thereto.</w:t>
      </w:r>
    </w:p>
    <w:p>
      <w:pPr>
        <w:pStyle w:val="TextBody"/>
        <w:bidi w:val="0"/>
        <w:spacing w:before="0" w:after="240"/>
        <w:jc w:val="both"/>
        <w:rPr/>
      </w:pPr>
      <w:r>
        <w:rPr>
          <w:color w:val="000000"/>
        </w:rPr>
        <w:t>“</w:t>
      </w:r>
      <w:r>
        <w:rPr>
          <w:rFonts w:ascii="Times New Roman" w:hAnsi="Times New Roman"/>
          <w:b/>
          <w:i/>
          <w:color w:val="000000"/>
          <w:sz w:val="20"/>
        </w:rPr>
        <w:t>Exchange Act</w:t>
      </w:r>
      <w:r>
        <w:rPr>
          <w:rFonts w:ascii="Times New Roman" w:hAnsi="Times New Roman"/>
          <w:color w:val="000000"/>
          <w:sz w:val="20"/>
        </w:rPr>
        <w:t>” means the Securities Exchange Act of 1934, as amended.</w:t>
      </w:r>
    </w:p>
    <w:p>
      <w:pPr>
        <w:pStyle w:val="TextBody"/>
        <w:bidi w:val="0"/>
        <w:spacing w:before="0" w:after="240"/>
        <w:jc w:val="both"/>
        <w:rPr/>
      </w:pPr>
      <w:r>
        <w:rPr>
          <w:color w:val="000000"/>
        </w:rPr>
        <w:t>“</w:t>
      </w:r>
      <w:r>
        <w:rPr>
          <w:rFonts w:ascii="Times New Roman" w:hAnsi="Times New Roman"/>
          <w:b/>
          <w:i/>
          <w:color w:val="000000"/>
          <w:sz w:val="20"/>
        </w:rPr>
        <w:t>Exchange Act Person</w:t>
      </w:r>
      <w:r>
        <w:rPr>
          <w:rFonts w:ascii="Times New Roman" w:hAnsi="Times New Roman"/>
          <w:color w:val="000000"/>
          <w:sz w:val="20"/>
        </w:rPr>
        <w:t>” means any natural person, entity, or “group” (within the meaning of Section 13(d) or 14(d) of the Exchange Act), except that “Exchange Act Person” does not include: (i) the Company or any Subsidiary; (ii) any employee benefit plan of the Company or any Subsidiary or any trustee or other fiduciary holding securities under an employee benefit plan of the Company or any Subsidiary;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this Plan, is the owner, directly or indirectly, of securities of the Company representing more than 50% of the combined voting power of the Company’s then outstanding securities.</w:t>
      </w:r>
    </w:p>
    <w:p>
      <w:pPr>
        <w:pStyle w:val="TextBody"/>
        <w:bidi w:val="0"/>
        <w:spacing w:before="0" w:after="240"/>
        <w:jc w:val="both"/>
        <w:rPr/>
      </w:pPr>
      <w:r>
        <w:rPr>
          <w:color w:val="000000"/>
        </w:rPr>
        <w:t>“</w:t>
      </w:r>
      <w:r>
        <w:rPr>
          <w:rFonts w:ascii="Times New Roman" w:hAnsi="Times New Roman"/>
          <w:b/>
          <w:i/>
          <w:color w:val="000000"/>
          <w:sz w:val="20"/>
        </w:rPr>
        <w:t>Fair Market Value</w:t>
      </w:r>
      <w:r>
        <w:rPr>
          <w:rFonts w:ascii="Times New Roman" w:hAnsi="Times New Roman"/>
          <w:color w:val="000000"/>
          <w:sz w:val="20"/>
        </w:rPr>
        <w:t xml:space="preserve">” means the closing transaction price of a share of Common Stock as reported on NASDAQ on the date as of which such value is being determined or, if the Common Stock is not listed on NASDAQ,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 the Company may in its discretion use the closing transaction price of a share of Common Stock on the day preceding the date as of which such value is being determined to the extent the Company determines such method is more practical for administrative purposes, such as for purposes of tax withholding and (ii)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pStyle w:val="TextBody"/>
        <w:bidi w:val="0"/>
        <w:spacing w:before="0" w:after="240"/>
        <w:jc w:val="both"/>
        <w:rPr/>
      </w:pPr>
      <w:r>
        <w:rPr>
          <w:color w:val="000000"/>
        </w:rPr>
        <w:t>“</w:t>
      </w:r>
      <w:r>
        <w:rPr>
          <w:rFonts w:ascii="Times New Roman" w:hAnsi="Times New Roman"/>
          <w:b/>
          <w:i/>
          <w:color w:val="000000"/>
          <w:sz w:val="20"/>
        </w:rPr>
        <w:t>Free-Standing SAR</w:t>
      </w:r>
      <w:r>
        <w:rPr>
          <w:rFonts w:ascii="Times New Roman" w:hAnsi="Times New Roman"/>
          <w:color w:val="000000"/>
          <w:sz w:val="20"/>
        </w:rPr>
        <w:t>” means a SAR which is not granted in tandem with, or by reference to, an option, which entitles the holder thereof to receive, upon exercise,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such SARs that are exercised.</w:t>
      </w:r>
    </w:p>
    <w:p>
      <w:pPr>
        <w:pStyle w:val="TextBody"/>
        <w:bidi w:val="0"/>
        <w:spacing w:before="0" w:after="240"/>
        <w:jc w:val="both"/>
        <w:rPr/>
      </w:pPr>
      <w:r>
        <w:rPr>
          <w:color w:val="000000"/>
        </w:rPr>
        <w:t>“</w:t>
      </w:r>
      <w:r>
        <w:rPr>
          <w:rFonts w:ascii="Times New Roman" w:hAnsi="Times New Roman"/>
          <w:b/>
          <w:i/>
          <w:color w:val="000000"/>
          <w:sz w:val="20"/>
        </w:rPr>
        <w:t>Incentive Stock Option</w:t>
      </w:r>
      <w:r>
        <w:rPr>
          <w:rFonts w:ascii="Times New Roman" w:hAnsi="Times New Roman"/>
          <w:color w:val="000000"/>
          <w:sz w:val="20"/>
        </w:rPr>
        <w:t>” means an option to purchase shares of Common Stock that meets the requirements of Section 422 of the Code, or any successor provision, which is intended by the Committee to constitute an Incentive Stock Option.</w:t>
      </w:r>
    </w:p>
    <w:p>
      <w:pPr>
        <w:pStyle w:val="TextBody"/>
        <w:bidi w:val="0"/>
        <w:spacing w:before="0" w:after="240"/>
        <w:jc w:val="both"/>
        <w:rPr/>
      </w:pPr>
      <w:r>
        <w:rPr>
          <w:color w:val="000000"/>
        </w:rPr>
        <w:t>“</w:t>
      </w:r>
      <w:r>
        <w:rPr>
          <w:rFonts w:ascii="Times New Roman" w:hAnsi="Times New Roman"/>
          <w:b/>
          <w:i/>
          <w:color w:val="000000"/>
          <w:sz w:val="20"/>
        </w:rPr>
        <w:t>Incumbent Director</w:t>
      </w:r>
      <w:r>
        <w:rPr>
          <w:rFonts w:ascii="Times New Roman" w:hAnsi="Times New Roman"/>
          <w:color w:val="000000"/>
          <w:sz w:val="20"/>
        </w:rPr>
        <w:t xml:space="preserve">” has the meaning set forth in </w:t>
      </w:r>
      <w:r>
        <w:rPr>
          <w:rFonts w:ascii="Times New Roman" w:hAnsi="Times New Roman"/>
          <w:color w:val="000000"/>
          <w:sz w:val="20"/>
          <w:u w:val="single"/>
        </w:rPr>
        <w:t>Section 5.8(a)(5)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Non-Employee Director</w:t>
      </w:r>
      <w:r>
        <w:rPr>
          <w:rFonts w:ascii="Times New Roman" w:hAnsi="Times New Roman"/>
          <w:color w:val="000000"/>
          <w:sz w:val="20"/>
        </w:rPr>
        <w:t>” means any member of the Board who is not an officer or employee of the Company or any Subsidiary.</w:t>
      </w:r>
    </w:p>
    <w:p>
      <w:pPr>
        <w:pStyle w:val="TextBody"/>
        <w:bidi w:val="0"/>
        <w:spacing w:before="0" w:after="240"/>
        <w:jc w:val="both"/>
        <w:rPr/>
      </w:pPr>
      <w:r>
        <w:rPr>
          <w:color w:val="000000"/>
        </w:rPr>
        <w:t>“</w:t>
      </w:r>
      <w:r>
        <w:rPr>
          <w:rFonts w:ascii="Times New Roman" w:hAnsi="Times New Roman"/>
          <w:b/>
          <w:i/>
          <w:color w:val="000000"/>
          <w:sz w:val="20"/>
        </w:rPr>
        <w:t>Nonstatutory Stock Option</w:t>
      </w:r>
      <w:r>
        <w:rPr>
          <w:rFonts w:ascii="Times New Roman" w:hAnsi="Times New Roman"/>
          <w:color w:val="000000"/>
          <w:sz w:val="20"/>
        </w:rPr>
        <w:t>” means an option to purchase shares of Common Stock which is not an Incentive Stock Option.</w:t>
      </w:r>
    </w:p>
    <w:p>
      <w:pPr>
        <w:pStyle w:val="TextBody"/>
        <w:bidi w:val="0"/>
        <w:spacing w:before="0" w:after="240"/>
        <w:jc w:val="both"/>
        <w:rPr/>
      </w:pPr>
      <w:r>
        <w:rPr>
          <w:color w:val="000000"/>
        </w:rPr>
        <w:t>“</w:t>
      </w:r>
      <w:r>
        <w:rPr>
          <w:rFonts w:ascii="Times New Roman" w:hAnsi="Times New Roman"/>
          <w:b/>
          <w:i/>
          <w:color w:val="000000"/>
          <w:sz w:val="20"/>
        </w:rPr>
        <w:t>Other Stock Award</w:t>
      </w:r>
      <w:r>
        <w:rPr>
          <w:rFonts w:ascii="Times New Roman" w:hAnsi="Times New Roman"/>
          <w:color w:val="000000"/>
          <w:sz w:val="20"/>
        </w:rPr>
        <w:t xml:space="preserve">” means an award granted pursuant to </w:t>
      </w:r>
      <w:r>
        <w:rPr>
          <w:rFonts w:ascii="Times New Roman" w:hAnsi="Times New Roman"/>
          <w:color w:val="000000"/>
          <w:sz w:val="20"/>
          <w:u w:val="single"/>
        </w:rPr>
        <w:t>Section 3.4</w:t>
      </w:r>
      <w:r>
        <w:rPr>
          <w:rFonts w:ascii="Times New Roman" w:hAnsi="Times New Roman"/>
          <w:color w:val="000000"/>
          <w:sz w:val="20"/>
        </w:rPr>
        <w:t xml:space="preserve"> of the Plan.</w:t>
      </w:r>
    </w:p>
    <w:p>
      <w:pPr>
        <w:pStyle w:val="TextBody"/>
        <w:bidi w:val="0"/>
        <w:spacing w:before="0" w:after="240"/>
        <w:jc w:val="both"/>
        <w:rPr/>
      </w:pPr>
      <w:r>
        <w:rPr>
          <w:color w:val="000000"/>
        </w:rPr>
        <w:t>“</w:t>
      </w:r>
      <w:r>
        <w:rPr>
          <w:rFonts w:ascii="Times New Roman" w:hAnsi="Times New Roman"/>
          <w:b/>
          <w:i/>
          <w:color w:val="000000"/>
          <w:sz w:val="20"/>
        </w:rPr>
        <w:t>Performance Award</w:t>
      </w:r>
      <w:r>
        <w:rPr>
          <w:rFonts w:ascii="Times New Roman" w:hAnsi="Times New Roman"/>
          <w:color w:val="000000"/>
          <w:sz w:val="20"/>
        </w:rPr>
        <w:t>” means a right to receive an amount of cash, Common Stock, or a combination of both, contingent upon the attainment of specified Performance Measures within a specified Performance Period.</w:t>
      </w:r>
    </w:p>
    <w:p>
      <w:pPr>
        <w:pStyle w:val="TextBody"/>
        <w:bidi w:val="0"/>
        <w:spacing w:before="0" w:after="240"/>
        <w:jc w:val="both"/>
        <w:rPr/>
      </w:pPr>
      <w:r>
        <w:rPr>
          <w:color w:val="000000"/>
        </w:rPr>
        <w:t>“</w:t>
      </w:r>
      <w:r>
        <w:rPr>
          <w:rFonts w:ascii="Times New Roman" w:hAnsi="Times New Roman"/>
          <w:b/>
          <w:i/>
          <w:color w:val="000000"/>
          <w:sz w:val="20"/>
        </w:rPr>
        <w:t>Performance Measures</w:t>
      </w:r>
      <w:r>
        <w:rPr>
          <w:rFonts w:ascii="Times New Roman" w:hAnsi="Times New Roman"/>
          <w:color w:val="000000"/>
          <w:sz w:val="20"/>
        </w:rPr>
        <w:t>” means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 Such criteria and objectives may include one or more of the following corporate-wide or Subsidiary, division, operating unit, line of business, project, geographic or individual measures: the attainment by a share of Common Stock of a specified Fair Market Value for a specified period of time; increase in stockholder value; earnings per share; return on or net assets; return on equity; return on investments; return on capital or invested capital; total stockholder return; earnings or income of the Company before or after taxes and/or interest; earnings before interest, taxes, depreciation and amortization (“</w:t>
      </w:r>
      <w:r>
        <w:rPr>
          <w:rFonts w:ascii="Times New Roman" w:hAnsi="Times New Roman"/>
          <w:color w:val="000000"/>
          <w:sz w:val="20"/>
          <w:u w:val="single"/>
        </w:rPr>
        <w:t>EBITDA</w:t>
      </w:r>
      <w:r>
        <w:rPr>
          <w:rFonts w:ascii="Times New Roman" w:hAnsi="Times New Roman"/>
          <w:color w:val="000000"/>
          <w:sz w:val="20"/>
        </w:rPr>
        <w:t xml:space="preserve">”); EBITDA margin; operating income; revenues; operating expenses, attainment of expense levels or cost reduction goals; market share; cash flow, cash flow per share, cash flow margin or free cash flow; interest expense; economic value created; gross profit or margin; operating profit or margin; net cash provided by operations; price-to-earnings growth; and strategic business criteria, consisting of one or more objectives based on meeting specified goals relating to market penetration, customer acquisition, business expansion, cost targets, customer satisfaction, reductions in errors and omissions, reductions in lost business, management of employment practices and employee benefits, supervision of litigation, supervision of information technology, quality and quality audit scores, efficiency, acquisitions or divestitures, publication, clinical or regulatory milestones, research and development achievements, coverage decisions, licenses, collaborations, joint ventures or promotional arrangements and such other goals as the Committee may determine whether or not listed herein, or any combination of the foregoing. Each such goal may be expressed on an absolute or relative basis and may include comparisons based on current internal targets, the past performance of the Company (including the performance of one or more Subsidiaries, divisions, or operating units) or the past or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current performance of other companies or market indices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The applicable performance measures may be applied on a pre- or post-tax basis and may be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w:t>
      </w:r>
      <w:r>
        <w:rPr>
          <w:rFonts w:ascii="Times New Roman" w:hAnsi="Times New Roman"/>
          <w:color w:val="000000"/>
          <w:sz w:val="20"/>
          <w:u w:val="single"/>
        </w:rPr>
        <w:t>Adjustment Events</w:t>
      </w:r>
      <w:r>
        <w:rPr>
          <w:rFonts w:ascii="Times New Roman" w:hAnsi="Times New Roman"/>
          <w:color w:val="000000"/>
          <w:sz w:val="20"/>
        </w:rPr>
        <w:t>”). In the sole discretion of the Committee, the Committee may amend or adjust the Performance Measures or other terms and conditions of an outstanding award in recognition of any Adjustment Events. Performance goals shall be subject to such other special rules and conditions as the Committee may establish at any time.</w:t>
      </w:r>
    </w:p>
    <w:p>
      <w:pPr>
        <w:pStyle w:val="TextBody"/>
        <w:bidi w:val="0"/>
        <w:spacing w:before="0" w:after="240"/>
        <w:jc w:val="both"/>
        <w:rPr/>
      </w:pPr>
      <w:r>
        <w:rPr>
          <w:color w:val="000000"/>
        </w:rPr>
        <w:t>“</w:t>
      </w:r>
      <w:r>
        <w:rPr>
          <w:rFonts w:ascii="Times New Roman" w:hAnsi="Times New Roman"/>
          <w:b/>
          <w:i/>
          <w:color w:val="000000"/>
          <w:sz w:val="20"/>
        </w:rPr>
        <w:t>Performance Period</w:t>
      </w:r>
      <w:r>
        <w:rPr>
          <w:rFonts w:ascii="Times New Roman" w:hAnsi="Times New Roman"/>
          <w:color w:val="000000"/>
          <w:sz w:val="20"/>
        </w:rPr>
        <w:t>” means any period designated by the Committee during which (i) the Performance Measures applicable to an award shall be measured and (ii) the conditions to vesting applicable to an award shall remain in effect.</w:t>
      </w:r>
    </w:p>
    <w:p>
      <w:pPr>
        <w:pStyle w:val="TextBody"/>
        <w:bidi w:val="0"/>
        <w:spacing w:before="0" w:after="240"/>
        <w:jc w:val="both"/>
        <w:rPr/>
      </w:pPr>
      <w:r>
        <w:rPr>
          <w:color w:val="000000"/>
        </w:rPr>
        <w:t>“</w:t>
      </w:r>
      <w:r>
        <w:rPr>
          <w:rFonts w:ascii="Times New Roman" w:hAnsi="Times New Roman"/>
          <w:b/>
          <w:i/>
          <w:color w:val="000000"/>
          <w:sz w:val="20"/>
        </w:rPr>
        <w:t>Prior Plan</w:t>
      </w:r>
      <w:r>
        <w:rPr>
          <w:rFonts w:ascii="Times New Roman" w:hAnsi="Times New Roman"/>
          <w:color w:val="000000"/>
          <w:sz w:val="20"/>
        </w:rPr>
        <w:t>” means the Outset Medical, Inc. 2019 Equity Incentive Plan and each other equity plan maintained by the Company under which awards are outstanding as of the effective date of the Plan.</w:t>
      </w:r>
    </w:p>
    <w:p>
      <w:pPr>
        <w:pStyle w:val="TextBody"/>
        <w:bidi w:val="0"/>
        <w:spacing w:before="0" w:after="240"/>
        <w:jc w:val="both"/>
        <w:rPr/>
      </w:pPr>
      <w:r>
        <w:rPr>
          <w:color w:val="000000"/>
        </w:rPr>
        <w:t>“</w:t>
      </w:r>
      <w:r>
        <w:rPr>
          <w:rFonts w:ascii="Times New Roman" w:hAnsi="Times New Roman"/>
          <w:b/>
          <w:i/>
          <w:color w:val="000000"/>
          <w:sz w:val="20"/>
        </w:rPr>
        <w:t>Restricted Stock</w:t>
      </w:r>
      <w:r>
        <w:rPr>
          <w:rFonts w:ascii="Times New Roman" w:hAnsi="Times New Roman"/>
          <w:color w:val="000000"/>
          <w:sz w:val="20"/>
        </w:rPr>
        <w:t>” means shares of Common Stock which are subject to a Restriction Period and which may, in addition thereto, be subject to the attainment of specified Performance Measures within a specified Performance Period.</w:t>
      </w:r>
    </w:p>
    <w:p>
      <w:pPr>
        <w:pStyle w:val="TextBody"/>
        <w:bidi w:val="0"/>
        <w:spacing w:before="0" w:after="240"/>
        <w:jc w:val="both"/>
        <w:rPr/>
      </w:pPr>
      <w:r>
        <w:rPr>
          <w:color w:val="000000"/>
        </w:rPr>
        <w:t>“</w:t>
      </w:r>
      <w:r>
        <w:rPr>
          <w:rFonts w:ascii="Times New Roman" w:hAnsi="Times New Roman"/>
          <w:b/>
          <w:i/>
          <w:color w:val="000000"/>
          <w:sz w:val="20"/>
        </w:rPr>
        <w:t>Restricted Stock Award</w:t>
      </w:r>
      <w:r>
        <w:rPr>
          <w:rFonts w:ascii="Times New Roman" w:hAnsi="Times New Roman"/>
          <w:color w:val="000000"/>
          <w:sz w:val="20"/>
        </w:rPr>
        <w:t>” means an award of Restricted Stock under this Plan.</w:t>
      </w:r>
    </w:p>
    <w:p>
      <w:pPr>
        <w:pStyle w:val="TextBody"/>
        <w:bidi w:val="0"/>
        <w:spacing w:before="0" w:after="240"/>
        <w:jc w:val="both"/>
        <w:rPr/>
      </w:pPr>
      <w:r>
        <w:rPr>
          <w:color w:val="000000"/>
        </w:rPr>
        <w:t>“</w:t>
      </w:r>
      <w:r>
        <w:rPr>
          <w:rFonts w:ascii="Times New Roman" w:hAnsi="Times New Roman"/>
          <w:b/>
          <w:i/>
          <w:color w:val="000000"/>
          <w:sz w:val="20"/>
        </w:rPr>
        <w:t>Restricted Stock Unit</w:t>
      </w:r>
      <w:r>
        <w:rPr>
          <w:rFonts w:ascii="Times New Roman" w:hAnsi="Times New Roman"/>
          <w:color w:val="000000"/>
          <w:sz w:val="20"/>
        </w:rPr>
        <w:t>” means a right to receive one share of Common Stock or, in lieu thereof and to the extent set forth in the applicable 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pStyle w:val="TextBody"/>
        <w:bidi w:val="0"/>
        <w:spacing w:before="0" w:after="240"/>
        <w:jc w:val="both"/>
        <w:rPr/>
      </w:pPr>
      <w:r>
        <w:rPr>
          <w:color w:val="000000"/>
        </w:rPr>
        <w:t>“</w:t>
      </w:r>
      <w:r>
        <w:rPr>
          <w:rFonts w:ascii="Times New Roman" w:hAnsi="Times New Roman"/>
          <w:b/>
          <w:i/>
          <w:color w:val="000000"/>
          <w:sz w:val="20"/>
        </w:rPr>
        <w:t>Restricted Stock Unit Award</w:t>
      </w:r>
      <w:r>
        <w:rPr>
          <w:rFonts w:ascii="Times New Roman" w:hAnsi="Times New Roman"/>
          <w:color w:val="000000"/>
          <w:sz w:val="20"/>
        </w:rPr>
        <w:t>” means an award of Restricted Stock Units under this Plan.</w:t>
      </w:r>
    </w:p>
    <w:p>
      <w:pPr>
        <w:pStyle w:val="TextBody"/>
        <w:bidi w:val="0"/>
        <w:spacing w:before="0" w:after="240"/>
        <w:jc w:val="both"/>
        <w:rPr/>
      </w:pPr>
      <w:r>
        <w:rPr>
          <w:color w:val="000000"/>
        </w:rPr>
        <w:t>“</w:t>
      </w:r>
      <w:r>
        <w:rPr>
          <w:rFonts w:ascii="Times New Roman" w:hAnsi="Times New Roman"/>
          <w:b/>
          <w:i/>
          <w:color w:val="000000"/>
          <w:sz w:val="20"/>
        </w:rPr>
        <w:t>Restriction Period</w:t>
      </w:r>
      <w:r>
        <w:rPr>
          <w:rFonts w:ascii="Times New Roman" w:hAnsi="Times New Roman"/>
          <w:color w:val="000000"/>
          <w:sz w:val="20"/>
        </w:rPr>
        <w:t>” means any period designated by the Committee during which either (i) the Common Stock subject 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pStyle w:val="TextBody"/>
        <w:bidi w:val="0"/>
        <w:spacing w:before="0" w:after="240"/>
        <w:jc w:val="both"/>
        <w:rPr/>
      </w:pPr>
      <w:r>
        <w:rPr>
          <w:color w:val="000000"/>
        </w:rPr>
        <w:t>“</w:t>
      </w:r>
      <w:r>
        <w:rPr>
          <w:rFonts w:ascii="Times New Roman" w:hAnsi="Times New Roman"/>
          <w:b/>
          <w:i/>
          <w:color w:val="000000"/>
          <w:sz w:val="20"/>
        </w:rPr>
        <w:t>SAR</w:t>
      </w:r>
      <w:r>
        <w:rPr>
          <w:rFonts w:ascii="Times New Roman" w:hAnsi="Times New Roman"/>
          <w:color w:val="000000"/>
          <w:sz w:val="20"/>
        </w:rPr>
        <w:t>” means a stock appreciation right, which may be a Free</w:t>
        <w:noBreakHyphen/>
        <w:t>Standing SAR or a Tandem SAR.</w:t>
      </w:r>
    </w:p>
    <w:p>
      <w:pPr>
        <w:pStyle w:val="TextBody"/>
        <w:bidi w:val="0"/>
        <w:spacing w:before="0" w:after="240"/>
        <w:jc w:val="both"/>
        <w:rPr/>
      </w:pPr>
      <w:r>
        <w:rPr>
          <w:color w:val="000000"/>
        </w:rPr>
        <w:t>“</w:t>
      </w:r>
      <w:r>
        <w:rPr>
          <w:rFonts w:ascii="Times New Roman" w:hAnsi="Times New Roman"/>
          <w:b/>
          <w:i/>
          <w:color w:val="000000"/>
          <w:sz w:val="20"/>
        </w:rPr>
        <w:t>Stock Award</w:t>
      </w:r>
      <w:r>
        <w:rPr>
          <w:rFonts w:ascii="Times New Roman" w:hAnsi="Times New Roman"/>
          <w:color w:val="000000"/>
          <w:sz w:val="20"/>
        </w:rPr>
        <w:t>” means a Restricted Stock Award, Restricted Stock Unit Award or Other Stock Award.</w:t>
      </w:r>
    </w:p>
    <w:p>
      <w:pPr>
        <w:pStyle w:val="TextBody"/>
        <w:bidi w:val="0"/>
        <w:spacing w:before="0" w:after="240"/>
        <w:jc w:val="both"/>
        <w:rPr/>
      </w:pPr>
      <w:r>
        <w:rPr>
          <w:color w:val="000000"/>
        </w:rPr>
        <w:t>“</w:t>
      </w:r>
      <w:r>
        <w:rPr>
          <w:rFonts w:ascii="Times New Roman" w:hAnsi="Times New Roman"/>
          <w:b/>
          <w:i/>
          <w:color w:val="000000"/>
          <w:sz w:val="20"/>
        </w:rPr>
        <w:t>Subject Person</w:t>
      </w:r>
      <w:r>
        <w:rPr>
          <w:rFonts w:ascii="Times New Roman" w:hAnsi="Times New Roman"/>
          <w:color w:val="000000"/>
          <w:sz w:val="20"/>
        </w:rPr>
        <w:t xml:space="preserve">” has the meaning set forth in </w:t>
      </w:r>
      <w:r>
        <w:rPr>
          <w:rFonts w:ascii="Times New Roman" w:hAnsi="Times New Roman"/>
          <w:color w:val="000000"/>
          <w:sz w:val="20"/>
          <w:u w:val="single"/>
        </w:rPr>
        <w:t>Section 5.8(a)(1)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Subsidiary</w:t>
      </w:r>
      <w:r>
        <w:rPr>
          <w:rFonts w:ascii="Times New Roman" w:hAnsi="Times New Roman"/>
          <w:color w:val="000000"/>
          <w:sz w:val="20"/>
        </w:rPr>
        <w:t xml:space="preserve">” means any corporation, limited liability company, partnership, joint venture, or similar entity in which the Company owns, directly or indirectly, an equity interest possessing more than 50% of the combined voting power of the total outstanding equity interests of such entity. </w:t>
      </w:r>
    </w:p>
    <w:p>
      <w:pPr>
        <w:pStyle w:val="TextBody"/>
        <w:bidi w:val="0"/>
        <w:spacing w:before="0" w:after="240"/>
        <w:jc w:val="both"/>
        <w:rPr/>
      </w:pPr>
      <w:r>
        <w:rPr>
          <w:color w:val="000000"/>
        </w:rPr>
        <w:t>“</w:t>
      </w:r>
      <w:r>
        <w:rPr>
          <w:rFonts w:ascii="Times New Roman" w:hAnsi="Times New Roman"/>
          <w:b/>
          <w:i/>
          <w:color w:val="000000"/>
          <w:sz w:val="20"/>
        </w:rPr>
        <w:t>Substitute Award</w:t>
      </w:r>
      <w:r>
        <w:rPr>
          <w:rFonts w:ascii="Times New Roman" w:hAnsi="Times New Roman"/>
          <w:color w:val="000000"/>
          <w:sz w:val="20"/>
        </w:rPr>
        <w:t xml:space="preserve">” means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in no event shall the term “Substitute Award” be construed to refer to an award made in connection with the cancellation and repricing of an option or SAR.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Tandem SAR</w:t>
      </w:r>
      <w:r>
        <w:rPr>
          <w:rFonts w:ascii="Times New Roman" w:hAnsi="Times New Roman"/>
          <w:color w:val="000000"/>
          <w:sz w:val="20"/>
        </w:rPr>
        <w:t>” means an SAR which is granted in tandem with, or by reference to, an option (including a Nonstatutory Stock Option 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pStyle w:val="TextBody"/>
        <w:bidi w:val="0"/>
        <w:spacing w:before="0" w:after="240"/>
        <w:jc w:val="both"/>
        <w:rPr/>
      </w:pPr>
      <w:r>
        <w:rPr>
          <w:color w:val="000000"/>
        </w:rPr>
        <w:t>“</w:t>
      </w:r>
      <w:r>
        <w:rPr>
          <w:rFonts w:ascii="Times New Roman" w:hAnsi="Times New Roman"/>
          <w:b/>
          <w:i/>
          <w:color w:val="000000"/>
          <w:sz w:val="20"/>
        </w:rPr>
        <w:t>Tax Date</w:t>
      </w:r>
      <w:r>
        <w:rPr>
          <w:rFonts w:ascii="Times New Roman" w:hAnsi="Times New Roman"/>
          <w:color w:val="000000"/>
          <w:sz w:val="20"/>
        </w:rPr>
        <w:t xml:space="preserve">” has the meaning set forth in </w:t>
      </w:r>
      <w:r>
        <w:rPr>
          <w:rFonts w:ascii="Times New Roman" w:hAnsi="Times New Roman"/>
          <w:color w:val="000000"/>
          <w:sz w:val="20"/>
          <w:u w:val="single"/>
        </w:rPr>
        <w:t>Section 5.5</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Ten Percent Holder</w:t>
      </w:r>
      <w:r>
        <w:rPr>
          <w:rFonts w:ascii="Times New Roman" w:hAnsi="Times New Roman"/>
          <w:color w:val="000000"/>
          <w:sz w:val="20"/>
        </w:rPr>
        <w:t xml:space="preserve">” has the meaning set forth in </w:t>
      </w:r>
      <w:r>
        <w:rPr>
          <w:rFonts w:ascii="Times New Roman" w:hAnsi="Times New Roman"/>
          <w:color w:val="000000"/>
          <w:sz w:val="20"/>
          <w:u w:val="single"/>
        </w:rPr>
        <w:t>Section 2.1(a)</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smallCaps/>
          <w:color w:val="000000"/>
          <w:sz w:val="20"/>
        </w:rPr>
        <w:t>Administration</w:t>
      </w:r>
      <w:r>
        <w:rPr>
          <w:rFonts w:ascii="Times New Roman" w:hAnsi="Times New Roman"/>
          <w:b/>
          <w:color w:val="000000"/>
          <w:sz w:val="20"/>
        </w:rPr>
        <w:t>.</w:t>
      </w:r>
      <w:r>
        <w:rPr>
          <w:color w:val="000000"/>
        </w:rPr>
        <w:t xml:space="preserve"> </w:t>
      </w:r>
      <w:r>
        <w:rPr>
          <w:rFonts w:ascii="Times New Roman" w:hAnsi="Times New Roman"/>
          <w:color w:val="000000"/>
          <w:sz w:val="20"/>
        </w:rPr>
        <w:t>This Plan shall be administered by the Committee. Any one or a combination of the following awards may be made under this Plan to eligible persons: (i) options to purchase shares of Common Stock in the form of Incentive Stock Options or Nonstatutory Stock Options; (ii) SARs in the form of Tandem SARs or Free</w:t>
        <w:noBreakHyphen/>
        <w:t>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smallCaps/>
          <w:color w:val="000000"/>
          <w:sz w:val="20"/>
        </w:rPr>
        <w:t>Eligibility</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Participants in this Plan shall consist of such officers, other employees, Non-Employee Directors, consultants, independent contractors, agents, and persons expected to become officers, other employees, Non-Employee Directors, consultants, independent contractors and agents of the Company and its Subsidiaries as the Committee in its sole discretion may select from time to time. The Committee’s selection of a person to participate in this Plan at any time shall not require the Committee to select such person to participate in this Plan at any other time. Except as otherwise provided for in an Agreement, for purposes of this Plan, references to employment by the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Company shall also mean employment by a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 Notwithstanding anything herein to the contrary, the aggregate value of cash compensation to be paid and the grant date fair value of equity awards that may be granted during any fiscal year of the Company to any Non-Employee Director shall not exceed $400,000, increased to $800,000 with respect to the fiscal year of a Non-Employee Director’s initial service as a Non-Employee Director.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smallCaps/>
          <w:color w:val="000000"/>
          <w:sz w:val="20"/>
        </w:rPr>
        <w:t>Shares</w:t>
      </w:r>
      <w:r>
        <w:rPr>
          <w:smallCaps/>
          <w:color w:val="000000"/>
        </w:rPr>
        <w:t xml:space="preserve"> </w:t>
      </w:r>
      <w:r>
        <w:rPr>
          <w:rFonts w:ascii="Times New Roman" w:hAnsi="Times New Roman"/>
          <w:b/>
          <w:smallCaps/>
          <w:color w:val="000000"/>
          <w:sz w:val="20"/>
        </w:rPr>
        <w:t>Available</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Subject to adjustment as provided in </w:t>
      </w:r>
      <w:r>
        <w:rPr>
          <w:rFonts w:ascii="Times New Roman" w:hAnsi="Times New Roman"/>
          <w:color w:val="000000"/>
          <w:sz w:val="20"/>
          <w:u w:val="single"/>
        </w:rPr>
        <w:t>Section 5.7</w:t>
      </w:r>
      <w:r>
        <w:rPr>
          <w:color w:val="000000"/>
        </w:rPr>
        <w:t xml:space="preserve"> </w:t>
      </w:r>
      <w:r>
        <w:rPr>
          <w:rFonts w:ascii="Times New Roman" w:hAnsi="Times New Roman"/>
          <w:color w:val="000000"/>
          <w:sz w:val="20"/>
        </w:rPr>
        <w:t>and to all other limits set forth in this Plan, 3,665,167</w:t>
      </w:r>
      <w:r>
        <w:rPr>
          <w:color w:val="000000"/>
        </w:rPr>
        <w:t xml:space="preserve"> </w:t>
      </w:r>
      <w:r>
        <w:rPr>
          <w:rFonts w:ascii="Times New Roman" w:hAnsi="Times New Roman"/>
          <w:color w:val="000000"/>
          <w:sz w:val="20"/>
        </w:rPr>
        <w:t xml:space="preserve">shares of Common Stock shall initially be available for all awards under this Plan, other than Substitute Awards. Subject to adjustment as provided in </w:t>
      </w:r>
      <w:r>
        <w:rPr>
          <w:rFonts w:ascii="Times New Roman" w:hAnsi="Times New Roman"/>
          <w:color w:val="000000"/>
          <w:sz w:val="20"/>
          <w:u w:val="single"/>
        </w:rPr>
        <w:t>Section 5.7</w:t>
      </w:r>
      <w:r>
        <w:rPr>
          <w:rFonts w:ascii="Times New Roman" w:hAnsi="Times New Roman"/>
          <w:color w:val="000000"/>
          <w:sz w:val="20"/>
        </w:rPr>
        <w:t xml:space="preserve">, no more than 9,162,917 shares of Common Stock in the aggregate may be issued under the Plan in connection with Incentive Stock Options. The number of shares of Common Stock available under the Plan shall increase annually on the first day of each fiscal year, beginning with the fiscal year ending December 31, 2021, and continuing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Board. The number of shares of Common Stock that remain available for future grants under this Plan shall be reduced by the sum of the aggregate number of shares of Common Stock that become subject to outstanding options, outstanding Free-Standing SARs, outstanding Stock Awards and outstanding Performance Awards denominated in shares of Common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that shares of Common Stock subject to an outstanding option, SAR, Stock Award or Performance Award granted under the Plan or the Prior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In addition, shares of Common Stock subject to an award under this Plan or the Prior Plan shall again be available for issuance under this Plan if such shares are (x) shares that were subject to an option or stock-settled SAR and were not issued or delivered upon the net settlement or net exercise of such option or SAR or (y) shares delivered to or withheld by the Company to pay the purchase price or the withholding taxes related to an outstanding award. Notwithstanding anything herein to the contrary, shares repurchased by the Company on the open market with the proceeds of an option exercise shall not again be available under this Plan.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xml:space="preserve">II.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Stock Options and Stock Appreciation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smallCaps/>
          <w:color w:val="000000"/>
          <w:sz w:val="20"/>
        </w:rPr>
        <w:t>Stock Options</w:t>
      </w:r>
      <w:r>
        <w:rPr>
          <w:rFonts w:ascii="Times New Roman" w:hAnsi="Times New Roman"/>
          <w:b/>
          <w:color w:val="000000"/>
          <w:sz w:val="20"/>
        </w:rPr>
        <w:t>.</w:t>
      </w:r>
      <w:r>
        <w:rPr>
          <w:color w:val="000000"/>
        </w:rPr>
        <w:t xml:space="preserve"> </w:t>
      </w:r>
      <w:r>
        <w:rPr>
          <w:rFonts w:ascii="Times New Roman" w:hAnsi="Times New Roman"/>
          <w:color w:val="000000"/>
          <w:sz w:val="20"/>
        </w:rPr>
        <w:t>The Committee may, in its discretion, grant options to purchase shares of Common Stock to such eligible persons as may be selected by the Committee. Each option, or portion thereof, that is not an Incentive Stock Option, shall be a Nonstatutory Stock Option. To the extent that the aggregate Fair Market Value (determined as of the date of grant) of shares of Common Stock with respect to which options designated as Incentive Stock Options are exercisable for the first time by a holder during any calendar year (under this Plan or any other plan of the Company, or any parent or Subsidiary) exceeds the amount (currently $100,000) established by the Code, such options shall constitute Nonstatutory Stock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Options shall be subject to the following terms and conditions and shall contain such additional terms and conditions, not inconsistent with the terms of this Plan, as the Committee shall deem advisable:</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0"/>
        </w:rPr>
        <w:t>Number of Shares and Purchase Price.</w:t>
      </w:r>
      <w:r>
        <w:rPr>
          <w:color w:val="000000"/>
        </w:rPr>
        <w:t xml:space="preserve"> </w:t>
      </w:r>
      <w:r>
        <w:rPr>
          <w:rFonts w:ascii="Times New Roman" w:hAnsi="Times New Roman"/>
          <w:color w:val="000000"/>
          <w:sz w:val="20"/>
        </w:rPr>
        <w:t xml:space="preserve">The number of shares of Common Stock subject to an option and the purchase price per share of Common Stock purchasable upon exercise of the option shall be determined by the Committee;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purchase price per share of Common Stock purchasable upon exercise of an option shall not be less than 100% of the Fair Market Value of a share of Common Stock on the date of grant of such option; </w:t>
      </w:r>
      <w:r>
        <w:rPr>
          <w:rFonts w:ascii="Times New Roman" w:hAnsi="Times New Roman"/>
          <w:i/>
          <w:color w:val="000000"/>
          <w:sz w:val="20"/>
        </w:rPr>
        <w:t>provided</w:t>
      </w:r>
      <w:r>
        <w:rPr>
          <w:color w:val="000000"/>
        </w:rPr>
        <w:t xml:space="preserve"> </w:t>
      </w:r>
      <w:r>
        <w:rPr>
          <w:rFonts w:ascii="Times New Roman" w:hAnsi="Times New Roman"/>
          <w:i/>
          <w:color w:val="000000"/>
          <w:sz w:val="20"/>
        </w:rPr>
        <w:t>further</w:t>
      </w:r>
      <w:r>
        <w:rPr>
          <w:rFonts w:ascii="Times New Roman" w:hAnsi="Times New Roman"/>
          <w:color w:val="000000"/>
          <w:sz w:val="20"/>
        </w:rPr>
        <w:t>, that if an Incentive Stock Option shall be granted to any person who, at the time such option is granted, owns capital stock possessing more than 10% of the total combined voting power of all classes of capital stock of the Company (or of any parent or Subsidiary) (a “</w:t>
      </w:r>
      <w:r>
        <w:rPr>
          <w:rFonts w:ascii="Times New Roman" w:hAnsi="Times New Roman"/>
          <w:b/>
          <w:i/>
          <w:color w:val="000000"/>
          <w:sz w:val="20"/>
        </w:rPr>
        <w:t>Ten Percent Holder</w:t>
      </w:r>
      <w:r>
        <w:rPr>
          <w:color w:val="000000"/>
        </w:rPr>
        <w:t>”</w:t>
      </w:r>
      <w:r>
        <w:rPr>
          <w:rFonts w:ascii="Times New Roman" w:hAnsi="Times New Roman"/>
          <w:color w:val="000000"/>
          <w:sz w:val="20"/>
        </w:rPr>
        <w:t>), the purchase price per share of Common Stock shall not be less than the price (currently 110% of Fair Market Value) required by the Code in order to constitute an Incentive Stock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0"/>
        </w:rPr>
        <w:t>Option Period and Exercisability.</w:t>
      </w:r>
      <w:r>
        <w:rPr>
          <w:color w:val="000000"/>
        </w:rPr>
        <w:t xml:space="preserve"> </w:t>
      </w:r>
      <w:r>
        <w:rPr>
          <w:rFonts w:ascii="Times New Roman" w:hAnsi="Times New Roman"/>
          <w:color w:val="000000"/>
          <w:sz w:val="20"/>
        </w:rPr>
        <w:t xml:space="preserve">The period during which an option may be exercised shall be determined by the Committee;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no option may be exercised later than ten years after its date of grant; </w:t>
      </w:r>
      <w:r>
        <w:rPr>
          <w:rFonts w:ascii="Times New Roman" w:hAnsi="Times New Roman"/>
          <w:i/>
          <w:color w:val="000000"/>
          <w:sz w:val="20"/>
        </w:rPr>
        <w:t>provided</w:t>
      </w:r>
      <w:r>
        <w:rPr>
          <w:color w:val="000000"/>
        </w:rPr>
        <w:t xml:space="preserve"> </w:t>
      </w:r>
      <w:r>
        <w:rPr>
          <w:rFonts w:ascii="Times New Roman" w:hAnsi="Times New Roman"/>
          <w:i/>
          <w:color w:val="000000"/>
          <w:sz w:val="20"/>
        </w:rPr>
        <w:t>further</w:t>
      </w:r>
      <w:r>
        <w:rPr>
          <w:rFonts w:ascii="Times New Roman" w:hAnsi="Times New Roman"/>
          <w:color w:val="000000"/>
          <w:sz w:val="20"/>
        </w:rPr>
        <w:t>, that if an Incentive Stock Option shall be granted to a Ten Percent Holder, such option may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b/>
          <w:color w:val="000000"/>
          <w:sz w:val="20"/>
        </w:rPr>
        <w:t>Method of Exercise.</w:t>
      </w:r>
      <w:r>
        <w:rPr>
          <w:color w:val="000000"/>
        </w:rPr>
        <w:t xml:space="preserve"> </w:t>
      </w:r>
      <w:r>
        <w:rPr>
          <w:rFonts w:ascii="Times New Roman" w:hAnsi="Times New Roman"/>
          <w:color w:val="000000"/>
          <w:sz w:val="20"/>
        </w:rPr>
        <w:t xml:space="preserve">An option may be exercised (i) by giving written notice to the Company specifying the number of whole shares of 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holder has submitted an irrevocable notice of exercise; (E) in any other form of legal consideration that may be acceptable to the Committee and specified in the Agreement; or (F) a combination of (A), (B), (C) and (E),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holder. No shares of Common Stock shall be issued and no certificate representing Common Stock shall be delivered until the full purchase price therefor and any withholding taxes thereon, as described in </w:t>
      </w:r>
      <w:r>
        <w:rPr>
          <w:rFonts w:ascii="Times New Roman" w:hAnsi="Times New Roman"/>
          <w:color w:val="000000"/>
          <w:sz w:val="20"/>
          <w:u w:val="single"/>
        </w:rPr>
        <w:t>Section 5.5</w:t>
      </w:r>
      <w:r>
        <w:rPr>
          <w:rFonts w:ascii="Times New Roman" w:hAnsi="Times New Roman"/>
          <w:color w:val="000000"/>
          <w:sz w:val="20"/>
        </w:rPr>
        <w:t>, have been paid (or arrangement made for such payment to the Company’s satisfaction).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smallCaps/>
          <w:color w:val="000000"/>
          <w:sz w:val="20"/>
        </w:rPr>
        <w:t>Stock Appreciation Rights</w:t>
      </w:r>
      <w:r>
        <w:rPr>
          <w:rFonts w:ascii="Times New Roman" w:hAnsi="Times New Roman"/>
          <w:b/>
          <w:color w:val="000000"/>
          <w:sz w:val="20"/>
        </w:rPr>
        <w:t>.</w:t>
      </w:r>
      <w:r>
        <w:rPr>
          <w:color w:val="000000"/>
        </w:rPr>
        <w:t xml:space="preserve"> </w:t>
      </w:r>
      <w:r>
        <w:rPr>
          <w:rFonts w:ascii="Times New Roman" w:hAnsi="Times New Roman"/>
          <w:color w:val="000000"/>
          <w:sz w:val="20"/>
        </w:rPr>
        <w:t>The Committee may, in its discretion, grant SARs to such eligible persons as may be selected by the Committee. The Agreement relating to an SAR shall specify whether the SAR is a Tandem SAR or a Free-Standing SAR.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SARs shall be subject to the following terms and conditions and shall contain such additional terms and conditions, not inconsistent with the terms of this Plan, as the Committee shall deem advisable: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0"/>
        </w:rPr>
        <w:t>Number of SARs and Base Price.</w:t>
      </w:r>
      <w:r>
        <w:rPr>
          <w:color w:val="000000"/>
        </w:rPr>
        <w:t xml:space="preserve"> </w:t>
      </w:r>
      <w:r>
        <w:rPr>
          <w:rFonts w:ascii="Times New Roman" w:hAnsi="Times New Roman"/>
          <w:color w:val="000000"/>
          <w:sz w:val="20"/>
        </w:rPr>
        <w:t xml:space="preserve">The number of SARs subject to an award shall be determined by the Committee. Any Tandem SAR related to an Incentive Stock Option shall be granted at the same time that such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 xml:space="preserve">Incentive Stock Option is granted. The base price of a Tandem SAR shall be the purchase price per share of Common Stock of the related option. The base price of a Free-Standing SAR shall be determined by the Committee;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such base price shall not be less than 100% of the Fair Market Value of a share of Common Stock on the date of grant of such SAR (or, if earlier, the date of grant of the option for which the SAR is exchanged or substituted).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0"/>
        </w:rPr>
        <w:t>Exercise Period and Exercisability.</w:t>
      </w:r>
      <w:r>
        <w:rPr>
          <w:color w:val="000000"/>
        </w:rPr>
        <w:t xml:space="preserve"> </w:t>
      </w:r>
      <w:r>
        <w:rPr>
          <w:rFonts w:ascii="Times New Roman" w:hAnsi="Times New Roman"/>
          <w:color w:val="000000"/>
          <w:sz w:val="20"/>
        </w:rPr>
        <w:t xml:space="preserve">The period for the exercise of an SAR shall be determined by the Committee;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 no Tandem SAR may be exercised later than the expiration, cancellation, forfeiture or other termination of the related option and (ii) no Free-Standing SAR may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w:t>
        <w:noBreakHyphen/>
        <w:t xml:space="preserve">Standing SAR, only with respect to a whole number of SARs. If an SAR is exercised for shares of Restricted Stock, a certificate or certificates representing such Restricted Stock shall be issued in accordance with </w:t>
      </w:r>
      <w:r>
        <w:rPr>
          <w:rFonts w:ascii="Times New Roman" w:hAnsi="Times New Roman"/>
          <w:color w:val="000000"/>
          <w:sz w:val="20"/>
          <w:u w:val="single"/>
        </w:rPr>
        <w:t>Section 3.2(c)</w:t>
      </w:r>
      <w:r>
        <w:rPr>
          <w:rFonts w:ascii="Times New Roman" w:hAnsi="Times New Roman"/>
          <w:color w:val="000000"/>
          <w:sz w:val="20"/>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Times New Roman" w:hAnsi="Times New Roman"/>
          <w:color w:val="000000"/>
          <w:sz w:val="20"/>
          <w:u w:val="single"/>
        </w:rPr>
        <w:t>Section 3.2(d)</w:t>
      </w:r>
      <w:r>
        <w:rPr>
          <w:rFonts w:ascii="Times New Roman" w:hAnsi="Times New Roman"/>
          <w:color w:val="000000"/>
          <w:sz w:val="20"/>
        </w:rPr>
        <w:t xml:space="preserve">. Prior to the exercise of a stock-settled SAR, the holder of such SAR shall have no rights as a stockholder of the Company with respect to the shares of Common Stock subject to such SAR.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0"/>
        </w:rPr>
        <w:t>Method of Exercise.</w:t>
      </w:r>
      <w:r>
        <w:rPr>
          <w:color w:val="000000"/>
        </w:rPr>
        <w:t xml:space="preserve"> </w:t>
      </w:r>
      <w:r>
        <w:rPr>
          <w:rFonts w:ascii="Times New Roman" w:hAnsi="Times New Roman"/>
          <w:color w:val="000000"/>
          <w:sz w:val="20"/>
        </w:rPr>
        <w:t xml:space="preserve">A Tandem SAR may be exercised by (i) giving written notice to the Company specifying the number of whole SARs which are being exercised, (ii) surrendering to the Company any options which are cancelled by reason of the exercise of the Tandem SAR and (iii) executing such documents as the Company may reasonably request. A Free-Standing SAR may be exercised by (A) giving written notice to the Company specifying the whole number of SARs which are being exercised and (B) executing such documents as the Company may reasonably request. No shares of Common Stock shall be issued and no certificate representing Common Stock shall be delivered until any withholding taxes thereon, as described in </w:t>
      </w:r>
      <w:r>
        <w:rPr>
          <w:rFonts w:ascii="Times New Roman" w:hAnsi="Times New Roman"/>
          <w:color w:val="000000"/>
          <w:sz w:val="20"/>
          <w:u w:val="single"/>
        </w:rPr>
        <w:t>Section 5.5</w:t>
      </w:r>
      <w:r>
        <w:rPr>
          <w:rFonts w:ascii="Times New Roman" w:hAnsi="Times New Roman"/>
          <w:color w:val="000000"/>
          <w:sz w:val="20"/>
        </w:rPr>
        <w:t>, have been paid (or arrangement made for such payment to the Company’s satisfaction).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smallCaps/>
          <w:color w:val="000000"/>
          <w:sz w:val="20"/>
        </w:rPr>
        <w:t>Termination of Employment or Service</w:t>
      </w:r>
      <w:r>
        <w:rPr>
          <w:rFonts w:ascii="Times New Roman" w:hAnsi="Times New Roman"/>
          <w:b/>
          <w:color w:val="000000"/>
          <w:sz w:val="20"/>
        </w:rPr>
        <w:t xml:space="preserve">. </w:t>
      </w:r>
      <w:r>
        <w:rPr>
          <w:rFonts w:ascii="Times New Roman" w:hAnsi="Times New Roman"/>
          <w:color w:val="000000"/>
          <w:sz w:val="20"/>
        </w:rPr>
        <w:t>All of the terms relating to the exercise, cancellation or other disposition of an option or SAR (i) upon a 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smallCaps/>
          <w:color w:val="000000"/>
          <w:sz w:val="20"/>
        </w:rPr>
        <w:t>No Repricing</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The Committee shall not, without the approval of the stockholders of the Company, (i) reduce the purchase price or base price of any 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Times New Roman" w:hAnsi="Times New Roman"/>
          <w:color w:val="000000"/>
          <w:sz w:val="20"/>
          <w:u w:val="single"/>
        </w:rPr>
        <w:t>Section 5.7</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smallCaps/>
          <w:color w:val="000000"/>
          <w:sz w:val="20"/>
        </w:rPr>
        <w:t>No Dividend Equivalents</w:t>
      </w:r>
      <w:r>
        <w:rPr>
          <w:rFonts w:ascii="Times New Roman" w:hAnsi="Times New Roman"/>
          <w:b/>
          <w:color w:val="000000"/>
          <w:sz w:val="20"/>
        </w:rPr>
        <w:t>.</w:t>
      </w:r>
      <w:r>
        <w:rPr>
          <w:color w:val="000000"/>
        </w:rPr>
        <w:t xml:space="preserve"> </w:t>
      </w:r>
      <w:r>
        <w:rPr>
          <w:rFonts w:ascii="Times New Roman" w:hAnsi="Times New Roman"/>
          <w:color w:val="000000"/>
          <w:sz w:val="20"/>
        </w:rPr>
        <w:t>Notwithstanding anything in an Agreement to the contrary, the holder of an option or SAR shall not be entitled to receive dividend equivalents with respect to the number of shares of Common Stock subject to such option or SAR.</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xml:space="preserve">III.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Stock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smallCaps/>
          <w:color w:val="000000"/>
          <w:sz w:val="20"/>
        </w:rPr>
        <w:t>Stock</w:t>
      </w:r>
      <w:r>
        <w:rPr>
          <w:smallCaps/>
          <w:color w:val="000000"/>
        </w:rPr>
        <w:t xml:space="preserve"> </w:t>
      </w:r>
      <w:r>
        <w:rPr>
          <w:rFonts w:ascii="Times New Roman" w:hAnsi="Times New Roman"/>
          <w:b/>
          <w:smallCaps/>
          <w:color w:val="000000"/>
          <w:sz w:val="20"/>
        </w:rPr>
        <w:t>Awards.</w:t>
      </w:r>
      <w:r>
        <w:rPr>
          <w:color w:val="000000"/>
        </w:rPr>
        <w:t xml:space="preserve"> </w:t>
      </w:r>
      <w:r>
        <w:rPr>
          <w:rFonts w:ascii="Times New Roman" w:hAnsi="Times New Roman"/>
          <w:color w:val="000000"/>
          <w:sz w:val="20"/>
        </w:rPr>
        <w:t>The Committee may, in its discretion, grant Stock Awards to such eligible persons as may be selected by the Committee. The Agreement relating to a Stock Award shall specify whether the Stock Award is a Restricted Stock Award, a Restricted Stock Unit Award or, in the case of an Other Stock Award, the type of award being granted.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smallCaps/>
          <w:color w:val="000000"/>
          <w:sz w:val="20"/>
        </w:rPr>
        <w:t>Terms of Restricted Stock Awards.</w:t>
      </w:r>
      <w:r>
        <w:rPr>
          <w:color w:val="000000"/>
        </w:rPr>
        <w:t xml:space="preserve"> </w:t>
      </w:r>
      <w:r>
        <w:rPr>
          <w:rFonts w:ascii="Times New Roman" w:hAnsi="Times New Roman"/>
          <w:color w:val="000000"/>
          <w:sz w:val="20"/>
        </w:rPr>
        <w:t>Restricted Stock Awards shall be subject to the following terms and conditions and shall contain such additional terms and conditions, not inconsistent with the terms of this Plan, as the Committee shall deem advisable.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0"/>
        </w:rPr>
        <w:t>Number of Shares and Other Terms.</w:t>
      </w:r>
      <w:r>
        <w:rPr>
          <w:color w:val="000000"/>
        </w:rPr>
        <w:t xml:space="preserve"> </w:t>
      </w:r>
      <w:r>
        <w:rPr>
          <w:rFonts w:ascii="Times New Roman" w:hAnsi="Times New Roman"/>
          <w:color w:val="000000"/>
          <w:sz w:val="20"/>
        </w:rPr>
        <w:t>The number of shares of Common Stock subject to a Restricted Stock Award and the Restriction Period, Performance Period (if any) and Performance Measures (if any) applicable to a Restricted Stock Award shall be determined by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0"/>
        </w:rPr>
        <w:t>Vesting and Forfeiture.</w:t>
      </w:r>
      <w:r>
        <w:rPr>
          <w:color w:val="000000"/>
        </w:rPr>
        <w:t xml:space="preserve"> </w:t>
      </w:r>
      <w:r>
        <w:rPr>
          <w:rFonts w:ascii="Times New Roman" w:hAnsi="Times New Roman"/>
          <w:color w:val="000000"/>
          <w:sz w:val="20"/>
        </w:rPr>
        <w:t xml:space="preserve">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0"/>
        </w:rPr>
        <w:t>Stock Issuance.</w:t>
      </w:r>
      <w:r>
        <w:rPr>
          <w:color w:val="000000"/>
        </w:rPr>
        <w:t xml:space="preserve"> </w:t>
      </w:r>
      <w:r>
        <w:rPr>
          <w:rFonts w:ascii="Times New Roman" w:hAnsi="Times New Roman"/>
          <w:color w:val="000000"/>
          <w:sz w:val="20"/>
        </w:rPr>
        <w:t xml:space="preserve">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Times New Roman" w:hAnsi="Times New Roman"/>
          <w:color w:val="000000"/>
          <w:sz w:val="20"/>
          <w:u w:val="single"/>
        </w:rPr>
        <w:t>Section 5.6</w:t>
      </w:r>
      <w:r>
        <w:rPr>
          <w:rFonts w:ascii="Times New Roman" w:hAnsi="Times New Roman"/>
          <w:color w:val="000000"/>
          <w:sz w:val="20"/>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Times New Roman" w:hAnsi="Times New Roman"/>
          <w:color w:val="000000"/>
          <w:sz w:val="20"/>
          <w:u w:val="single"/>
        </w:rPr>
        <w:t>Section 5.5</w:t>
      </w:r>
      <w:r>
        <w:rPr>
          <w:rFonts w:ascii="Times New Roman" w:hAnsi="Times New Roman"/>
          <w:color w:val="000000"/>
          <w:sz w:val="20"/>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0"/>
        </w:rPr>
        <w:t>Rights with Respect to Restricted Stock Awards.</w:t>
      </w:r>
      <w:r>
        <w:rPr>
          <w:color w:val="000000"/>
        </w:rPr>
        <w:t xml:space="preserve"> </w:t>
      </w:r>
      <w:r>
        <w:rPr>
          <w:rFonts w:ascii="Times New Roman" w:hAnsi="Times New Roman"/>
          <w:color w:val="000000"/>
          <w:sz w:val="20"/>
        </w:rPr>
        <w:t xml:space="preserve">Unless otherwise set forth in the Agreement relating to a 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Times New Roman" w:hAnsi="Times New Roman"/>
          <w:i/>
          <w:color w:val="000000"/>
          <w:sz w:val="20"/>
        </w:rPr>
        <w:t>provided, however</w:t>
      </w:r>
      <w:r>
        <w:rPr>
          <w:rFonts w:ascii="Times New Roman" w:hAnsi="Times New Roman"/>
          <w:color w:val="000000"/>
          <w:sz w:val="20"/>
        </w:rPr>
        <w:t>, that (i) a distribution with respect to shares of Common Stock, other than a regular cash dividend, and (ii) a regular cash dividend with respect to shares of Common Stock that are subject to performance-based vesting conditions, in each case, shall be deposited with the Company and shall be subject to the same restrictions as the shares of Common Stock with respect to which such distribution was made.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smallCaps/>
          <w:color w:val="000000"/>
          <w:sz w:val="20"/>
        </w:rPr>
        <w:t>Terms of Restricted Stock Unit Awards</w:t>
      </w:r>
      <w:r>
        <w:rPr>
          <w:rFonts w:ascii="Times New Roman" w:hAnsi="Times New Roman"/>
          <w:b/>
          <w:color w:val="000000"/>
          <w:sz w:val="20"/>
        </w:rPr>
        <w:t>.</w:t>
      </w:r>
      <w:r>
        <w:rPr>
          <w:color w:val="000000"/>
        </w:rPr>
        <w:t xml:space="preserve"> </w:t>
      </w:r>
      <w:r>
        <w:rPr>
          <w:rFonts w:ascii="Times New Roman" w:hAnsi="Times New Roman"/>
          <w:color w:val="000000"/>
          <w:sz w:val="20"/>
        </w:rPr>
        <w:t>Restricted Stock Unit Awards shall be subject to the following terms and conditions and shall contain such additional terms and conditions, not inconsistent with the terms of this Plan, as the Committee shall deem advisable.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0"/>
        </w:rPr>
        <w:t>Number of Shares and Other Terms.</w:t>
      </w:r>
      <w:r>
        <w:rPr>
          <w:color w:val="000000"/>
        </w:rPr>
        <w:t xml:space="preserve"> </w:t>
      </w:r>
      <w:r>
        <w:rPr>
          <w:rFonts w:ascii="Times New Roman" w:hAnsi="Times New Roman"/>
          <w:color w:val="000000"/>
          <w:sz w:val="20"/>
        </w:rPr>
        <w:t xml:space="preserve">The number of shares of Common Stock subject to a Restricted Stock Unit Award, including the number of shares that are earned upon the attainment of any specified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Performance Measures, and the Restriction Period, Performance Period (if any) and Performance Measures (if any) applicable to a Restricted Stock Unit Award shall be determined by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0"/>
        </w:rPr>
        <w:t>Vesting and Forfeiture.</w:t>
      </w:r>
      <w:r>
        <w:rPr>
          <w:color w:val="000000"/>
        </w:rPr>
        <w:t xml:space="preserve"> </w:t>
      </w:r>
      <w:r>
        <w:rPr>
          <w:rFonts w:ascii="Times New Roman" w:hAnsi="Times New Roman"/>
          <w:color w:val="000000"/>
          <w:sz w:val="20"/>
        </w:rPr>
        <w:t xml:space="preserve">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0"/>
        </w:rPr>
        <w:t>Settlement of Vested Restricted Stock Unit Awards.</w:t>
      </w:r>
      <w:r>
        <w:rPr>
          <w:color w:val="000000"/>
        </w:rPr>
        <w:t xml:space="preserve"> </w:t>
      </w:r>
      <w:r>
        <w:rPr>
          <w:rFonts w:ascii="Times New Roman" w:hAnsi="Times New Roman"/>
          <w:color w:val="000000"/>
          <w:sz w:val="20"/>
        </w:rPr>
        <w:t>The Agreement relating to a Restricted Stock Unit Award shall specify (i) whether such award may be settled in shares of Common Stock or cash or a combination thereof and (ii) whether the holder thereof shall be entitled to receive dividend equivalents, and, if determined by the Committee, interest on, or the deemed reinvestment of, any deferred dividend equivalents, with respect to the number of shares of Common Stock subject to such award. Any dividend equivalents with respect to Restricted Stock Units that are subject to performance-based vesting conditions shall be subject to the same restrictions as such Restricted Stock Units. Prior to the settlement of a Restricted Stock Unit Award, the holder of such award shall have no rights as a stockholder of the Company with respect to the shares of Common Stock subject to such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smallCaps/>
          <w:color w:val="000000"/>
          <w:sz w:val="20"/>
        </w:rPr>
        <w:t>Other Stock Awards.</w:t>
      </w:r>
      <w:r>
        <w:rPr>
          <w:color w:val="000000"/>
        </w:rPr>
        <w:t xml:space="preserve"> </w:t>
      </w:r>
      <w:r>
        <w:rPr>
          <w:rFonts w:ascii="Times New Roman" w:hAnsi="Times New Roman"/>
          <w:color w:val="000000"/>
          <w:sz w:val="20"/>
        </w:rPr>
        <w:t xml:space="preserve">Subject to the limitations set forth in the Plan, the Committee is authorized to grant other awards that may be denominated or 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0" w:after="240"/>
        <w:jc w:val="both"/>
        <w:rPr/>
      </w:pPr>
      <w:r>
        <w:rPr>
          <w:rFonts w:ascii="Times New Roman" w:hAnsi="Times New Roman"/>
          <w:b/>
          <w:smallCaps/>
          <w:color w:val="000000"/>
          <w:sz w:val="20"/>
        </w:rPr>
        <w:t>Termination of Employment or Service.</w:t>
      </w:r>
      <w:r>
        <w:rPr>
          <w:color w:val="000000"/>
        </w:rPr>
        <w:t xml:space="preserve"> </w:t>
      </w:r>
      <w:r>
        <w:rPr>
          <w:rFonts w:ascii="Times New Roman" w:hAnsi="Times New Roman"/>
          <w:color w:val="000000"/>
          <w:sz w:val="20"/>
        </w:rPr>
        <w:t>All of the terms relating to the satisfaction of Performance Measures and the termination of the Restriction Period or 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xml:space="preserve">IV.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Performance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pPr>
      <w:r>
        <w:rPr>
          <w:rFonts w:ascii="Times New Roman" w:hAnsi="Times New Roman"/>
          <w:b/>
          <w:smallCaps/>
          <w:color w:val="000000"/>
          <w:sz w:val="20"/>
        </w:rPr>
        <w:t>Performance Awards.</w:t>
      </w:r>
      <w:r>
        <w:rPr>
          <w:color w:val="000000"/>
        </w:rPr>
        <w:t xml:space="preserve"> </w:t>
      </w:r>
      <w:r>
        <w:rPr>
          <w:rFonts w:ascii="Times New Roman" w:hAnsi="Times New Roman"/>
          <w:color w:val="000000"/>
          <w:sz w:val="20"/>
        </w:rPr>
        <w:t>The Committee may, in its discretion, grant Performance Awards to such eligible persons as may be selected by the Committee.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pPr>
      <w:r>
        <w:rPr>
          <w:rFonts w:ascii="Times New Roman" w:hAnsi="Times New Roman"/>
          <w:b/>
          <w:smallCaps/>
          <w:color w:val="000000"/>
          <w:sz w:val="20"/>
        </w:rPr>
        <w:t>Terms of Performance Awards</w:t>
      </w:r>
      <w:r>
        <w:rPr>
          <w:rFonts w:ascii="Times New Roman" w:hAnsi="Times New Roman"/>
          <w:b/>
          <w:color w:val="000000"/>
          <w:sz w:val="20"/>
        </w:rPr>
        <w:t xml:space="preserve">. </w:t>
      </w:r>
      <w:r>
        <w:rPr>
          <w:rFonts w:ascii="Times New Roman" w:hAnsi="Times New Roman"/>
          <w:color w:val="000000"/>
          <w:sz w:val="20"/>
        </w:rPr>
        <w:t>Performance Awards shall be subject to the following terms and conditions and shall contain such additional terms and conditions, not inconsistent with the terms of this Plan, as the Committee shall deem advisable.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0"/>
        </w:rPr>
        <w:t>Value of Performance Awards and Performance Measures.</w:t>
      </w:r>
      <w:r>
        <w:rPr>
          <w:color w:val="000000"/>
        </w:rPr>
        <w:t xml:space="preserve"> </w:t>
      </w:r>
      <w:r>
        <w:rPr>
          <w:rFonts w:ascii="Times New Roman" w:hAnsi="Times New Roman"/>
          <w:color w:val="000000"/>
          <w:sz w:val="20"/>
        </w:rPr>
        <w:t>The method of determining the value of the Performance Award and the Performance Measures and Performance Period applicable to a Performance Award shall be determined by the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0"/>
        </w:rPr>
        <w:t>Vesting and Forfeiture.</w:t>
      </w:r>
      <w:r>
        <w:rPr>
          <w:color w:val="000000"/>
        </w:rPr>
        <w:t xml:space="preserve"> </w:t>
      </w:r>
      <w:r>
        <w:rPr>
          <w:rFonts w:ascii="Times New Roman" w:hAnsi="Times New Roman"/>
          <w:color w:val="000000"/>
          <w:sz w:val="20"/>
        </w:rPr>
        <w:t xml:space="preserve">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0"/>
        </w:rPr>
        <w:t>Period and for the forfeiture of such award if the specified Performance Measures are not satisfied or met during the specified Performance Period.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0"/>
        </w:rPr>
        <w:t>Settlement of Vested Performance Awards.</w:t>
      </w:r>
      <w:r>
        <w:rPr>
          <w:color w:val="000000"/>
        </w:rPr>
        <w:t xml:space="preserve"> </w:t>
      </w:r>
      <w:r>
        <w:rPr>
          <w:rFonts w:ascii="Times New Roman" w:hAnsi="Times New Roman"/>
          <w:color w:val="000000"/>
          <w:sz w:val="20"/>
        </w:rPr>
        <w:t xml:space="preserve">The Agreement relating to a Performance Award shall specify whether 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Times New Roman" w:hAnsi="Times New Roman"/>
          <w:color w:val="000000"/>
          <w:sz w:val="20"/>
          <w:u w:val="single"/>
        </w:rPr>
        <w:t>Section 3.2(c)</w:t>
      </w:r>
      <w:r>
        <w:rPr>
          <w:color w:val="000000"/>
        </w:rPr>
        <w:t xml:space="preserve"> </w:t>
      </w:r>
      <w:r>
        <w:rPr>
          <w:rFonts w:ascii="Times New Roman" w:hAnsi="Times New Roman"/>
          <w:color w:val="000000"/>
          <w:sz w:val="20"/>
        </w:rPr>
        <w:t xml:space="preserve">and the holder of such Restricted Stock shall have such rights as a stockholder of the Company as determined pursuant to </w:t>
      </w:r>
      <w:r>
        <w:rPr>
          <w:rFonts w:ascii="Times New Roman" w:hAnsi="Times New Roman"/>
          <w:color w:val="000000"/>
          <w:sz w:val="20"/>
          <w:u w:val="single"/>
        </w:rPr>
        <w:t>Section 3.2(d)</w:t>
      </w:r>
      <w:r>
        <w:rPr>
          <w:rFonts w:ascii="Times New Roman" w:hAnsi="Times New Roman"/>
          <w:color w:val="000000"/>
          <w:sz w:val="20"/>
        </w:rPr>
        <w:t>. Any dividends or dividend equivalents with respect to a Performance Award subject to performance-based vesting conditions shall be subject to the same restrictions as such Performance Award. Prior to the settlement of a Performance Award in shares of Common Stock, including Restricted Stock, the holder of such award shall have no rights as a stockholder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0" w:after="240"/>
        <w:jc w:val="both"/>
        <w:rPr/>
      </w:pPr>
      <w:r>
        <w:rPr>
          <w:rFonts w:ascii="Times New Roman" w:hAnsi="Times New Roman"/>
          <w:b/>
          <w:smallCaps/>
          <w:color w:val="000000"/>
          <w:sz w:val="20"/>
        </w:rPr>
        <w:t>Termination of Employment or Service.</w:t>
      </w:r>
      <w:r>
        <w:rPr>
          <w:color w:val="000000"/>
        </w:rPr>
        <w:t xml:space="preserve"> </w:t>
      </w:r>
      <w:r>
        <w:rPr>
          <w:rFonts w:ascii="Times New Roman" w:hAnsi="Times New Roman"/>
          <w:color w:val="000000"/>
          <w:sz w:val="20"/>
        </w:rPr>
        <w:t>All of the terms relating to the satisfaction of Performance Measures and the termination of the Performance 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 xml:space="preserve">V.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General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smallCaps/>
          <w:color w:val="000000"/>
          <w:sz w:val="20"/>
        </w:rPr>
        <w:t>Effective</w:t>
      </w:r>
      <w:r>
        <w:rPr>
          <w:smallCaps/>
          <w:color w:val="000000"/>
        </w:rPr>
        <w:t xml:space="preserve"> </w:t>
      </w:r>
      <w:r>
        <w:rPr>
          <w:rFonts w:ascii="Times New Roman" w:hAnsi="Times New Roman"/>
          <w:b/>
          <w:smallCaps/>
          <w:color w:val="000000"/>
          <w:sz w:val="20"/>
        </w:rPr>
        <w:t>Date</w:t>
      </w:r>
      <w:r>
        <w:rPr>
          <w:smallCaps/>
          <w:color w:val="000000"/>
        </w:rPr>
        <w:t xml:space="preserve"> </w:t>
      </w:r>
      <w:r>
        <w:rPr>
          <w:rFonts w:ascii="Times New Roman" w:hAnsi="Times New Roman"/>
          <w:b/>
          <w:smallCaps/>
          <w:color w:val="000000"/>
          <w:sz w:val="20"/>
        </w:rPr>
        <w:t>and Term</w:t>
      </w:r>
      <w:r>
        <w:rPr>
          <w:smallCaps/>
          <w:color w:val="000000"/>
        </w:rPr>
        <w:t xml:space="preserve"> </w:t>
      </w:r>
      <w:r>
        <w:rPr>
          <w:rFonts w:ascii="Times New Roman" w:hAnsi="Times New Roman"/>
          <w:b/>
          <w:smallCaps/>
          <w:color w:val="000000"/>
          <w:sz w:val="20"/>
        </w:rPr>
        <w:t>of</w:t>
      </w:r>
      <w:r>
        <w:rPr>
          <w:smallCaps/>
          <w:color w:val="000000"/>
        </w:rPr>
        <w:t xml:space="preserve"> </w:t>
      </w:r>
      <w:r>
        <w:rPr>
          <w:rFonts w:ascii="Times New Roman" w:hAnsi="Times New Roman"/>
          <w:b/>
          <w:smallCaps/>
          <w:color w:val="000000"/>
          <w:sz w:val="20"/>
        </w:rPr>
        <w:t>Plan.</w:t>
      </w:r>
      <w:r>
        <w:rPr>
          <w:color w:val="000000"/>
        </w:rPr>
        <w:t xml:space="preserve"> </w:t>
      </w:r>
      <w:r>
        <w:rPr>
          <w:rFonts w:ascii="Times New Roman" w:hAnsi="Times New Roman"/>
          <w:color w:val="000000"/>
          <w:sz w:val="20"/>
        </w:rPr>
        <w:t xml:space="preserve">This Plan was approved by the stockholders of the Company and became effective on September 7, 2020. This Plan shall terminate on the tenth anniversary of Board approval of the Plan, unless terminated earlier by the Board. Termination of this Plan shall not affect the terms or conditions of any award granted prior to termination. Awards hereunder may be made at any time prior to the termination of this Plan, provided that no Incentive Stock Option may be granted later than ten years after the date on which the Plan was approved by the Board.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smallCaps/>
          <w:color w:val="000000"/>
          <w:sz w:val="20"/>
        </w:rPr>
        <w:t>Amendments.</w:t>
      </w:r>
      <w:r>
        <w:rPr>
          <w:color w:val="000000"/>
        </w:rPr>
        <w:t xml:space="preserve"> </w:t>
      </w:r>
      <w:r>
        <w:rPr>
          <w:rFonts w:ascii="Times New Roman" w:hAnsi="Times New Roman"/>
          <w:color w:val="000000"/>
          <w:sz w:val="20"/>
        </w:rPr>
        <w:t xml:space="preserve">The Board may amend this Plan as it shall deem advisable;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no amendment to the Plan shall be effective without the approval of the Company’s stockholders if (i) stockholder approval is required by applicable law, rule or regulation, including any rule of NASDAQ or any other stock exchange on which the Common Stock is then traded, or (ii) such amendment seeks to modify the Non-Employee Director compensation limit set forth in </w:t>
      </w:r>
      <w:r>
        <w:rPr>
          <w:rFonts w:ascii="Times New Roman" w:hAnsi="Times New Roman"/>
          <w:color w:val="000000"/>
          <w:sz w:val="20"/>
          <w:u w:val="single"/>
        </w:rPr>
        <w:t>Section 1.4</w:t>
      </w:r>
      <w:r>
        <w:rPr>
          <w:color w:val="000000"/>
        </w:rPr>
        <w:t xml:space="preserve"> </w:t>
      </w:r>
      <w:r>
        <w:rPr>
          <w:rFonts w:ascii="Times New Roman" w:hAnsi="Times New Roman"/>
          <w:color w:val="000000"/>
          <w:sz w:val="20"/>
        </w:rPr>
        <w:t xml:space="preserve">or the terms of </w:t>
      </w:r>
      <w:r>
        <w:rPr>
          <w:rFonts w:ascii="Times New Roman" w:hAnsi="Times New Roman"/>
          <w:color w:val="000000"/>
          <w:sz w:val="20"/>
          <w:u w:val="single"/>
        </w:rPr>
        <w:t>Section 2.4</w:t>
      </w:r>
      <w:r>
        <w:rPr>
          <w:color w:val="000000"/>
        </w:rPr>
        <w:t xml:space="preserve"> </w:t>
      </w:r>
      <w:r>
        <w:rPr>
          <w:rFonts w:ascii="Times New Roman" w:hAnsi="Times New Roman"/>
          <w:color w:val="000000"/>
          <w:sz w:val="20"/>
        </w:rPr>
        <w:t xml:space="preserve">hereof; </w:t>
      </w:r>
      <w:r>
        <w:rPr>
          <w:rFonts w:ascii="Times New Roman" w:hAnsi="Times New Roman"/>
          <w:i/>
          <w:color w:val="000000"/>
          <w:sz w:val="20"/>
        </w:rPr>
        <w:t>provided</w:t>
      </w:r>
      <w:r>
        <w:rPr>
          <w:color w:val="000000"/>
        </w:rPr>
        <w:t xml:space="preserve"> </w:t>
      </w:r>
      <w:r>
        <w:rPr>
          <w:rFonts w:ascii="Times New Roman" w:hAnsi="Times New Roman"/>
          <w:i/>
          <w:color w:val="000000"/>
          <w:sz w:val="20"/>
        </w:rPr>
        <w:t>further</w:t>
      </w:r>
      <w:r>
        <w:rPr>
          <w:rFonts w:ascii="Times New Roman" w:hAnsi="Times New Roman"/>
          <w:color w:val="000000"/>
          <w:sz w:val="20"/>
        </w:rPr>
        <w:t>, that no amendment may materially impair the rights of a holder of an outstanding award without the consent of such holder.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smallCaps/>
          <w:color w:val="000000"/>
          <w:sz w:val="20"/>
        </w:rPr>
        <w:t>Agreement.</w:t>
      </w:r>
      <w:r>
        <w:rPr>
          <w:color w:val="000000"/>
        </w:rPr>
        <w:t xml:space="preserve"> </w:t>
      </w:r>
      <w:r>
        <w:rPr>
          <w:rFonts w:ascii="Times New Roman" w:hAnsi="Times New Roman"/>
          <w:color w:val="000000"/>
          <w:sz w:val="20"/>
        </w:rPr>
        <w:t xml:space="preserve">The Company may condition an award holder’s right (a) to exercise, vest or settle the award and (b) to receive delivery of shares, on the execution and delivery to the Company of an Agreement and the completion of other requirements, including, but not limited to, the execution of a nonsolicitation agreement by the recipient and delivery thereof to the Company. Notwithstanding anything contained herein to the contrary, the Committee may approve an Agreement that, upon the termination of an award holder’s employment or service, provides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 (iv) the Performance Measures (if any) applicable to any outstanding awards shall be deemed to be satisfied at the target, maximum or any other level.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smallCaps/>
          <w:color w:val="000000"/>
          <w:sz w:val="20"/>
        </w:rPr>
        <w:t>Non-Transferability.</w:t>
      </w:r>
      <w:r>
        <w:rPr>
          <w:color w:val="000000"/>
        </w:rPr>
        <w:t xml:space="preserve"> </w:t>
      </w:r>
      <w:r>
        <w:rPr>
          <w:rFonts w:ascii="Times New Roman" w:hAnsi="Times New Roman"/>
          <w:color w:val="000000"/>
          <w:sz w:val="20"/>
        </w:rPr>
        <w:t xml:space="preserve">No award shall be transferable other than by will, the laws of descent and distribution or pursuant to beneficiary designation 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law or otherwise) or be subject to execution, attachment or similar process. Upon any attempt to so sell, transfer, assign, pledge, hypothecate, encumber or otherwise dispose of any award, such award and all rights thereunder shall immediately become null and void.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5.5</w:t>
      </w:r>
    </w:p>
    <w:p>
      <w:pPr>
        <w:pStyle w:val="TextBody"/>
        <w:bidi w:val="0"/>
        <w:spacing w:before="0" w:after="240"/>
        <w:jc w:val="both"/>
        <w:rPr/>
      </w:pPr>
      <w:r>
        <w:rPr>
          <w:rFonts w:ascii="Times New Roman" w:hAnsi="Times New Roman"/>
          <w:b/>
          <w:smallCaps/>
          <w:color w:val="000000"/>
          <w:sz w:val="20"/>
        </w:rPr>
        <w:t>Tax Withholding.</w:t>
      </w:r>
      <w:r>
        <w:rPr>
          <w:color w:val="000000"/>
        </w:rPr>
        <w:t xml:space="preserve"> </w:t>
      </w:r>
      <w:r>
        <w:rPr>
          <w:rFonts w:ascii="Times New Roman" w:hAnsi="Times New Roman"/>
          <w:color w:val="000000"/>
          <w:sz w:val="20"/>
        </w:rPr>
        <w:t>The Company shall have the right to require, prior to the issuance or delivery of any shares of Common Stock or the payment of any 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 w:hAnsi="Times New Roman"/>
          <w:b/>
          <w:i/>
          <w:color w:val="000000"/>
          <w:sz w:val="20"/>
        </w:rPr>
        <w:t>Tax Date</w:t>
      </w:r>
      <w:r>
        <w:rPr>
          <w:color w:val="000000"/>
        </w:rPr>
        <w:t>”</w:t>
      </w:r>
      <w:r>
        <w:rPr>
          <w:rFonts w:ascii="Times New Roman" w:hAnsi="Times New Roman"/>
          <w:color w:val="000000"/>
          <w:sz w:val="20"/>
        </w:rPr>
        <w:t>),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a cash payment by a broker-dealer acceptable to the Company; or (E) any combination of (A), (B), and (C), in each case to the extent set forth in the Agreement relating to the award. Shares of Common Stock to be delivered or withheld may not have an aggregate Fair Market Value in excess of the amount determined by applying the minimum statutory withholding rate (or, if permitted by the Company, such other rate as shall not cause adverse accounting consequences under the accounting rules then in effect, and is permitted under applicable IRS withholding rules). Any fraction of a share of Common Stock which would be required to satisfy such an obligation shall be disregarded and the remaining amount due shall be paid in cash by the holder.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w:t>
      </w:r>
    </w:p>
    <w:p>
      <w:pPr>
        <w:pStyle w:val="TextBody"/>
        <w:bidi w:val="0"/>
        <w:spacing w:before="0" w:after="240"/>
        <w:jc w:val="both"/>
        <w:rPr/>
      </w:pPr>
      <w:r>
        <w:rPr>
          <w:rFonts w:ascii="Times New Roman" w:hAnsi="Times New Roman"/>
          <w:b/>
          <w:smallCaps/>
          <w:color w:val="000000"/>
          <w:sz w:val="20"/>
        </w:rPr>
        <w:t>Restrictions on Shares.</w:t>
      </w:r>
      <w:r>
        <w:rPr>
          <w:color w:val="000000"/>
        </w:rPr>
        <w:t xml:space="preserve"> </w:t>
      </w:r>
      <w:r>
        <w:rPr>
          <w:rFonts w:ascii="Times New Roman" w:hAnsi="Times New Roman"/>
          <w:color w:val="000000"/>
          <w:sz w:val="20"/>
        </w:rPr>
        <w:t>Each award made hereunder shall be subject to the requirement that if at any time the Company determines that the listing, 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5.7</w:t>
      </w:r>
    </w:p>
    <w:p>
      <w:pPr>
        <w:pStyle w:val="TextBody"/>
        <w:bidi w:val="0"/>
        <w:spacing w:before="0" w:after="240"/>
        <w:jc w:val="both"/>
        <w:rPr/>
      </w:pPr>
      <w:r>
        <w:rPr>
          <w:rFonts w:ascii="Times New Roman" w:hAnsi="Times New Roman"/>
          <w:b/>
          <w:smallCaps/>
          <w:color w:val="000000"/>
          <w:sz w:val="20"/>
        </w:rPr>
        <w:t>Adjustment.</w:t>
      </w:r>
      <w:r>
        <w:rPr>
          <w:color w:val="000000"/>
        </w:rPr>
        <w:t xml:space="preserve"> </w:t>
      </w:r>
      <w:r>
        <w:rPr>
          <w:rFonts w:ascii="Times New Roman" w:hAnsi="Times New Roman"/>
          <w:color w:val="000000"/>
          <w:sz w:val="20"/>
        </w:rPr>
        <w:t>In the event of any equity restructuring (within the meaning of Financial Accounting Standards Board Accounting Standards Codification 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and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5.8</w:t>
      </w:r>
    </w:p>
    <w:p>
      <w:pPr>
        <w:pStyle w:val="TextBody"/>
        <w:bidi w:val="0"/>
        <w:spacing w:before="0" w:after="240"/>
        <w:jc w:val="both"/>
        <w:rPr/>
      </w:pPr>
      <w:r>
        <w:rPr>
          <w:rFonts w:ascii="Times New Roman" w:hAnsi="Times New Roman"/>
          <w:b/>
          <w:smallCaps/>
          <w:color w:val="000000"/>
          <w:sz w:val="20"/>
        </w:rPr>
        <w:t>Change in Control</w:t>
      </w:r>
      <w:r>
        <w:rPr>
          <w:rFonts w:ascii="Times New Roman" w:hAnsi="Times New Roman"/>
          <w:b/>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0"/>
        </w:rPr>
        <w:t>For purposes of this Plan, “</w:t>
      </w:r>
      <w:r>
        <w:rPr>
          <w:rFonts w:ascii="Times New Roman" w:hAnsi="Times New Roman"/>
          <w:b/>
          <w:i/>
          <w:color w:val="000000"/>
          <w:sz w:val="20"/>
        </w:rPr>
        <w:t>Change in Control</w:t>
      </w:r>
      <w:r>
        <w:rPr>
          <w:color w:val="000000"/>
        </w:rPr>
        <w:t xml:space="preserve">” </w:t>
      </w:r>
      <w:r>
        <w:rPr>
          <w:rFonts w:ascii="Times New Roman" w:hAnsi="Times New Roman"/>
          <w:color w:val="000000"/>
          <w:sz w:val="20"/>
        </w:rPr>
        <w:t>means the occurrence, in a single transaction or in a series of related transactions, of any one or more of the following events: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(1) </w:t>
      </w:r>
    </w:p>
    <w:p>
      <w:pPr>
        <w:pStyle w:val="TextBody"/>
        <w:bidi w:val="0"/>
        <w:spacing w:before="0" w:after="240"/>
        <w:jc w:val="both"/>
        <w:rPr/>
      </w:pPr>
      <w:r>
        <w:rPr>
          <w:rFonts w:ascii="Times New Roman" w:hAnsi="Times New Roman"/>
          <w:color w:val="000000"/>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color w:val="000000"/>
          <w:sz w:val="20"/>
        </w:rPr>
        <w:t>Subject Person</w:t>
      </w:r>
      <w:r>
        <w:rPr>
          <w:color w:val="000000"/>
        </w:rPr>
        <w:t>”</w:t>
      </w:r>
      <w:r>
        <w:rPr>
          <w:rFonts w:ascii="Times New Roman" w:hAnsi="Times New Roman"/>
          <w:color w:val="000000"/>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(2)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(3)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stockholders of the Company approve or the Board approves a plan of complete dissolution or liquidation of the Company, or a complete dissolution or liquidation of the Company shall otherwise occur, except for a liquidation into a parent corporation;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(5) </w:t>
      </w:r>
    </w:p>
    <w:p>
      <w:pPr>
        <w:pStyle w:val="TextBody"/>
        <w:bidi w:val="0"/>
        <w:spacing w:before="0" w:after="240"/>
        <w:jc w:val="both"/>
        <w:rPr/>
      </w:pPr>
      <w:r>
        <w:rPr>
          <w:rFonts w:ascii="Times New Roman" w:hAnsi="Times New Roman"/>
          <w:color w:val="000000"/>
          <w:sz w:val="20"/>
        </w:rPr>
        <w:t>during any twenty-four (24) month period, individuals who, as of the beginning of such period, constitute the Board (the “</w:t>
      </w:r>
      <w:r>
        <w:rPr>
          <w:rFonts w:ascii="Times New Roman" w:hAnsi="Times New Roman"/>
          <w:i/>
          <w:color w:val="000000"/>
          <w:sz w:val="20"/>
        </w:rPr>
        <w:t>Incumbent Directors</w:t>
      </w:r>
      <w:r>
        <w:rPr>
          <w:color w:val="000000"/>
        </w:rPr>
        <w:t>”</w:t>
      </w:r>
      <w:r>
        <w:rPr>
          <w:rFonts w:ascii="Times New Roman" w:hAnsi="Times New Roman"/>
          <w:color w:val="000000"/>
          <w:sz w:val="20"/>
        </w:rPr>
        <w:t>)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 For purposes of this clause (5), “</w:t>
      </w:r>
      <w:r>
        <w:rPr>
          <w:rFonts w:ascii="Times New Roman" w:hAnsi="Times New Roman"/>
          <w:i/>
          <w:color w:val="000000"/>
          <w:sz w:val="20"/>
        </w:rPr>
        <w:t>Person</w:t>
      </w:r>
      <w:r>
        <w:rPr>
          <w:color w:val="000000"/>
        </w:rPr>
        <w:t xml:space="preserve">” </w:t>
      </w:r>
      <w:r>
        <w:rPr>
          <w:rFonts w:ascii="Times New Roman" w:hAnsi="Times New Roman"/>
          <w:color w:val="000000"/>
          <w:sz w:val="20"/>
        </w:rPr>
        <w:t xml:space="preserve">shall have the meaning given in Section 3(a)(9) of the Exchange Act, as modified and used in Sections 13(d) and 14(d) thereof, except that such term shall not include (w) the Company or any of its Affiliates, within the meaning of Rule 12b-2 under Section 12 of the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Exchange Act; (x) a trustee or other fiduciary holding securities under an employee benefit plan of the Company or any of its Subsidiaries; (y) an underwriter temporarily holding securities pursuant to an offering of such securities; or (z) a corporation owned, directly or indirectly, by the stockholders of the Company in substantially the same proportions as their ownership of stock of the Company.</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definition or any other provision of this Plan, (A) the term Change in Control shall not include a sale of assets, merger, or other transaction effected exclusively for the purpose of changing the domicile of the Company and (B) with respect to any nonqualified deferred compensation that becomes payable on account of the Change in Control, the transaction or event described in clause (1), (2), (3), (4) or (5) shall also constitute a “change in control event,” as defined in Treasury Regulation § 1.409A-3(i)(5) if required in order for the payment not to violate Section 409A of the Code.</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terms of the applicable Agreements, in the event of a Change in Control, the Board, as constituted prior to the Change in Control, may, in its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(1)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 that (i) some or all outstanding options and SARs shall become exercisable in full or in part, either 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 awards shall lapse in full or in part, and (iv) the Performance Measures applicable to some or all outstanding awards shall be deemed to be satisfied at the target, maximum or any other level;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(2) </w:t>
      </w:r>
    </w:p>
    <w:p>
      <w:pPr>
        <w:pStyle w:val="TextBody"/>
        <w:bidi w:val="0"/>
        <w:spacing w:before="0" w:after="240"/>
        <w:jc w:val="both"/>
        <w:rPr/>
      </w:pPr>
      <w:r>
        <w:rPr>
          <w:rFonts w:ascii="Times New Roman" w:hAnsi="Times New Roman"/>
          <w:color w:val="000000"/>
          <w:sz w:val="20"/>
        </w:rPr>
        <w:t xml:space="preserve">require that shares of capital stock of the corporation resulting from or succeeding to the business of the Company pursuant to such Change in Control, or a parent corporation thereof, or other property be substituted for some or all of the shares of Common Stock subject to an outstanding award, with an appropriate and equitable adjustment to such award as determined by the Board in accordance with </w:t>
      </w:r>
      <w:r>
        <w:rPr>
          <w:rFonts w:ascii="Times New Roman" w:hAnsi="Times New Roman"/>
          <w:color w:val="000000"/>
          <w:sz w:val="20"/>
          <w:u w:val="single"/>
        </w:rPr>
        <w:t>Section 5.7</w:t>
      </w:r>
      <w:r>
        <w:rPr>
          <w:rFonts w:ascii="Times New Roman" w:hAnsi="Times New Roman"/>
          <w:color w:val="000000"/>
          <w:sz w:val="20"/>
        </w:rPr>
        <w:t>; and/or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(3) </w:t>
      </w:r>
    </w:p>
    <w:p>
      <w:pPr>
        <w:pStyle w:val="TextBody"/>
        <w:bidi w:val="0"/>
        <w:spacing w:before="0" w:after="240"/>
        <w:jc w:val="both"/>
        <w:rPr/>
      </w:pPr>
      <w:r>
        <w:rPr>
          <w:rFonts w:ascii="Times New Roman" w:hAnsi="Times New Roman"/>
          <w:color w:val="000000"/>
          <w:sz w:val="20"/>
        </w:rPr>
        <w:t xml:space="preserve">require outstanding awards, in whole or in part, to be surrendered to the Company by the holder, and to be immediately cancelled by the Company, and to provide for the holder to receive (i) a cash payment in an amount equal to (A) in the case of an option or an SAR, the aggregate number of shares of Common Stock then subject to the portion of such option or SAR surrendered, whether or not vested or exercisable, multiplied by the excess, if any, of the Fair Market Value of a share of Common Stock as of the date of the Change in Control, over the purchase price or base price per share of Common Stock subject to such option or SAR, (B) in the case of a Stock Award or a Performance Award denominated in shares of Common Stock, the number of shares of Common Stock then subject to the portion of such award surrendered to the extent the Performance Measures applicable to such award have been satisfied or are deemed satisfied pursuant to </w:t>
      </w:r>
      <w:r>
        <w:rPr>
          <w:rFonts w:ascii="Times New Roman" w:hAnsi="Times New Roman"/>
          <w:color w:val="000000"/>
          <w:sz w:val="20"/>
          <w:u w:val="single"/>
        </w:rPr>
        <w:t>Section 5.8(a)(1)</w:t>
      </w:r>
      <w:r>
        <w:rPr>
          <w:rFonts w:ascii="Times New Roman" w:hAnsi="Times New Roman"/>
          <w:color w:val="000000"/>
          <w:sz w:val="20"/>
        </w:rPr>
        <w:t xml:space="preserve">, whether or not vested, multiplied by the Fair Market Value of a share of Common Stock as of the date of the Change in Control, and (C) in the case of a Performance Award denominated in cash, the value of the Performance Award then subject to the portion of such award surrendered to the extent the Performance Measures applicable to such award have been satisfied or are deemed satisfied pursuant to </w:t>
      </w:r>
      <w:r>
        <w:rPr>
          <w:rFonts w:ascii="Times New Roman" w:hAnsi="Times New Roman"/>
          <w:color w:val="000000"/>
          <w:sz w:val="20"/>
          <w:u w:val="single"/>
        </w:rPr>
        <w:t>Section 5.8(a)(1)</w:t>
      </w:r>
      <w:r>
        <w:rPr>
          <w:rFonts w:ascii="Times New Roman" w:hAnsi="Times New Roman"/>
          <w:color w:val="000000"/>
          <w:sz w:val="20"/>
        </w:rPr>
        <w:t>; (ii) shares of capital stock of the corporation resulting from or succeeding to the business of the Company pursuant to such Change in Control, or a parent corporation thereof, or other property having a fair market value not less than the amount determined under clause (i) above; or (iii) a combination of the payment of cash pursuant to clause (i) above or the issuance of shares or other property pursuant to clause (ii) above.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5.9</w:t>
      </w:r>
    </w:p>
    <w:p>
      <w:pPr>
        <w:pStyle w:val="TextBody"/>
        <w:bidi w:val="0"/>
        <w:spacing w:before="0" w:after="240"/>
        <w:jc w:val="both"/>
        <w:rPr/>
      </w:pPr>
      <w:r>
        <w:rPr>
          <w:rFonts w:ascii="Times New Roman" w:hAnsi="Times New Roman"/>
          <w:b/>
          <w:smallCaps/>
          <w:color w:val="000000"/>
          <w:sz w:val="20"/>
        </w:rPr>
        <w:t>Deferrals</w:t>
      </w:r>
      <w:r>
        <w:rPr>
          <w:rFonts w:ascii="Times New Roman" w:hAnsi="Times New Roman"/>
          <w:b/>
          <w:color w:val="000000"/>
          <w:sz w:val="20"/>
        </w:rPr>
        <w:t xml:space="preserve">. </w:t>
      </w:r>
      <w:r>
        <w:rPr>
          <w:rFonts w:ascii="Times New Roman" w:hAnsi="Times New Roman"/>
          <w:color w:val="000000"/>
          <w:sz w:val="20"/>
        </w:rPr>
        <w:t xml:space="preserve">The Committee may determine that the delivery of shares of Common Stock or the payment of cash, or a combination thereof, upon the settlement of all or a portion of any award made hereunder shall be deferred, or the Committee may, in its sole discretion, approve deferral elections made by holders of awards. Deferrals shall be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such periods and upon such terms as the Committee may determine in its sole discretion, subject to the requirements of Section 409A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5.10</w:t>
      </w:r>
    </w:p>
    <w:p>
      <w:pPr>
        <w:pStyle w:val="TextBody"/>
        <w:bidi w:val="0"/>
        <w:spacing w:before="0" w:after="240"/>
        <w:jc w:val="both"/>
        <w:rPr/>
      </w:pPr>
      <w:r>
        <w:rPr>
          <w:rFonts w:ascii="Times New Roman" w:hAnsi="Times New Roman"/>
          <w:b/>
          <w:smallCaps/>
          <w:color w:val="000000"/>
          <w:sz w:val="20"/>
        </w:rPr>
        <w:t>No</w:t>
      </w:r>
      <w:r>
        <w:rPr>
          <w:smallCaps/>
          <w:color w:val="000000"/>
        </w:rPr>
        <w:t xml:space="preserve"> </w:t>
      </w:r>
      <w:r>
        <w:rPr>
          <w:rFonts w:ascii="Times New Roman" w:hAnsi="Times New Roman"/>
          <w:b/>
          <w:smallCaps/>
          <w:color w:val="000000"/>
          <w:sz w:val="20"/>
        </w:rPr>
        <w:t>Right of</w:t>
      </w:r>
      <w:r>
        <w:rPr>
          <w:smallCaps/>
          <w:color w:val="000000"/>
        </w:rPr>
        <w:t xml:space="preserve"> </w:t>
      </w:r>
      <w:r>
        <w:rPr>
          <w:rFonts w:ascii="Times New Roman" w:hAnsi="Times New Roman"/>
          <w:b/>
          <w:smallCaps/>
          <w:color w:val="000000"/>
          <w:sz w:val="20"/>
        </w:rPr>
        <w:t>Participation, Employment or Service.</w:t>
      </w:r>
      <w:r>
        <w:rPr>
          <w:color w:val="000000"/>
        </w:rPr>
        <w:t xml:space="preserve"> </w:t>
      </w:r>
      <w:r>
        <w:rPr>
          <w:rFonts w:ascii="Times New Roman" w:hAnsi="Times New Roman"/>
          <w:color w:val="000000"/>
          <w:sz w:val="20"/>
        </w:rPr>
        <w:t>Unless otherwise set forth in an employment agreement, no person shall have any right 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5.11</w:t>
      </w:r>
    </w:p>
    <w:p>
      <w:pPr>
        <w:pStyle w:val="TextBody"/>
        <w:bidi w:val="0"/>
        <w:spacing w:before="0" w:after="240"/>
        <w:jc w:val="both"/>
        <w:rPr/>
      </w:pPr>
      <w:r>
        <w:rPr>
          <w:rFonts w:ascii="Times New Roman" w:hAnsi="Times New Roman"/>
          <w:b/>
          <w:smallCaps/>
          <w:color w:val="000000"/>
          <w:sz w:val="20"/>
        </w:rPr>
        <w:t>Rights as Stockholder.</w:t>
      </w:r>
      <w:r>
        <w:rPr>
          <w:color w:val="000000"/>
        </w:rPr>
        <w:t xml:space="preserve"> </w:t>
      </w:r>
      <w:r>
        <w:rPr>
          <w:rFonts w:ascii="Times New Roman" w:hAnsi="Times New Roman"/>
          <w:color w:val="000000"/>
          <w:sz w:val="20"/>
        </w:rPr>
        <w:t>No person shall have any right as a stockholder of the Company with respect to any shares of Common Stock or other equity security of the Company which is subject to an award hereunder unless and until such person becomes a stockholder of record with respect to such shares of Common Stock or equity security.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5.12</w:t>
      </w:r>
    </w:p>
    <w:p>
      <w:pPr>
        <w:pStyle w:val="TextBody"/>
        <w:bidi w:val="0"/>
        <w:spacing w:before="0" w:after="240"/>
        <w:jc w:val="both"/>
        <w:rPr/>
      </w:pPr>
      <w:r>
        <w:rPr>
          <w:rFonts w:ascii="Times New Roman" w:hAnsi="Times New Roman"/>
          <w:b/>
          <w:smallCaps/>
          <w:color w:val="000000"/>
          <w:sz w:val="20"/>
        </w:rPr>
        <w:t>Designation of Beneficiary.</w:t>
      </w:r>
      <w:r>
        <w:rPr>
          <w:color w:val="000000"/>
        </w:rPr>
        <w:t xml:space="preserve"> </w:t>
      </w:r>
      <w:r>
        <w:rPr>
          <w:rFonts w:ascii="Times New Roman" w:hAnsi="Times New Roman"/>
          <w:color w:val="000000"/>
          <w:sz w:val="20"/>
        </w:rPr>
        <w:t xml:space="preserve">To the extent permitted by the Company, a holder of an award may file with the Company a written designation of one 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5.13</w:t>
      </w:r>
    </w:p>
    <w:p>
      <w:pPr>
        <w:pStyle w:val="TextBody"/>
        <w:bidi w:val="0"/>
        <w:spacing w:before="0" w:after="240"/>
        <w:jc w:val="both"/>
        <w:rPr/>
      </w:pPr>
      <w:r>
        <w:rPr>
          <w:rFonts w:ascii="Times New Roman" w:hAnsi="Times New Roman"/>
          <w:b/>
          <w:smallCaps/>
          <w:color w:val="000000"/>
          <w:sz w:val="20"/>
        </w:rPr>
        <w:t>Awards Subject to Clawback</w:t>
      </w:r>
      <w:r>
        <w:rPr>
          <w:rFonts w:ascii="Times New Roman" w:hAnsi="Times New Roman"/>
          <w:b/>
          <w:color w:val="000000"/>
          <w:sz w:val="20"/>
        </w:rPr>
        <w:t xml:space="preserve">. </w:t>
      </w:r>
      <w:r>
        <w:rPr>
          <w:rFonts w:ascii="Times New Roman" w:hAnsi="Times New Roman"/>
          <w:color w:val="000000"/>
          <w:sz w:val="20"/>
        </w:rPr>
        <w:t>The awards granted under this Plan and any cash payment or shares of Common Stock delivered pursuant to such an award are subject to forfeiture, recovery by the Company or other action pursuant to the applicable Agreement or any clawback or recoupment policy which the Company may adopt from time to time, including without limitation the policy adopted by the Company under the Dodd-Frank Wall Street Reform and Consumer Protection Act and implementing rules and regulations thereunder, or as otherwise required by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5.14</w:t>
      </w:r>
    </w:p>
    <w:p>
      <w:pPr>
        <w:pStyle w:val="TextBody"/>
        <w:bidi w:val="0"/>
        <w:spacing w:before="0" w:after="240"/>
        <w:jc w:val="both"/>
        <w:rPr/>
      </w:pPr>
      <w:r>
        <w:rPr>
          <w:rFonts w:ascii="Times New Roman" w:hAnsi="Times New Roman"/>
          <w:b/>
          <w:smallCaps/>
          <w:color w:val="000000"/>
          <w:sz w:val="20"/>
        </w:rPr>
        <w:t>Governing Law</w:t>
      </w:r>
      <w:r>
        <w:rPr>
          <w:rFonts w:ascii="Times New Roman" w:hAnsi="Times New Roman"/>
          <w:b/>
          <w:color w:val="000000"/>
          <w:sz w:val="20"/>
        </w:rPr>
        <w:t xml:space="preserve">. </w:t>
      </w:r>
      <w:r>
        <w:rPr>
          <w:rFonts w:ascii="Times New Roman" w:hAnsi="Times New Roman"/>
          <w:color w:val="000000"/>
          <w:sz w:val="20"/>
        </w:rPr>
        <w:t>This Plan,</w:t>
      </w:r>
      <w:r>
        <w:rPr>
          <w:color w:val="000000"/>
        </w:rPr>
        <w:t xml:space="preserve"> </w:t>
      </w:r>
      <w:r>
        <w:rPr>
          <w:rFonts w:ascii="Times New Roman" w:hAnsi="Times New Roman"/>
          <w:color w:val="000000"/>
          <w:sz w:val="20"/>
        </w:rPr>
        <w:t>each award hereunder and the related Agreement, and all determinations made and actions taken pursuant thereto, to the extent not otherwise governed by the Code or the laws of the United States, shall be governed by the laws of the State of Delaware and construed in accordance therewith without giving effect to principles of conflicts of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5.15</w:t>
      </w:r>
    </w:p>
    <w:p>
      <w:pPr>
        <w:pStyle w:val="TextBody"/>
        <w:bidi w:val="0"/>
        <w:spacing w:before="0" w:after="240"/>
        <w:jc w:val="both"/>
        <w:rPr/>
      </w:pPr>
      <w:r>
        <w:rPr>
          <w:rFonts w:ascii="Times New Roman" w:hAnsi="Times New Roman"/>
          <w:b/>
          <w:smallCaps/>
          <w:color w:val="000000"/>
          <w:sz w:val="20"/>
        </w:rPr>
        <w:t>Compliance with Section 409A of the Code.</w:t>
      </w:r>
      <w:r>
        <w:rPr>
          <w:color w:val="000000"/>
        </w:rPr>
        <w:t xml:space="preserve"> </w:t>
      </w:r>
      <w:r>
        <w:rPr>
          <w:rFonts w:ascii="Times New Roman" w:hAnsi="Times New Roman"/>
          <w:color w:val="000000"/>
          <w:sz w:val="20"/>
        </w:rPr>
        <w:t>To the extent that the Board determines that any award granted hereunder is subject to Section 409A of the Code, the Plan and applicable Agreement will be interpreted in accordance with Section 409A of the Code. Notwithstanding anything to the contrary in the Plan (and unless the Agreement specifically provides otherwise), if the shares of Common Stock are publicly traded, and if a holder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holder’s “separation from service” (as defined in Section 409A of the Code without regard to alternative definitions thereunder) or, if earlier, the date of the holder’s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5.16</w:t>
      </w:r>
    </w:p>
    <w:p>
      <w:pPr>
        <w:pStyle w:val="TextBody"/>
        <w:bidi w:val="0"/>
        <w:spacing w:before="0" w:after="240"/>
        <w:jc w:val="both"/>
        <w:rPr/>
      </w:pPr>
      <w:r>
        <w:rPr>
          <w:rFonts w:ascii="Times New Roman" w:hAnsi="Times New Roman"/>
          <w:b/>
          <w:smallCaps/>
          <w:color w:val="000000"/>
          <w:sz w:val="20"/>
        </w:rPr>
        <w:t>Foreign Employees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Without amending this Plan, the Committee may grant awards to eligible persons who are foreign nationals and/or reside 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modifications, amendments, procedures, subplans and the like as may be necessary or advisable to comply with provisions of laws in other countries or jurisdictions in which the Company or its Subsidiaries operates or has employees.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om-ex10_11.htm"/>
      <w:bookmarkStart w:id="37" w:name="ksomex10_11"/>
      <w:bookmarkEnd w:id="36"/>
      <w:bookmarkEnd w:id="37"/>
      <w:r>
        <w:rPr>
          <w:rFonts w:ascii="Times New Roman" w:hAnsi="Times New Roman"/>
          <w:b/>
          <w:color w:val="000000"/>
          <w:sz w:val="20"/>
        </w:rPr>
        <w:t>Exhibit 10.11</w:t>
      </w:r>
      <w:r>
        <w:br w:type="page"/>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OUTSET MEDICAL, Inc.</w:t>
      </w:r>
    </w:p>
    <w:p>
      <w:pPr>
        <w:pStyle w:val="TextBody"/>
        <w:bidi w:val="0"/>
        <w:spacing w:before="240" w:after="283"/>
        <w:jc w:val="center"/>
        <w:rPr>
          <w:rFonts w:ascii="Times New Roman" w:hAnsi="Times New Roman"/>
          <w:sz w:val="20"/>
        </w:rPr>
      </w:pPr>
      <w:r>
        <w:rPr>
          <w:rFonts w:ascii="Times New Roman" w:hAnsi="Times New Roman"/>
          <w:b/>
          <w:color w:val="000000"/>
          <w:sz w:val="20"/>
        </w:rPr>
        <w:t>AMENDED AND RESTATED</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CHANGE IN CONTROL AND SEVERANCE AGREEMENT</w:t>
      </w:r>
    </w:p>
    <w:p>
      <w:pPr>
        <w:pStyle w:val="TextBody"/>
        <w:bidi w:val="0"/>
        <w:spacing w:before="240" w:after="283"/>
        <w:jc w:val="both"/>
        <w:rPr>
          <w:rFonts w:ascii="Times New Roman" w:hAnsi="Times New Roman"/>
          <w:sz w:val="20"/>
        </w:rPr>
      </w:pPr>
      <w:r>
        <w:rPr>
          <w:rFonts w:ascii="Times New Roman" w:hAnsi="Times New Roman"/>
          <w:color w:val="000000"/>
          <w:sz w:val="20"/>
        </w:rPr>
        <w:t>This Amended and Restated Change in Control and Severance Agreement (the “</w:t>
      </w:r>
      <w:r>
        <w:rPr>
          <w:rFonts w:ascii="Times New Roman" w:hAnsi="Times New Roman"/>
          <w:b/>
          <w:color w:val="000000"/>
          <w:sz w:val="20"/>
        </w:rPr>
        <w:t>Agreement</w:t>
      </w:r>
      <w:r>
        <w:rPr>
          <w:rFonts w:ascii="Times New Roman" w:hAnsi="Times New Roman"/>
          <w:color w:val="000000"/>
          <w:sz w:val="20"/>
        </w:rPr>
        <w:t>”) is made between Outset Medical, Inc. (the “</w:t>
      </w:r>
      <w:r>
        <w:rPr>
          <w:rFonts w:ascii="Times New Roman" w:hAnsi="Times New Roman"/>
          <w:b/>
          <w:color w:val="000000"/>
          <w:sz w:val="20"/>
        </w:rPr>
        <w:t>Company</w:t>
      </w:r>
      <w:r>
        <w:rPr>
          <w:rFonts w:ascii="Times New Roman" w:hAnsi="Times New Roman"/>
          <w:color w:val="000000"/>
          <w:sz w:val="20"/>
        </w:rPr>
        <w:t>”) and Leslie Trigg (the “</w:t>
      </w:r>
      <w:r>
        <w:rPr>
          <w:rFonts w:ascii="Times New Roman" w:hAnsi="Times New Roman"/>
          <w:b/>
          <w:color w:val="000000"/>
          <w:sz w:val="20"/>
        </w:rPr>
        <w:t>Executive</w:t>
      </w:r>
      <w:r>
        <w:rPr>
          <w:rFonts w:ascii="Times New Roman" w:hAnsi="Times New Roman"/>
          <w:color w:val="000000"/>
          <w:sz w:val="20"/>
        </w:rPr>
        <w:t>”), effective as of [ ], 2024 (the “</w:t>
      </w:r>
      <w:r>
        <w:rPr>
          <w:rFonts w:ascii="Times New Roman" w:hAnsi="Times New Roman"/>
          <w:b/>
          <w:color w:val="000000"/>
          <w:sz w:val="20"/>
        </w:rPr>
        <w:t>Effective Date</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The Company and the Executive entered into a Change in Control and Severance Agreement, dated as of September 10, 2020 (the “</w:t>
      </w:r>
      <w:r>
        <w:rPr>
          <w:rFonts w:ascii="Times New Roman" w:hAnsi="Times New Roman"/>
          <w:b/>
          <w:color w:val="000000"/>
          <w:sz w:val="20"/>
        </w:rPr>
        <w:t>Prior Agreement</w:t>
      </w:r>
      <w:r>
        <w:rPr>
          <w:rFonts w:ascii="Times New Roman" w:hAnsi="Times New Roman"/>
          <w:color w:val="000000"/>
          <w:sz w:val="20"/>
        </w:rPr>
        <w:t xml:space="preserve">”). The Company desires to offer the Executive an amendment of the terms and conditions of the Prior Agreement, which is embodied in the terms and conditions of this Agreement as provided herein. This Agreement provides certain protections to the Executive in connection with a change in control of the Company or in connection with the involuntary termination of the Executive’s employment under the circumstances described in this Agreement and replaces the Prior Agreement in its entirety.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and the Executive agree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pPr>
      <w:r>
        <w:rPr>
          <w:rFonts w:ascii="Times New Roman" w:hAnsi="Times New Roman"/>
          <w:color w:val="000000"/>
          <w:sz w:val="20"/>
          <w:u w:val="single"/>
        </w:rPr>
        <w:t>Term of Agreement</w:t>
      </w:r>
      <w:r>
        <w:rPr>
          <w:rFonts w:ascii="Times New Roman" w:hAnsi="Times New Roman"/>
          <w:color w:val="000000"/>
          <w:sz w:val="20"/>
        </w:rPr>
        <w:t>. This Agreement will have an initial term of three (3) years commencing on the Effective Date (the “</w:t>
      </w:r>
      <w:r>
        <w:rPr>
          <w:rFonts w:ascii="Times New Roman" w:hAnsi="Times New Roman"/>
          <w:b/>
          <w:color w:val="000000"/>
          <w:sz w:val="20"/>
        </w:rPr>
        <w:t>Initial Term</w:t>
      </w:r>
      <w:r>
        <w:rPr>
          <w:color w:val="000000"/>
        </w:rPr>
        <w:t>”</w:t>
      </w:r>
      <w:r>
        <w:rPr>
          <w:rFonts w:ascii="Times New Roman" w:hAnsi="Times New Roman"/>
          <w:color w:val="000000"/>
          <w:sz w:val="20"/>
        </w:rPr>
        <w:t>). On the third (3</w:t>
      </w:r>
      <w:r>
        <w:rPr>
          <w:rFonts w:ascii="Times New Roman" w:hAnsi="Times New Roman"/>
          <w:color w:val="000000"/>
          <w:sz w:val="13"/>
        </w:rPr>
        <w:t>rd</w:t>
      </w:r>
      <w:r>
        <w:rPr>
          <w:rFonts w:ascii="Times New Roman" w:hAnsi="Times New Roman"/>
          <w:color w:val="000000"/>
          <w:sz w:val="20"/>
        </w:rPr>
        <w:t>) anniversary of the Effective Date, this Agreement will renew automatically for additional, one (1) year terms (each, an “</w:t>
      </w:r>
      <w:r>
        <w:rPr>
          <w:rFonts w:ascii="Times New Roman" w:hAnsi="Times New Roman"/>
          <w:b/>
          <w:color w:val="000000"/>
          <w:sz w:val="20"/>
        </w:rPr>
        <w:t>Additional Term</w:t>
      </w:r>
      <w:r>
        <w:rPr>
          <w:color w:val="000000"/>
        </w:rPr>
        <w:t>”</w:t>
      </w:r>
      <w:r>
        <w:rPr>
          <w:rFonts w:ascii="Times New Roman" w:hAnsi="Times New Roman"/>
          <w:color w:val="000000"/>
          <w:sz w:val="20"/>
        </w:rPr>
        <w:t>) unless either party provides the other party with written notice of nonrenewal at least one (1) year prior to the date of automatic renewal. Notwithstanding the foregoing, if a Change in Control occurs (a) when there are fewer than twelve (12) months remaining during the Initial Term or (b) during an Additional Term, the term of this Agreement will extend automatically through the date that is twelve (12) months following the date of the Change in Control. If the Executive becomes entitled to the benefits under Section 3 of this Agreement, then the Agreement will not terminate until all of the obligations of the parties hereto with respect to this Agreement have been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pPr>
      <w:r>
        <w:rPr>
          <w:rFonts w:ascii="Times New Roman" w:hAnsi="Times New Roman"/>
          <w:color w:val="000000"/>
          <w:sz w:val="20"/>
          <w:u w:val="single"/>
        </w:rPr>
        <w:t>At-Will Employment</w:t>
      </w:r>
      <w:r>
        <w:rPr>
          <w:rFonts w:ascii="Times New Roman" w:hAnsi="Times New Roman"/>
          <w:color w:val="000000"/>
          <w:sz w:val="20"/>
        </w:rPr>
        <w:t xml:space="preserve">. The Company and the Executive acknowledge that the Executive’s employment is and will continue to be at-will, as defined under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pPr>
      <w:r>
        <w:rPr>
          <w:rFonts w:ascii="Times New Roman" w:hAnsi="Times New Roman"/>
          <w:color w:val="000000"/>
          <w:sz w:val="20"/>
          <w:u w:val="single"/>
        </w:rPr>
        <w:t>Severance Benefits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Qualifying Non-CIC Termination</w:t>
      </w:r>
      <w:r>
        <w:rPr>
          <w:rFonts w:ascii="Times New Roman" w:hAnsi="Times New Roman"/>
          <w:color w:val="000000"/>
          <w:sz w:val="20"/>
        </w:rPr>
        <w:t>. On a Qualifying Non-CIC Termination (as defined below), the Executive will be eligible to receive the following payments and benefits from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u w:val="single"/>
        </w:rPr>
        <w:t>Salary Severance</w:t>
      </w:r>
      <w:r>
        <w:rPr>
          <w:rFonts w:ascii="Times New Roman" w:hAnsi="Times New Roman"/>
          <w:color w:val="000000"/>
          <w:sz w:val="20"/>
        </w:rPr>
        <w:t>. A single, lump sum payment equal to twelve (12) months of the Executive’s Salary (as defined below), less applicable withholdings.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pPr>
      <w:r>
        <w:rPr>
          <w:rFonts w:ascii="Times New Roman" w:hAnsi="Times New Roman"/>
          <w:color w:val="000000"/>
          <w:sz w:val="20"/>
          <w:u w:val="single"/>
        </w:rPr>
        <w:t>COBRA Coverage</w:t>
      </w:r>
      <w:r>
        <w:rPr>
          <w:rFonts w:ascii="Times New Roman" w:hAnsi="Times New Roman"/>
          <w:color w:val="000000"/>
          <w:sz w:val="20"/>
        </w:rPr>
        <w:t>. Subject to Section 3(d), the Company will pay the premiums for coverage under COBRA (as defined below) for the Executive and the Executive’s eligible dependents, if any, at the rates then in effect, subject to any subsequent changes in rates that are generally applicable to the Company’s active employees (the “</w:t>
      </w:r>
      <w:r>
        <w:rPr>
          <w:rFonts w:ascii="Times New Roman" w:hAnsi="Times New Roman"/>
          <w:b/>
          <w:color w:val="000000"/>
          <w:sz w:val="20"/>
        </w:rPr>
        <w:t>COBRA Coverage</w:t>
      </w:r>
      <w:r>
        <w:rPr>
          <w:color w:val="000000"/>
        </w:rPr>
        <w:t>”</w:t>
      </w:r>
      <w:r>
        <w:rPr>
          <w:rFonts w:ascii="Times New Roman" w:hAnsi="Times New Roman"/>
          <w:color w:val="000000"/>
          <w:sz w:val="20"/>
        </w:rPr>
        <w:t xml:space="preserve">), until the earliest of (A) a period of twelve (12) months from the date of the Executive’s termination of employment, (B) the date upon which the Executive (and the Executive’s eligible dependents, as applicable) becomes covered under similar plans, or (C) the date upon which the Executive ceases to be eligible for coverage under COBRA.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Qualifying CIC Termination</w:t>
      </w:r>
      <w:r>
        <w:rPr>
          <w:rFonts w:ascii="Times New Roman" w:hAnsi="Times New Roman"/>
          <w:color w:val="000000"/>
          <w:sz w:val="20"/>
        </w:rPr>
        <w:t xml:space="preserve">. On a Qualifying CIC Termination, the Executive will be eligible to receive the following payments and benefits from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u w:val="single"/>
        </w:rPr>
        <w:t>Salary Severance</w:t>
      </w:r>
      <w:r>
        <w:rPr>
          <w:rFonts w:ascii="Times New Roman" w:hAnsi="Times New Roman"/>
          <w:color w:val="000000"/>
          <w:sz w:val="20"/>
        </w:rPr>
        <w:t>. A single, lump sum payment, less applicable withholdings, equal to twenty-four (24) months of the Executive’s Salary (such total number of months, the “</w:t>
      </w:r>
      <w:r>
        <w:rPr>
          <w:rFonts w:ascii="Times New Roman" w:hAnsi="Times New Roman"/>
          <w:b/>
          <w:color w:val="000000"/>
          <w:sz w:val="20"/>
        </w:rPr>
        <w:t>Severance Period</w:t>
      </w:r>
      <w:r>
        <w:rPr>
          <w:color w:val="000000"/>
        </w:rPr>
        <w:t>”</w:t>
      </w:r>
      <w:r>
        <w:rPr>
          <w:rFonts w:ascii="Times New Roman" w:hAnsi="Times New Roman"/>
          <w:color w:val="000000"/>
          <w:sz w:val="20"/>
        </w:rPr>
        <w: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pPr>
      <w:r>
        <w:rPr>
          <w:rFonts w:ascii="Times New Roman" w:hAnsi="Times New Roman"/>
          <w:color w:val="000000"/>
          <w:sz w:val="20"/>
          <w:u w:val="single"/>
        </w:rPr>
        <w:t>Bonus Severance</w:t>
      </w:r>
      <w:r>
        <w:rPr>
          <w:rFonts w:ascii="Times New Roman" w:hAnsi="Times New Roman"/>
          <w:color w:val="000000"/>
          <w:sz w:val="20"/>
        </w:rPr>
        <w:t xml:space="preserve">. A single, lump sum payment equal to 200% of the Executive’s target annual bonus as in effect for the fiscal year in which the Qualifying CIC Termination occurs, less applicable withholdings.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both"/>
        <w:rPr/>
      </w:pPr>
      <w:r>
        <w:rPr>
          <w:rFonts w:ascii="Times New Roman" w:hAnsi="Times New Roman"/>
          <w:color w:val="000000"/>
          <w:sz w:val="20"/>
          <w:u w:val="single"/>
        </w:rPr>
        <w:t>COBRA Coverage</w:t>
      </w:r>
      <w:r>
        <w:rPr>
          <w:rFonts w:ascii="Times New Roman" w:hAnsi="Times New Roman"/>
          <w:color w:val="000000"/>
          <w:sz w:val="20"/>
        </w:rPr>
        <w:t>. Subject to Section 3(d), the Company will provide COBRA Coverage until the earliest of (A) eighteen (18) months from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240" w:after="283"/>
        <w:jc w:val="both"/>
        <w:rPr/>
      </w:pPr>
      <w:r>
        <w:rPr>
          <w:rFonts w:ascii="Times New Roman" w:hAnsi="Times New Roman"/>
          <w:color w:val="000000"/>
          <w:sz w:val="20"/>
          <w:u w:val="single"/>
        </w:rPr>
        <w:t>Equity Vesting Acceleration</w:t>
      </w:r>
      <w:r>
        <w:rPr>
          <w:rFonts w:ascii="Times New Roman" w:hAnsi="Times New Roman"/>
          <w:color w:val="000000"/>
          <w:sz w:val="20"/>
        </w:rPr>
        <w:t>. Vesting acceleration (and exercisability, as applicable) as to 100% of the then-unvested shares subject to each of the Executive’s then-outstanding Company equity awards. In the case of an equity award with performance-based vesting, unless the applicable equity award agreement governing such award provides for more favorable treatment, all performance goals and other vesting criteria will be deemed achieved at target. For the avoidance of doubt, in the event of the Executive’s Qualifying Pre</w:t>
        <w:noBreakHyphen/>
        <w:t>CIC Termination (as defined below), any unvested portion of the Executive’s then-outstanding equity awards will remain outstanding until the earlier of (x) three (3) months following the Qualifying Termination or (y) the occurrence of a Change in Control, solely so that any benefits due on a Qualifying Pre</w:t>
        <w:noBreakHyphen/>
        <w:t xml:space="preserve">CIC Termination can be provided if a Change in Control occurs within the three (3) month period following the Qualifying Termination (provided that in no event will the Executive’s stock options or similar equity awards remain outstanding beyond the equity award’s maximum term to expiration). If no Change in Control occurs within the three (3) month period following a Qualifying Termination, any unvested portion of the Executive’s equity awards automatically and permanently will be forfeited on the three (3) month anniversary following the date of the Qualifying Termination without having vested.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u w:val="single"/>
        </w:rPr>
        <w:t>Termination Other Than a Qualifying Termination</w:t>
      </w:r>
      <w:r>
        <w:rPr>
          <w:rFonts w:ascii="Times New Roman" w:hAnsi="Times New Roman"/>
          <w:color w:val="000000"/>
          <w:sz w:val="20"/>
        </w:rPr>
        <w:t>. If the termination of the Executive’s employment with the Company Group is not a Qualifying Termination, then the Executive will not be entitled to receive severance or other benefits.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color w:val="000000"/>
          <w:sz w:val="20"/>
          <w:u w:val="single"/>
        </w:rPr>
        <w:t>Conditions to Receipt of COBRA Coverage</w:t>
      </w:r>
      <w:r>
        <w:rPr>
          <w:rFonts w:ascii="Times New Roman" w:hAnsi="Times New Roman"/>
          <w:color w:val="000000"/>
          <w:sz w:val="20"/>
        </w:rPr>
        <w:t>. The Executive’s receipt of COBRA Coverage is subject to the Executive electing COBRA continuation coverage within the time period prescribed pursuant to COBRA for the Executive and the Executive’s eligible dependents, if any. If the Company determines in its sole discretion that it cannot provide the COBRA Coverage without potentially violating, or being subject to an excise tax under, applicable law (including, without limitation, Section 2716 of the Public Health Service Act), then in lieu of any COBRA Coverage, the Company will provide to the Executive a taxable monthly payment payable on the last day of a given month (except as provided by the immediately following sentence), in an amount equal to the monthly COBRA premium that the Executive would be required to pay to continue his or her group health coverage in effect on the date of his or her Qualifying Termination (which amount will be based on the premium rates applicable for the first month of COBRA Coverage for the Executive and any of eligible dependents of the Executive) (each, a “</w:t>
      </w:r>
      <w:r>
        <w:rPr>
          <w:rFonts w:ascii="Times New Roman" w:hAnsi="Times New Roman"/>
          <w:b/>
          <w:color w:val="000000"/>
          <w:sz w:val="20"/>
        </w:rPr>
        <w:t>COBRA Replacement Payment</w:t>
      </w:r>
      <w:r>
        <w:rPr>
          <w:color w:val="000000"/>
        </w:rPr>
        <w:t>”</w:t>
      </w:r>
      <w:r>
        <w:rPr>
          <w:rFonts w:ascii="Times New Roman" w:hAnsi="Times New Roman"/>
          <w:color w:val="000000"/>
          <w:sz w:val="20"/>
        </w:rPr>
        <w:t>), which COBRA Replacement Payments will be made regardless of whether the Executive elects COBRA continuation coverage and will end on the earlier of (x) the date upon which the Executive obtains other employment or (y) the date the Company has paid an amount totaling the number of COBRA Replacement Payments equal to the number of months in the applicable COBRA Coverage period.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the Executive will not receive the COBRA Replacement Payments or any further COBRA Coverage.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u w:val="single"/>
        </w:rPr>
        <w:t>Non-Duplication of Payment or Benefits</w:t>
      </w:r>
      <w:r>
        <w:rPr>
          <w:rFonts w:ascii="Times New Roman" w:hAnsi="Times New Roman"/>
          <w:color w:val="000000"/>
          <w:sz w:val="20"/>
        </w:rPr>
        <w:t>. For purposes of clarity, in the event of a Qualifying Pre</w:t>
        <w:noBreakHyphen/>
        <w:t>CIC Termination, any severance payments and benefits to be provided to the Executive under Section 3(b) will be reduced by any amounts that already were provided to the Executive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w:t>
      </w:r>
      <w:r>
        <w:rPr>
          <w:rFonts w:ascii="Times New Roman" w:hAnsi="Times New Roman"/>
          <w:b/>
          <w:color w:val="000000"/>
          <w:sz w:val="20"/>
        </w:rPr>
        <w:t>Other Benefits</w:t>
      </w:r>
      <w:r>
        <w:rPr>
          <w:color w:val="000000"/>
        </w:rPr>
        <w:t>”</w:t>
      </w:r>
      <w:r>
        <w:rPr>
          <w:rFonts w:ascii="Times New Roman" w:hAnsi="Times New Roman"/>
          <w:color w:val="000000"/>
          <w:sz w:val="20"/>
        </w:rPr>
        <w:t xml:space="preserve">), then the corresponding severance payments and benefits under this Agreement will be reduced by the amount of Other Benefits paid or provided to the Executive.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- 2 -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rFonts w:ascii="Times New Roman" w:hAnsi="Times New Roman"/>
          <w:color w:val="000000"/>
          <w:sz w:val="20"/>
          <w:u w:val="single"/>
        </w:rPr>
        <w:t>Death of the Executive</w:t>
      </w:r>
      <w:r>
        <w:rPr>
          <w:rFonts w:ascii="Times New Roman" w:hAnsi="Times New Roman"/>
          <w:color w:val="000000"/>
          <w:sz w:val="20"/>
        </w:rPr>
        <w:t>. In the event of the Executive’s death before all payments or benefits the Executive is entitled to receive under this Agreement have been provided, the unpaid amounts will be provided to the Executive’s designated beneficiary, if living, or otherwise to the Executive’s personal representative in a single lump sum as soon as possible following the Executive’s death.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rFonts w:ascii="Times New Roman" w:hAnsi="Times New Roman"/>
          <w:color w:val="000000"/>
          <w:sz w:val="20"/>
          <w:u w:val="single"/>
        </w:rPr>
        <w:t>Transfer Between Members of the Company Group</w:t>
      </w:r>
      <w:r>
        <w:rPr>
          <w:rFonts w:ascii="Times New Roman" w:hAnsi="Times New Roman"/>
          <w:color w:val="000000"/>
          <w:sz w:val="20"/>
        </w:rPr>
        <w:t>. For purposes of this Agreement, if the Executive is involuntarily transferred from one member of the Company Group to another, the transfer will not be a termination without Cause but may give the Executive the ability to resign for Good Reason.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rFonts w:ascii="Times New Roman" w:hAnsi="Times New Roman"/>
          <w:color w:val="000000"/>
          <w:sz w:val="20"/>
          <w:u w:val="single"/>
        </w:rPr>
        <w:t>Exclusive Remedy</w:t>
      </w:r>
      <w:r>
        <w:rPr>
          <w:rFonts w:ascii="Times New Roman" w:hAnsi="Times New Roman"/>
          <w:color w:val="000000"/>
          <w:sz w:val="20"/>
        </w:rPr>
        <w:t>.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pPr>
      <w:r>
        <w:rPr>
          <w:rFonts w:ascii="Times New Roman" w:hAnsi="Times New Roman"/>
          <w:color w:val="000000"/>
          <w:sz w:val="20"/>
          <w:u w:val="single"/>
        </w:rPr>
        <w:t>Accrued Compensation</w:t>
      </w:r>
      <w:r>
        <w:rPr>
          <w:rFonts w:ascii="Times New Roman" w:hAnsi="Times New Roman"/>
          <w:color w:val="000000"/>
          <w:sz w:val="20"/>
        </w:rPr>
        <w:t>. On any termination of the Executive’s employment with the Company Group, the Executive will be entitled to receive all accrued but unpaid vacation, expense reimbursements, wages, and other benefits due to the Executive under any Company-provided plans, policies, and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pPr>
      <w:r>
        <w:rPr>
          <w:rFonts w:ascii="Times New Roman" w:hAnsi="Times New Roman"/>
          <w:color w:val="000000"/>
          <w:sz w:val="20"/>
          <w:u w:val="single"/>
        </w:rPr>
        <w:t>Conditions to Receipt of Severance</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Separation Agreement and Release of Claims</w:t>
      </w:r>
      <w:r>
        <w:rPr>
          <w:rFonts w:ascii="Times New Roman" w:hAnsi="Times New Roman"/>
          <w:color w:val="000000"/>
          <w:sz w:val="20"/>
        </w:rPr>
        <w:t>. The Executive’s receipt of any severance payments or benefits upon the Executive’s Qualifying Termination under Section 3 is subject to the Executive signing and not revoking the Company’s then-standard separation agreement and release of claims (which may include an agreement not to disparage any member of the Company Group, non-solicit provisions, an agreement to assist in any litigation matters, and other standard terms and conditions) (the “</w:t>
      </w:r>
      <w:r>
        <w:rPr>
          <w:rFonts w:ascii="Times New Roman" w:hAnsi="Times New Roman"/>
          <w:b/>
          <w:color w:val="000000"/>
          <w:sz w:val="20"/>
        </w:rPr>
        <w:t>Release</w:t>
      </w:r>
      <w:r>
        <w:rPr>
          <w:color w:val="000000"/>
        </w:rPr>
        <w:t xml:space="preserve">” </w:t>
      </w:r>
      <w:r>
        <w:rPr>
          <w:rFonts w:ascii="Times New Roman" w:hAnsi="Times New Roman"/>
          <w:color w:val="000000"/>
          <w:sz w:val="20"/>
        </w:rPr>
        <w:t>and that requirement, the “</w:t>
      </w:r>
      <w:r>
        <w:rPr>
          <w:rFonts w:ascii="Times New Roman" w:hAnsi="Times New Roman"/>
          <w:b/>
          <w:color w:val="000000"/>
          <w:sz w:val="20"/>
        </w:rPr>
        <w:t>Release Requirement</w:t>
      </w:r>
      <w:r>
        <w:rPr>
          <w:color w:val="000000"/>
        </w:rPr>
        <w:t>”</w:t>
      </w:r>
      <w:r>
        <w:rPr>
          <w:rFonts w:ascii="Times New Roman" w:hAnsi="Times New Roman"/>
          <w:color w:val="000000"/>
          <w:sz w:val="20"/>
        </w:rPr>
        <w:t>), which must become effective and irrevocable no later than the sixtieth (60</w:t>
      </w:r>
      <w:r>
        <w:rPr>
          <w:rFonts w:ascii="Times New Roman" w:hAnsi="Times New Roman"/>
          <w:color w:val="000000"/>
          <w:sz w:val="13"/>
        </w:rPr>
        <w:t>th</w:t>
      </w:r>
      <w:r>
        <w:rPr>
          <w:rFonts w:ascii="Times New Roman" w:hAnsi="Times New Roman"/>
          <w:color w:val="000000"/>
          <w:sz w:val="20"/>
        </w:rPr>
        <w:t>) day following the Executive’s Qualifying Termination (the “</w:t>
      </w:r>
      <w:r>
        <w:rPr>
          <w:rFonts w:ascii="Times New Roman" w:hAnsi="Times New Roman"/>
          <w:b/>
          <w:color w:val="000000"/>
          <w:sz w:val="20"/>
        </w:rPr>
        <w:t>Release Deadline</w:t>
      </w:r>
      <w:r>
        <w:rPr>
          <w:color w:val="000000"/>
        </w:rPr>
        <w:t>”</w:t>
      </w:r>
      <w:r>
        <w:rPr>
          <w:rFonts w:ascii="Times New Roman" w:hAnsi="Times New Roman"/>
          <w:color w:val="000000"/>
          <w:sz w:val="20"/>
        </w:rPr>
        <w:t>). If the Release does not become effective and irrevocable by the Release Deadline, the Executive will forfeit any right to severance payments or benefits under Section 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Payment Timing</w:t>
      </w:r>
      <w:r>
        <w:rPr>
          <w:rFonts w:ascii="Times New Roman" w:hAnsi="Times New Roman"/>
          <w:color w:val="000000"/>
          <w:sz w:val="20"/>
        </w:rPr>
        <w:t>. Any lump sum Salary or bonus payments under Sections 3(a)(i), 3(b)(i) and 3(b)(ii) will be provided on the first regularly scheduled payroll date of the Company following the date the Release becomes effective and irrevocable (the “</w:t>
      </w:r>
      <w:r>
        <w:rPr>
          <w:rFonts w:ascii="Times New Roman" w:hAnsi="Times New Roman"/>
          <w:b/>
          <w:color w:val="000000"/>
          <w:sz w:val="20"/>
        </w:rPr>
        <w:t>Severance Start Date</w:t>
      </w:r>
      <w:r>
        <w:rPr>
          <w:color w:val="000000"/>
        </w:rPr>
        <w:t>”</w:t>
      </w:r>
      <w:r>
        <w:rPr>
          <w:rFonts w:ascii="Times New Roman" w:hAnsi="Times New Roman"/>
          <w:color w:val="000000"/>
          <w:sz w:val="20"/>
        </w:rPr>
        <w:t>), subject to any delay required by Section 5(d) below. Any taxable installments of any COBRA-related severance benefits that otherwise would have been made to the Executive on or before the Severance Start Date will be paid on the Severance Start Date, and any remaining installments thereafter will be provided as specified in the Agreement. Any restricted stock units, performance shares, performance units, and/or similar full value awards that accelerate vesting under Section 3(b)(iv) will be settled (x) on a date no later than ten (10) days following the date the Release becomes effective and irrevocable, or (y) if later, in the event of a Qualifying Pre</w:t>
        <w:noBreakHyphen/>
        <w:t xml:space="preserve">CIC Termination, on a date no later than the Change in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u w:val="single"/>
        </w:rPr>
        <w:t>Return of Company Property</w:t>
      </w:r>
      <w:r>
        <w:rPr>
          <w:rFonts w:ascii="Times New Roman" w:hAnsi="Times New Roman"/>
          <w:color w:val="000000"/>
          <w:sz w:val="20"/>
        </w:rPr>
        <w:t xml:space="preserve">. The Executive’s receipt of any severance payments or benefits upon the Executive’s Qualifying Termination under Section 3 is subject to the Executive returning all documents and other property provided to the Executive by any member of the Company Group (with the exception of a copy of the Company employee handbook and personnel documents specifically relating to the Executive), developed or obtained by the Executive in connection with his or her employment with the Company Group, or otherwise belonging to the Company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color w:val="000000"/>
          <w:sz w:val="20"/>
          <w:u w:val="single"/>
        </w:rPr>
        <w:t>Section 409A</w:t>
      </w:r>
      <w:r>
        <w:rPr>
          <w:rFonts w:ascii="Times New Roman" w:hAnsi="Times New Roman"/>
          <w:color w:val="000000"/>
          <w:sz w:val="20"/>
        </w:rPr>
        <w:t>. The Company intends that all payments and benefits provided under this Agreement or otherwise are exempt from, or comply with, the requirements of Section 409A of the Code and any guidance promulgated under Section 409A of the Code (collectively, “</w:t>
      </w:r>
      <w:r>
        <w:rPr>
          <w:rFonts w:ascii="Times New Roman" w:hAnsi="Times New Roman"/>
          <w:b/>
          <w:color w:val="000000"/>
          <w:sz w:val="20"/>
        </w:rPr>
        <w:t>Section 409A</w:t>
      </w:r>
      <w:r>
        <w:rPr>
          <w:color w:val="000000"/>
        </w:rPr>
        <w:t>”</w:t>
      </w:r>
      <w:r>
        <w:rPr>
          <w:rFonts w:ascii="Times New Roman" w:hAnsi="Times New Roman"/>
          <w:color w:val="000000"/>
          <w:sz w:val="20"/>
        </w:rPr>
        <w:t>) so that none of the payments or benefits will be subject to the additional tax imposed under Section 409A, and any ambiguities in this Agreement will be interpreted in accordance with this intent. No payment or benefits to be paid to the Executive, if any, under this Agreement or otherwise, when considered together with any other severance payments or separation benefits that are considered deferred compensation under Section 409A (together, the “</w:t>
      </w:r>
      <w:r>
        <w:rPr>
          <w:rFonts w:ascii="Times New Roman" w:hAnsi="Times New Roman"/>
          <w:b/>
          <w:color w:val="000000"/>
          <w:sz w:val="20"/>
        </w:rPr>
        <w:t>Deferred Payments</w:t>
      </w:r>
      <w:r>
        <w:rPr>
          <w:color w:val="000000"/>
        </w:rPr>
        <w:t>”</w:t>
      </w:r>
      <w:r>
        <w:rPr>
          <w:rFonts w:ascii="Times New Roman" w:hAnsi="Times New Roman"/>
          <w:color w:val="000000"/>
          <w:sz w:val="20"/>
        </w:rPr>
        <w:t xml:space="preserve">) will be paid or otherwise provided until the Executive has a “separation from service” within the meaning of Section 409A. If, at the time of the Executive’s termination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- 3 -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0"/>
        </w:rPr>
        <w:t>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6 months and 1 day following the Executive’s termination of employment (or, if earlier, the date of the Executive’s death). Notwithstanding any other provision in this Agreement, each Deferred Payment which is conditioned upon Executive’s execution of the Release and which is to be paid or provided during a designated period that begins in one taxable year and ends in a second taxable year, shall be paid or provided in the later of the two taxable years. The Company reserves the right to amend this Agreement as it considers necessary or advisable, in its sole discretion and without the consent of the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reimburse, indemnify, or hold harmless the Executive for any taxes, penalties and interest that may be imposed, or other costs that may be incurred, as a result of Section 409A.</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u w:val="single"/>
        </w:rPr>
        <w:t>Resignation of Officer and Director Positions</w:t>
      </w:r>
      <w:r>
        <w:rPr>
          <w:rFonts w:ascii="Times New Roman" w:hAnsi="Times New Roman"/>
          <w:color w:val="000000"/>
          <w:sz w:val="20"/>
        </w:rPr>
        <w:t>. The Executive’s receipt of any severance payments or benefits upon the Executive’s Qualifying Termination under Section 3 is subject to the Executive resigning from all officer and director positions with all members of the Company Group and the Executive executing any documents the Company may require in connection with the same.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both"/>
        <w:rPr/>
      </w:pPr>
      <w:r>
        <w:rPr>
          <w:rFonts w:ascii="Times New Roman" w:hAnsi="Times New Roman"/>
          <w:color w:val="000000"/>
          <w:sz w:val="20"/>
          <w:u w:val="single"/>
        </w:rPr>
        <w:t>Limitation on Payments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Reduction of Severance Benefits</w:t>
      </w:r>
      <w:r>
        <w:rPr>
          <w:rFonts w:ascii="Times New Roman" w:hAnsi="Times New Roman"/>
          <w:color w:val="000000"/>
          <w:sz w:val="20"/>
        </w:rPr>
        <w:t>.</w:t>
      </w:r>
      <w:r>
        <w:rPr>
          <w:color w:val="000000"/>
        </w:rPr>
        <w:t xml:space="preserve"> </w:t>
      </w:r>
      <w:r>
        <w:rPr>
          <w:rFonts w:ascii="Times New Roman" w:hAnsi="Times New Roman"/>
          <w:color w:val="000000"/>
          <w:sz w:val="20"/>
        </w:rPr>
        <w:t>If any payment or benefit that the Executive would receive from any Company Group member or any other party whether in connection with the provisions in this Agreement or otherwise (the “</w:t>
      </w:r>
      <w:r>
        <w:rPr>
          <w:rFonts w:ascii="Times New Roman" w:hAnsi="Times New Roman"/>
          <w:b/>
          <w:color w:val="000000"/>
          <w:sz w:val="20"/>
        </w:rPr>
        <w:t>Payment</w:t>
      </w:r>
      <w:r>
        <w:rPr>
          <w:color w:val="000000"/>
        </w:rPr>
        <w:t>”</w:t>
      </w:r>
      <w:r>
        <w:rPr>
          <w:rFonts w:ascii="Times New Roman" w:hAnsi="Times New Roman"/>
          <w:color w:val="000000"/>
          <w:sz w:val="20"/>
        </w:rPr>
        <w:t>) would (i) constitute a “parachute payment” within the meaning of Section 280G of the Code and (ii) but for this sentence, be subject to the excise tax imposed by Section 4999 of the Code (the “</w:t>
      </w:r>
      <w:r>
        <w:rPr>
          <w:rFonts w:ascii="Times New Roman" w:hAnsi="Times New Roman"/>
          <w:b/>
          <w:color w:val="000000"/>
          <w:sz w:val="20"/>
        </w:rPr>
        <w:t>Excise Tax</w:t>
      </w:r>
      <w:r>
        <w:rPr>
          <w:color w:val="000000"/>
        </w:rPr>
        <w:t>”</w:t>
      </w:r>
      <w:r>
        <w:rPr>
          <w:rFonts w:ascii="Times New Roman" w:hAnsi="Times New Roman"/>
          <w:color w:val="000000"/>
          <w:sz w:val="20"/>
        </w:rPr>
        <w:t>), then the Payment will be equal to the Best Results Amount. The “</w:t>
      </w:r>
      <w:r>
        <w:rPr>
          <w:rFonts w:ascii="Times New Roman" w:hAnsi="Times New Roman"/>
          <w:b/>
          <w:color w:val="000000"/>
          <w:sz w:val="20"/>
        </w:rPr>
        <w:t>Best Results Amount</w:t>
      </w:r>
      <w:r>
        <w:rPr>
          <w:color w:val="000000"/>
        </w:rPr>
        <w:t xml:space="preserve">” </w:t>
      </w:r>
      <w:r>
        <w:rPr>
          <w:rFonts w:ascii="Times New Roman" w:hAnsi="Times New Roman"/>
          <w:color w:val="000000"/>
          <w:sz w:val="20"/>
        </w:rPr>
        <w:t>will be either (x) the full amount of 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including the Excise Tax, that is incurred as a result of the payments and benefits received under this Agreement, and the Executive will not be reimbursed, indemnified, or held harmless by any member of the Company Group for any of those payments of personal tax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Determination of Excise Tax Liability</w:t>
      </w:r>
      <w:r>
        <w:rPr>
          <w:rFonts w:ascii="Times New Roman" w:hAnsi="Times New Roman"/>
          <w:color w:val="000000"/>
          <w:sz w:val="20"/>
        </w:rPr>
        <w:t>.</w:t>
      </w:r>
      <w:r>
        <w:rPr>
          <w:color w:val="000000"/>
        </w:rPr>
        <w:t xml:space="preserve"> </w:t>
      </w:r>
      <w:r>
        <w:rPr>
          <w:rFonts w:ascii="Times New Roman" w:hAnsi="Times New Roman"/>
          <w:color w:val="000000"/>
          <w:sz w:val="20"/>
        </w:rPr>
        <w:t>Unless the Company and the Executive otherwise agree in writing, the Company will select a professional services firm (the “</w:t>
      </w:r>
      <w:r>
        <w:rPr>
          <w:rFonts w:ascii="Times New Roman" w:hAnsi="Times New Roman"/>
          <w:b/>
          <w:color w:val="000000"/>
          <w:sz w:val="20"/>
        </w:rPr>
        <w:t>Firm</w:t>
      </w:r>
      <w:r>
        <w:rPr>
          <w:color w:val="000000"/>
        </w:rPr>
        <w:t>”</w:t>
      </w:r>
      <w:r>
        <w:rPr>
          <w:rFonts w:ascii="Times New Roman" w:hAnsi="Times New Roman"/>
          <w:color w:val="000000"/>
          <w:sz w:val="20"/>
        </w:rPr>
        <w:t>) to make all determinations required under this Section 6, which determinations will be conclusive and binding upon the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reasonably may request in order to make determinations under this Section 6. The Company will bear the costs and make all payments for the Firm’s services in connection with any calculations contemplated by this Section 6.</w:t>
      </w:r>
      <w:r>
        <w:rPr>
          <w:color w:val="000000"/>
        </w:rPr>
        <w:t xml:space="preserve"> </w:t>
      </w:r>
      <w:r>
        <w:rPr>
          <w:rFonts w:ascii="Times New Roman" w:hAnsi="Times New Roman"/>
          <w:color w:val="000000"/>
          <w:sz w:val="20"/>
        </w:rPr>
        <w:t>The Company will have no liability to the Executive for the determinations of the Firm.</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- 4 -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both"/>
        <w:rPr/>
      </w:pPr>
      <w:r>
        <w:rPr>
          <w:rFonts w:ascii="Times New Roman" w:hAnsi="Times New Roman"/>
          <w:color w:val="000000"/>
          <w:sz w:val="20"/>
          <w:u w:val="single"/>
        </w:rPr>
        <w:t>Definitions</w:t>
      </w:r>
      <w:r>
        <w:rPr>
          <w:rFonts w:ascii="Times New Roman" w:hAnsi="Times New Roman"/>
          <w:color w:val="000000"/>
          <w:sz w:val="20"/>
        </w:rPr>
        <w:t>. The following terms referred to in this Agreement will have the following meanings: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color w:val="000000"/>
        </w:rPr>
        <w:t>“</w:t>
      </w:r>
      <w:r>
        <w:rPr>
          <w:rFonts w:ascii="Times New Roman" w:hAnsi="Times New Roman"/>
          <w:b/>
          <w:color w:val="000000"/>
          <w:sz w:val="20"/>
        </w:rPr>
        <w:t>Board</w:t>
      </w:r>
      <w:r>
        <w:rPr>
          <w:color w:val="000000"/>
        </w:rPr>
        <w:t xml:space="preserve">” </w:t>
      </w:r>
      <w:r>
        <w:rPr>
          <w:rFonts w:ascii="Times New Roman" w:hAnsi="Times New Roman"/>
          <w:color w:val="000000"/>
          <w:sz w:val="20"/>
        </w:rPr>
        <w:t>means the Company’s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color w:val="000000"/>
        </w:rPr>
        <w:t>“</w:t>
      </w:r>
      <w:r>
        <w:rPr>
          <w:rFonts w:ascii="Times New Roman" w:hAnsi="Times New Roman"/>
          <w:b/>
          <w:color w:val="000000"/>
          <w:sz w:val="20"/>
        </w:rPr>
        <w:t>Cause</w:t>
      </w:r>
      <w:r>
        <w:rPr>
          <w:color w:val="000000"/>
        </w:rPr>
        <w:t xml:space="preserve">” </w:t>
      </w:r>
      <w:r>
        <w:rPr>
          <w:rFonts w:ascii="Times New Roman" w:hAnsi="Times New Roman"/>
          <w:color w:val="000000"/>
          <w:sz w:val="20"/>
        </w:rPr>
        <w:t>means: (i) the Executive’s conviction of, or plea of guilty or nolo contendere to, a felony or a crime involving moral turpitude; (ii) the Executive’s admission or conviction of, or plea of guilty or nolo contendere to, an intentional act of fraud, embezzlement or theft in connection with your duties or in the course of employment with the Company Group; (iii) the Executive’s intentional wrongful damage to property of the Company Group; (iv) intentional unauthorized or wrongful use or disclosure of secret processes or of proprietary or confidential information of the Company Group (or any other party to whom the Executive owes an obligation of nonuse or nondisclosure as a result of the Executive’s employment relationship with the Company), including but not limited to trade secrets and customer lists; (iv) the Executive’s violation of any agreement not to compete with the Company Group or to solicit either its customers or employees on behalf of competitors while remaining employed with the Company Group; (v) the Executive’s intentional violation of any policy or policies regarding ethical conduct; (vi) an act of dishonesty made by the Executive in connection with the Executive’s responsibilities as an employee which materially harms the Company Group, or (vii) the Executive’s intentional or continued failure to perform the Executive’s duties with the Company Group, as determined in good faith by the Company after being provided with notice of such failure, such notice specifying in reasonable detail the tasks which must be accomplished and a timeline for the accomplishment to avoid termination for Cause, and an opportunity to cure within thirty (30) days of receipt of such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color w:val="000000"/>
        </w:rPr>
        <w:t>“</w:t>
      </w:r>
      <w:r>
        <w:rPr>
          <w:rFonts w:ascii="Times New Roman" w:hAnsi="Times New Roman"/>
          <w:b/>
          <w:color w:val="000000"/>
          <w:sz w:val="20"/>
        </w:rPr>
        <w:t>Change in Control</w:t>
      </w:r>
      <w:r>
        <w:rPr>
          <w:color w:val="000000"/>
        </w:rPr>
        <w:t xml:space="preserve">” </w:t>
      </w:r>
      <w:r>
        <w:rPr>
          <w:rFonts w:ascii="Times New Roman" w:hAnsi="Times New Roman"/>
          <w:color w:val="000000"/>
          <w:sz w:val="20"/>
        </w:rPr>
        <w:t>means the occurrence of any of the following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rPr>
        <w:t>A change in the ownership of the Company which occurs on the date that any one person, or more than one person acting as a group (“</w:t>
      </w:r>
      <w:r>
        <w:rPr>
          <w:rFonts w:ascii="Times New Roman" w:hAnsi="Times New Roman"/>
          <w:b/>
          <w:color w:val="000000"/>
          <w:sz w:val="20"/>
        </w:rPr>
        <w:t>Person</w:t>
      </w:r>
      <w:r>
        <w:rPr>
          <w:color w:val="000000"/>
        </w:rPr>
        <w:t>”</w:t>
      </w:r>
      <w:r>
        <w:rPr>
          <w:rFonts w:ascii="Times New Roman" w:hAnsi="Times New Roman"/>
          <w:color w:val="000000"/>
          <w:sz w:val="20"/>
        </w:rPr>
        <w:t xml:space="preserve">), acquires ownership of the stock of the Company that, together with the stock held by such Person, constitutes more than 50% of the total voting power of the stock of the Company; provided, however, that for purposes of this subsection, (A) the acquisition of additional stock by any one Person, who is considered to own more than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- 5 -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foregoing, to the extent required to comply with Section 409A, a transaction will not be deemed a Change in Control unless the transaction qualifies as a change in control event within the meaning of Section 409A.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color w:val="000000"/>
        </w:rPr>
        <w:t>“</w:t>
      </w:r>
      <w:r>
        <w:rPr>
          <w:rFonts w:ascii="Times New Roman" w:hAnsi="Times New Roman"/>
          <w:b/>
          <w:color w:val="000000"/>
          <w:sz w:val="20"/>
        </w:rPr>
        <w:t>Change in Control Period</w:t>
      </w:r>
      <w:r>
        <w:rPr>
          <w:color w:val="000000"/>
        </w:rPr>
        <w:t xml:space="preserve">” </w:t>
      </w:r>
      <w:r>
        <w:rPr>
          <w:rFonts w:ascii="Times New Roman" w:hAnsi="Times New Roman"/>
          <w:color w:val="000000"/>
          <w:sz w:val="20"/>
        </w:rPr>
        <w:t xml:space="preserve">means the period beginning three (3) months prior to a Change in Control and ending twelve (12) months following a Change in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color w:val="000000"/>
        </w:rPr>
        <w:t>“</w:t>
      </w:r>
      <w:r>
        <w:rPr>
          <w:rFonts w:ascii="Times New Roman" w:hAnsi="Times New Roman"/>
          <w:b/>
          <w:color w:val="000000"/>
          <w:sz w:val="20"/>
        </w:rPr>
        <w:t>COBRA</w:t>
      </w:r>
      <w:r>
        <w:rPr>
          <w:color w:val="000000"/>
        </w:rPr>
        <w:t xml:space="preserve">” </w:t>
      </w:r>
      <w:r>
        <w:rPr>
          <w:rFonts w:ascii="Times New Roman" w:hAnsi="Times New Roman"/>
          <w:color w:val="000000"/>
          <w:sz w:val="20"/>
        </w:rPr>
        <w:t xml:space="preserve">means the Consolidated Omnibus Budget Reconciliation Act of 1985, as amended.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color w:val="000000"/>
        </w:rPr>
        <w:t>“</w:t>
      </w:r>
      <w:r>
        <w:rPr>
          <w:rFonts w:ascii="Times New Roman" w:hAnsi="Times New Roman"/>
          <w:b/>
          <w:color w:val="000000"/>
          <w:sz w:val="20"/>
        </w:rPr>
        <w:t>Code</w:t>
      </w:r>
      <w:r>
        <w:rPr>
          <w:color w:val="000000"/>
        </w:rPr>
        <w:t xml:space="preserve">” </w:t>
      </w:r>
      <w:r>
        <w:rPr>
          <w:rFonts w:ascii="Times New Roman" w:hAnsi="Times New Roman"/>
          <w:color w:val="000000"/>
          <w:sz w:val="20"/>
        </w:rPr>
        <w:t>means the Internal Revenue Code of 1986,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color w:val="000000"/>
        </w:rPr>
        <w:t>“</w:t>
      </w:r>
      <w:r>
        <w:rPr>
          <w:rFonts w:ascii="Times New Roman" w:hAnsi="Times New Roman"/>
          <w:b/>
          <w:color w:val="000000"/>
          <w:sz w:val="20"/>
        </w:rPr>
        <w:t>Company Group</w:t>
      </w:r>
      <w:r>
        <w:rPr>
          <w:color w:val="000000"/>
        </w:rPr>
        <w:t xml:space="preserve">” </w:t>
      </w:r>
      <w:r>
        <w:rPr>
          <w:rFonts w:ascii="Times New Roman" w:hAnsi="Times New Roman"/>
          <w:color w:val="000000"/>
          <w:sz w:val="20"/>
        </w:rPr>
        <w:t>means the Company and its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color w:val="000000"/>
        </w:rPr>
        <w:t>“</w:t>
      </w:r>
      <w:r>
        <w:rPr>
          <w:rFonts w:ascii="Times New Roman" w:hAnsi="Times New Roman"/>
          <w:b/>
          <w:color w:val="000000"/>
          <w:sz w:val="20"/>
        </w:rPr>
        <w:t>Confidentiality Agreement</w:t>
      </w:r>
      <w:r>
        <w:rPr>
          <w:color w:val="000000"/>
        </w:rPr>
        <w:t xml:space="preserve">” </w:t>
      </w:r>
      <w:r>
        <w:rPr>
          <w:rFonts w:ascii="Times New Roman" w:hAnsi="Times New Roman"/>
          <w:color w:val="000000"/>
          <w:sz w:val="20"/>
        </w:rPr>
        <w:t>means the At-Will Employment, Confidential Information, Invention Assignment, Nonsolicitation, and Arbitration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color w:val="000000"/>
        </w:rPr>
        <w:t>“</w:t>
      </w:r>
      <w:r>
        <w:rPr>
          <w:rFonts w:ascii="Times New Roman" w:hAnsi="Times New Roman"/>
          <w:b/>
          <w:color w:val="000000"/>
          <w:sz w:val="20"/>
        </w:rPr>
        <w:t>Disability</w:t>
      </w:r>
      <w:r>
        <w:rPr>
          <w:color w:val="000000"/>
        </w:rPr>
        <w:t xml:space="preserve">” </w:t>
      </w:r>
      <w:r>
        <w:rPr>
          <w:rFonts w:ascii="Times New Roman" w:hAnsi="Times New Roman"/>
          <w:color w:val="000000"/>
          <w:sz w:val="20"/>
        </w:rPr>
        <w:t>means a total and permanent disability as defined in Section 22(e)(3)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240" w:after="283"/>
        <w:jc w:val="both"/>
        <w:rPr/>
      </w:pPr>
      <w:r>
        <w:rPr>
          <w:color w:val="000000"/>
        </w:rPr>
        <w:t>“</w:t>
      </w:r>
      <w:r>
        <w:rPr>
          <w:rFonts w:ascii="Times New Roman" w:hAnsi="Times New Roman"/>
          <w:b/>
          <w:color w:val="000000"/>
          <w:sz w:val="20"/>
        </w:rPr>
        <w:t>Good Reason</w:t>
      </w:r>
      <w:r>
        <w:rPr>
          <w:color w:val="000000"/>
        </w:rPr>
        <w:t xml:space="preserve">” </w:t>
      </w:r>
      <w:r>
        <w:rPr>
          <w:rFonts w:ascii="Times New Roman" w:hAnsi="Times New Roman"/>
          <w:color w:val="000000"/>
          <w:sz w:val="20"/>
        </w:rPr>
        <w:t>means the termination of the Executive’s employment with the Company Group by the Executive in accordance with the next sentence after the occurrence of one or more of the following events without the Executive’s express written consent: (i) a material reduction of the Executive’s duties, authorities, or responsibilities relative to the Executive’s duties, authorities, or responsibilities in effect immediately prior to the reduction; (ii) a reduction by a Company Group member in the Executive’s rate of annual base salary by more than 10%; (iii) a material change in the geographic location of the Executive’s primary work facility or location by more than thirty-five (35) miles from the Executive’s then present location; provided, that a relocation to a location that is within 35 miles from the Executive’s then-present primary residence will not be considered a material change in geographic location, or (iv) failure of a successor corporation to assume the obligations under this Agreement as contemplated by Section 8. In order for the termination of the Executive’s employment with a Company Group member to be for Good Reason, the Executive must not terminate employment without first providing written notice to the Company of the acts or omissions constituting the grounds for “Good Reason” within sixty (60) days of the initial existence of the grounds for “Good Reason” and a cure period of thirty (30) days following the date of written notice (the “</w:t>
      </w:r>
      <w:r>
        <w:rPr>
          <w:rFonts w:ascii="Times New Roman" w:hAnsi="Times New Roman"/>
          <w:b/>
          <w:color w:val="000000"/>
          <w:sz w:val="20"/>
        </w:rPr>
        <w:t>Cure Period</w:t>
      </w:r>
      <w:r>
        <w:rPr>
          <w:color w:val="000000"/>
        </w:rPr>
        <w:t>”</w:t>
      </w:r>
      <w:r>
        <w:rPr>
          <w:rFonts w:ascii="Times New Roman" w:hAnsi="Times New Roman"/>
          <w:color w:val="000000"/>
          <w:sz w:val="20"/>
        </w:rPr>
        <w:t>), the grounds must not have been cured during that time, and the Executive must terminate the Executive’s employment within thirty (30) days following the Cure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w:t>
      </w:r>
    </w:p>
    <w:p>
      <w:pPr>
        <w:pStyle w:val="TextBody"/>
        <w:bidi w:val="0"/>
        <w:spacing w:before="240" w:after="283"/>
        <w:jc w:val="both"/>
        <w:rPr/>
      </w:pPr>
      <w:r>
        <w:rPr>
          <w:color w:val="000000"/>
        </w:rPr>
        <w:t>“</w:t>
      </w:r>
      <w:r>
        <w:rPr>
          <w:rFonts w:ascii="Times New Roman" w:hAnsi="Times New Roman"/>
          <w:b/>
          <w:color w:val="000000"/>
          <w:sz w:val="20"/>
        </w:rPr>
        <w:t>Qualifying Pre</w:t>
        <w:noBreakHyphen/>
        <w:t>CIC Termination</w:t>
      </w:r>
      <w:r>
        <w:rPr>
          <w:color w:val="000000"/>
        </w:rPr>
        <w:t xml:space="preserve">” </w:t>
      </w:r>
      <w:r>
        <w:rPr>
          <w:rFonts w:ascii="Times New Roman" w:hAnsi="Times New Roman"/>
          <w:color w:val="000000"/>
          <w:sz w:val="20"/>
        </w:rPr>
        <w:t>means a Qualifying CIC Termination that occurs prior to the date of the Change in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w:t>
      </w:r>
    </w:p>
    <w:p>
      <w:pPr>
        <w:pStyle w:val="TextBody"/>
        <w:bidi w:val="0"/>
        <w:spacing w:before="240" w:after="283"/>
        <w:jc w:val="both"/>
        <w:rPr/>
      </w:pPr>
      <w:r>
        <w:rPr>
          <w:color w:val="000000"/>
        </w:rPr>
        <w:t>“</w:t>
      </w:r>
      <w:r>
        <w:rPr>
          <w:rFonts w:ascii="Times New Roman" w:hAnsi="Times New Roman"/>
          <w:b/>
          <w:color w:val="000000"/>
          <w:sz w:val="20"/>
        </w:rPr>
        <w:t>Qualifying Termination</w:t>
      </w:r>
      <w:r>
        <w:rPr>
          <w:color w:val="000000"/>
        </w:rPr>
        <w:t xml:space="preserve">” </w:t>
      </w:r>
      <w:r>
        <w:rPr>
          <w:rFonts w:ascii="Times New Roman" w:hAnsi="Times New Roman"/>
          <w:color w:val="000000"/>
          <w:sz w:val="20"/>
        </w:rPr>
        <w:t>means a termination of the Executive’s employment either (i) by a Company Group member without Cause (excluding by reason of Executive’s death or Disability) or (ii) by the Executive for Good Reason, in either case, during the Change in Control Period (a “</w:t>
      </w:r>
      <w:r>
        <w:rPr>
          <w:rFonts w:ascii="Times New Roman" w:hAnsi="Times New Roman"/>
          <w:b/>
          <w:color w:val="000000"/>
          <w:sz w:val="20"/>
        </w:rPr>
        <w:t>Qualifying CIC Termination</w:t>
      </w:r>
      <w:r>
        <w:rPr>
          <w:color w:val="000000"/>
        </w:rPr>
        <w:t>”</w:t>
      </w:r>
      <w:r>
        <w:rPr>
          <w:rFonts w:ascii="Times New Roman" w:hAnsi="Times New Roman"/>
          <w:color w:val="000000"/>
          <w:sz w:val="20"/>
        </w:rPr>
        <w:t>) or outside of the Change in Control Period (a “</w:t>
      </w:r>
      <w:r>
        <w:rPr>
          <w:rFonts w:ascii="Times New Roman" w:hAnsi="Times New Roman"/>
          <w:b/>
          <w:color w:val="000000"/>
          <w:sz w:val="20"/>
        </w:rPr>
        <w:t>Qualifying</w:t>
      </w:r>
      <w:r>
        <w:rPr>
          <w:color w:val="000000"/>
        </w:rPr>
        <w:t xml:space="preserve"> </w:t>
      </w:r>
      <w:r>
        <w:rPr>
          <w:rFonts w:ascii="Times New Roman" w:hAnsi="Times New Roman"/>
          <w:b/>
          <w:color w:val="000000"/>
          <w:sz w:val="20"/>
        </w:rPr>
        <w:t>Non-CIC Termination</w:t>
      </w:r>
      <w:r>
        <w:rPr>
          <w:color w:val="00000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w:t>
      </w:r>
    </w:p>
    <w:p>
      <w:pPr>
        <w:pStyle w:val="TextBody"/>
        <w:bidi w:val="0"/>
        <w:spacing w:before="240" w:after="283"/>
        <w:jc w:val="both"/>
        <w:rPr/>
      </w:pPr>
      <w:r>
        <w:rPr>
          <w:color w:val="000000"/>
        </w:rPr>
        <w:t>“</w:t>
      </w:r>
      <w:r>
        <w:rPr>
          <w:rFonts w:ascii="Times New Roman" w:hAnsi="Times New Roman"/>
          <w:b/>
          <w:color w:val="000000"/>
          <w:sz w:val="20"/>
        </w:rPr>
        <w:t>Salary</w:t>
      </w:r>
      <w:r>
        <w:rPr>
          <w:color w:val="000000"/>
        </w:rPr>
        <w:t xml:space="preserve">” </w:t>
      </w:r>
      <w:r>
        <w:rPr>
          <w:rFonts w:ascii="Times New Roman" w:hAnsi="Times New Roman"/>
          <w:color w:val="000000"/>
          <w:sz w:val="20"/>
        </w:rPr>
        <w:t xml:space="preserve">means the Executive’s annual base salary as in effect immediately prior to the Executive’s Qualifying Termination (or if the termination is due to a resignation for Good Reason based on a material reduction in base salary, then the Executive’s annual base salary in effect immediately prior to the reduction) or, if the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- 6 -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0"/>
        </w:rPr>
        <w:t>Executive’s Qualifying Termination is a Qualifying CIC Termination and the amount is greater, at the level in effect immediately prior to the Change in Control.</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both"/>
        <w:rPr/>
      </w:pPr>
      <w:r>
        <w:rPr>
          <w:rFonts w:ascii="Times New Roman" w:hAnsi="Times New Roman"/>
          <w:color w:val="000000"/>
          <w:sz w:val="20"/>
          <w:u w:val="single"/>
        </w:rPr>
        <w:t>Successors</w:t>
      </w:r>
      <w:r>
        <w:rPr>
          <w:rFonts w:ascii="Times New Roman" w:hAnsi="Times New Roman"/>
          <w:color w:val="000000"/>
          <w:sz w:val="20"/>
        </w:rPr>
        <w:t>. This Agreement will be binding upon and inure to the benefit of (a) the heirs, executors, and legal representatives of the Executive upon the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the Executive to receive any form of compensation payable pursuant to this Agreement may be assigned or transferred except by will or the laws of descent and distribution. Any other attempted assignment, transfer, conveyance, or other disposition of the Executive’s right to compensation or other benefits will be null and void.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both"/>
        <w:rPr/>
      </w:pPr>
      <w:r>
        <w:rPr>
          <w:rFonts w:ascii="Times New Roman" w:hAnsi="Times New Roman"/>
          <w:color w:val="000000"/>
          <w:sz w:val="20"/>
          <w:u w:val="single"/>
        </w:rPr>
        <w:t>Notice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General</w:t>
      </w:r>
      <w:r>
        <w:rPr>
          <w:rFonts w:ascii="Times New Roman" w:hAnsi="Times New Roman"/>
          <w:color w:val="000000"/>
          <w:sz w:val="20"/>
        </w:rPr>
        <w:t>. All notices and other communications required or permitted under this Agreement shall be in writing and will be effectively given (i) upon actual delivery to the party to be notified, (ii) upon transmission by email, (iii) twenty-four (24) hours after confirmed facsimile transmission, (iv) 1 business day after deposit with a recognized overnight courier, or (v) three (3) business days after deposit with the U.S. Postal Service by first class certified or registered mail, return receipt requested, postage prepaid, addressed (A) if to the Executive, at the address the Executive shall have most recently furnished to the Company in writing, (B) if to the Company, at the following address: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Outset Medical, Inc.</w:t>
      </w:r>
    </w:p>
    <w:p>
      <w:pPr>
        <w:pStyle w:val="TextBody"/>
        <w:bidi w:val="0"/>
        <w:jc w:val="both"/>
        <w:rPr>
          <w:rFonts w:ascii="Times New Roman" w:hAnsi="Times New Roman"/>
          <w:color w:val="000000"/>
          <w:sz w:val="20"/>
        </w:rPr>
      </w:pPr>
      <w:r>
        <w:rPr>
          <w:rFonts w:ascii="Times New Roman" w:hAnsi="Times New Roman"/>
          <w:color w:val="000000"/>
          <w:sz w:val="20"/>
        </w:rPr>
        <w:t>3052 Orchard Dr., San Jose, CA 95134</w:t>
      </w:r>
    </w:p>
    <w:p>
      <w:pPr>
        <w:pStyle w:val="TextBody"/>
        <w:bidi w:val="0"/>
        <w:jc w:val="both"/>
        <w:rPr>
          <w:rFonts w:ascii="Times New Roman" w:hAnsi="Times New Roman"/>
          <w:color w:val="000000"/>
          <w:sz w:val="20"/>
        </w:rPr>
      </w:pPr>
      <w:r>
        <w:rPr>
          <w:rFonts w:ascii="Times New Roman" w:hAnsi="Times New Roman"/>
          <w:color w:val="000000"/>
          <w:sz w:val="20"/>
        </w:rPr>
        <w:t>Attention: Chief People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Notice of Termination</w:t>
      </w:r>
      <w:r>
        <w:rPr>
          <w:rFonts w:ascii="Times New Roman" w:hAnsi="Times New Roman"/>
          <w:color w:val="000000"/>
          <w:sz w:val="20"/>
        </w:rPr>
        <w:t xml:space="preserve">. Any termination by a Company Group member for Cause will be communicated by a notice of termination to the Executive, and any termination by the Executive for Good Reason will be communicated by a notice of termination to the Company, in each case given in accordance with Section 9(a) 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both"/>
        <w:rPr/>
      </w:pPr>
      <w:r>
        <w:rPr>
          <w:rFonts w:ascii="Times New Roman" w:hAnsi="Times New Roman"/>
          <w:color w:val="000000"/>
          <w:sz w:val="20"/>
          <w:u w:val="single"/>
        </w:rPr>
        <w:t>Resignation</w:t>
      </w:r>
      <w:r>
        <w:rPr>
          <w:rFonts w:ascii="Times New Roman" w:hAnsi="Times New Roman"/>
          <w:color w:val="000000"/>
          <w:sz w:val="20"/>
        </w:rPr>
        <w:t>. 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the resignations.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both"/>
        <w:rPr/>
      </w:pPr>
      <w:r>
        <w:rPr>
          <w:rFonts w:ascii="Times New Roman" w:hAnsi="Times New Roman"/>
          <w:color w:val="000000"/>
          <w:sz w:val="20"/>
          <w:u w:val="single"/>
        </w:rPr>
        <w:t>Miscellaneous Provisions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No Duty to Mitigate</w:t>
      </w:r>
      <w:r>
        <w:rPr>
          <w:rFonts w:ascii="Times New Roman" w:hAnsi="Times New Roman"/>
          <w:color w:val="000000"/>
          <w:sz w:val="20"/>
        </w:rPr>
        <w:t>. The Executive will not be required to mitigate the amount of any payment contemplated by this Agreement, nor will any payment be reduced by any earnings that the Executive may receive from any other source except as specified in Section 3(e).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Waiver; Amendment</w:t>
      </w:r>
      <w:r>
        <w:rPr>
          <w:rFonts w:ascii="Times New Roman" w:hAnsi="Times New Roman"/>
          <w:color w:val="000000"/>
          <w:sz w:val="20"/>
        </w:rPr>
        <w:t>.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u w:val="single"/>
        </w:rPr>
        <w:t>Headings</w:t>
      </w:r>
      <w:r>
        <w:rPr>
          <w:rFonts w:ascii="Times New Roman" w:hAnsi="Times New Roman"/>
          <w:color w:val="000000"/>
          <w:sz w:val="20"/>
        </w:rPr>
        <w:t>. All captions and section headings used in this Agreement are for convenient reference only and do not form a part of this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- 7 -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color w:val="000000"/>
          <w:sz w:val="20"/>
          <w:u w:val="single"/>
        </w:rPr>
        <w:t>Entire Agreement</w:t>
      </w:r>
      <w:r>
        <w:rPr>
          <w:rFonts w:ascii="Times New Roman" w:hAnsi="Times New Roman"/>
          <w:color w:val="000000"/>
          <w:sz w:val="20"/>
        </w:rPr>
        <w:t xml:space="preserve">. This Agreement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severance policy or program, or equity award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u w:val="single"/>
        </w:rPr>
        <w:t>Protected Rights</w:t>
      </w:r>
      <w:r>
        <w:rPr>
          <w:rFonts w:ascii="Times New Roman" w:hAnsi="Times New Roman"/>
          <w:color w:val="000000"/>
          <w:sz w:val="20"/>
        </w:rPr>
        <w:t>. Nothing in this Agreement or any other agreement with a member of the Company Group shall prohibit or impede Executive from communicating, cooperating or filing a complaint with any U.S. federal, state or local governmental or law enforcement branch, agency or entity (collectively, a “</w:t>
      </w:r>
      <w:r>
        <w:rPr>
          <w:rFonts w:ascii="Times New Roman" w:hAnsi="Times New Roman"/>
          <w:color w:val="000000"/>
          <w:sz w:val="20"/>
          <w:u w:val="single"/>
        </w:rPr>
        <w:t>Governmental Entity</w:t>
      </w:r>
      <w:r>
        <w:rPr>
          <w:color w:val="000000"/>
        </w:rPr>
        <w:t>”</w:t>
      </w:r>
      <w:r>
        <w:rPr>
          <w:rFonts w:ascii="Times New Roman" w:hAnsi="Times New Roman"/>
          <w:color w:val="000000"/>
          <w:sz w:val="20"/>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Moreover, Executive is not required to give prior notice to (or get prior authorization from) the Company regarding any such communication or disclosure. Notwithstanding the foregoing, under no circumstance will Executive be authorized to disclose any information covered by attorney-client privilege or attorney work product of any member of the Company Group without prior written consent of Company’s General Counsel or other officer designated by the Company. Participant does not need the prior authorization of (or to give notice to) any member of the Company Group regarding any communication, disclosure, or activity permitted by this paragraph.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rFonts w:ascii="Times New Roman" w:hAnsi="Times New Roman"/>
          <w:color w:val="000000"/>
          <w:sz w:val="20"/>
          <w:u w:val="single"/>
        </w:rPr>
        <w:t>Choice of Law</w:t>
      </w:r>
      <w:r>
        <w:rPr>
          <w:rFonts w:ascii="Times New Roman" w:hAnsi="Times New Roman"/>
          <w:color w:val="000000"/>
          <w:sz w:val="20"/>
        </w:rPr>
        <w:t>. This Agreement will be governed by the laws of the State of California without regard to California’s conflicts of law rules that may result in the application of the laws of any jurisdiction other than California. To the extent that any lawsuit is permitted under this Agreement, Employee hereby expressly consents to the personal and exclusive jurisdiction and venue of the state and federal courts located in California for any lawsuit filed against the Executive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rFonts w:ascii="Times New Roman" w:hAnsi="Times New Roman"/>
          <w:color w:val="000000"/>
          <w:sz w:val="20"/>
          <w:u w:val="single"/>
        </w:rPr>
        <w:t>Arbitration</w:t>
      </w:r>
      <w:r>
        <w:rPr>
          <w:rFonts w:ascii="Times New Roman" w:hAnsi="Times New Roman"/>
          <w:color w:val="000000"/>
          <w:sz w:val="20"/>
        </w:rPr>
        <w:t>. Any and all controversies, claims, or disputes with anyone under this Agreement (including the Company and any employee, officer, director, stockholder or benefit plan of the Company in their capacity as such or otherwise) arising out of, relating to, or resulting from the Executive’s employment with the Company Group, shall be subject to arbitration in accordance with the provisions of the Confidentiality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rFonts w:ascii="Times New Roman" w:hAnsi="Times New Roman"/>
          <w:color w:val="000000"/>
          <w:sz w:val="20"/>
          <w:u w:val="single"/>
        </w:rPr>
        <w:t>Severability</w:t>
      </w:r>
      <w:r>
        <w:rPr>
          <w:rFonts w:ascii="Times New Roman" w:hAnsi="Times New Roman"/>
          <w:color w:val="000000"/>
          <w:sz w:val="20"/>
        </w:rPr>
        <w:t>. The invalidity or unenforceability of any provision or provisions of this Agreement will not affect the validity or enforceability of any other provision of this Agreement, which will remain in full force and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u w:val="single"/>
        </w:rPr>
        <w:t>Withholding</w:t>
      </w:r>
      <w:r>
        <w:rPr>
          <w:rFonts w:ascii="Times New Roman" w:hAnsi="Times New Roman"/>
          <w:color w:val="000000"/>
          <w:sz w:val="20"/>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240" w:after="283"/>
        <w:jc w:val="both"/>
        <w:rPr/>
      </w:pPr>
      <w:r>
        <w:rPr>
          <w:rFonts w:ascii="Times New Roman" w:hAnsi="Times New Roman"/>
          <w:color w:val="000000"/>
          <w:sz w:val="20"/>
          <w:u w:val="single"/>
        </w:rPr>
        <w:t>Counterparts</w:t>
      </w:r>
      <w:r>
        <w:rPr>
          <w:rFonts w:ascii="Times New Roman" w:hAnsi="Times New Roman"/>
          <w:color w:val="000000"/>
          <w:sz w:val="20"/>
        </w:rPr>
        <w:t>. This Agreement may be executed in counterparts, each of which will be deemed an original, but all of which together will constitute one and the same instrument.</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- 8 -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its signature below, each of the parties signifies its acceptance of the terms of this Agreement, in the case of the Company by its duly authorized officer.</w:t>
      </w:r>
    </w:p>
    <w:p>
      <w:pPr>
        <w:pStyle w:val="TextBody"/>
        <w:bidi w:val="0"/>
        <w:spacing w:before="240" w:after="283"/>
        <w:jc w:val="both"/>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COMPANY</w:t>
      </w:r>
      <w:r>
        <w:rPr>
          <w:rFonts w:ascii="Times New Roman" w:hAnsi="Times New Roman"/>
          <w:color w:val="000000"/>
          <w:sz w:val="20"/>
        </w:rPr>
        <w:t xml:space="preserve"> OUTSET MEDICAL,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Name: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EXECUTIVE </w:t>
      </w:r>
      <w:r>
        <w:rPr>
          <w:rFonts w:ascii="Times New Roman" w:hAnsi="Times New Roman"/>
          <w:color w:val="000000"/>
          <w:sz w:val="20"/>
        </w:rPr>
        <w:t xml:space="preserve">By: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Name: Leslie Trigg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- 9 -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om-ex10_12.htm"/>
      <w:bookmarkStart w:id="39" w:name="ksomex10_12"/>
      <w:bookmarkEnd w:id="38"/>
      <w:bookmarkEnd w:id="39"/>
      <w:r>
        <w:rPr>
          <w:rFonts w:ascii="Times New Roman" w:hAnsi="Times New Roman"/>
          <w:b/>
          <w:color w:val="000000"/>
          <w:sz w:val="20"/>
        </w:rPr>
        <w:t>Exhibit 10.12</w:t>
      </w:r>
      <w:r>
        <w:br w:type="page"/>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OUTSET MEDICAL, Inc.</w:t>
      </w:r>
    </w:p>
    <w:p>
      <w:pPr>
        <w:pStyle w:val="TextBody"/>
        <w:bidi w:val="0"/>
        <w:spacing w:before="240" w:after="283"/>
        <w:jc w:val="center"/>
        <w:rPr>
          <w:rFonts w:ascii="Times New Roman" w:hAnsi="Times New Roman"/>
          <w:sz w:val="20"/>
        </w:rPr>
      </w:pPr>
      <w:r>
        <w:rPr>
          <w:rFonts w:ascii="Times New Roman" w:hAnsi="Times New Roman"/>
          <w:b/>
          <w:color w:val="000000"/>
          <w:sz w:val="20"/>
        </w:rPr>
        <w:t>AMENDED AND RESTATED</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CHANGE IN CONTROL AND SEVERANCE AGREEMENT</w:t>
      </w:r>
    </w:p>
    <w:p>
      <w:pPr>
        <w:pStyle w:val="TextBody"/>
        <w:bidi w:val="0"/>
        <w:spacing w:before="240" w:after="283"/>
        <w:jc w:val="both"/>
        <w:rPr>
          <w:rFonts w:ascii="Times New Roman" w:hAnsi="Times New Roman"/>
          <w:sz w:val="20"/>
        </w:rPr>
      </w:pPr>
      <w:r>
        <w:rPr>
          <w:rFonts w:ascii="Times New Roman" w:hAnsi="Times New Roman"/>
          <w:color w:val="000000"/>
          <w:sz w:val="20"/>
        </w:rPr>
        <w:t>This Amended and Restated Change in Control and Severance Agreement (the “</w:t>
      </w:r>
      <w:r>
        <w:rPr>
          <w:rFonts w:ascii="Times New Roman" w:hAnsi="Times New Roman"/>
          <w:b/>
          <w:color w:val="000000"/>
          <w:sz w:val="20"/>
        </w:rPr>
        <w:t>Agreement</w:t>
      </w:r>
      <w:r>
        <w:rPr>
          <w:rFonts w:ascii="Times New Roman" w:hAnsi="Times New Roman"/>
          <w:color w:val="000000"/>
          <w:sz w:val="20"/>
        </w:rPr>
        <w:t>”) is made between Outset Medical, Inc. (the “</w:t>
      </w:r>
      <w:r>
        <w:rPr>
          <w:rFonts w:ascii="Times New Roman" w:hAnsi="Times New Roman"/>
          <w:b/>
          <w:color w:val="000000"/>
          <w:sz w:val="20"/>
        </w:rPr>
        <w:t>Company</w:t>
      </w:r>
      <w:r>
        <w:rPr>
          <w:rFonts w:ascii="Times New Roman" w:hAnsi="Times New Roman"/>
          <w:color w:val="000000"/>
          <w:sz w:val="20"/>
        </w:rPr>
        <w:t>”) and [ ] (the “</w:t>
      </w:r>
      <w:r>
        <w:rPr>
          <w:rFonts w:ascii="Times New Roman" w:hAnsi="Times New Roman"/>
          <w:b/>
          <w:color w:val="000000"/>
          <w:sz w:val="20"/>
        </w:rPr>
        <w:t>Executive</w:t>
      </w:r>
      <w:r>
        <w:rPr>
          <w:rFonts w:ascii="Times New Roman" w:hAnsi="Times New Roman"/>
          <w:color w:val="000000"/>
          <w:sz w:val="20"/>
        </w:rPr>
        <w:t>”), effective as of [_______], 2024 (the “</w:t>
      </w:r>
      <w:r>
        <w:rPr>
          <w:rFonts w:ascii="Times New Roman" w:hAnsi="Times New Roman"/>
          <w:b/>
          <w:color w:val="000000"/>
          <w:sz w:val="20"/>
        </w:rPr>
        <w:t>Effective Date</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color w:val="000000"/>
          <w:sz w:val="20"/>
        </w:rPr>
        <w:t>The Company and the Executive entered into a Change in Control and Severance Agreement, dated as of [______], 202[_] (the “</w:t>
      </w:r>
      <w:r>
        <w:rPr>
          <w:rFonts w:ascii="Times New Roman" w:hAnsi="Times New Roman"/>
          <w:b/>
          <w:color w:val="000000"/>
          <w:sz w:val="20"/>
        </w:rPr>
        <w:t>Prior Agreement</w:t>
      </w:r>
      <w:r>
        <w:rPr>
          <w:rFonts w:ascii="Times New Roman" w:hAnsi="Times New Roman"/>
          <w:color w:val="000000"/>
          <w:sz w:val="20"/>
        </w:rPr>
        <w:t xml:space="preserve">”). The Company desires to offer the Executive an amendment of the terms and conditions of the Prior Agreement, which is embodied in the terms and conditions of this Agreement as provided herein. This Agreement provides certain protections to the Executive in connection with a change in control of the Company or in connection with the involuntary termination of the Executive’s employment under the circumstances described in this Agreement and replaces the Prior Agreement in its entirety.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and the Executive agree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pPr>
      <w:r>
        <w:rPr>
          <w:rFonts w:ascii="Times New Roman" w:hAnsi="Times New Roman"/>
          <w:color w:val="000000"/>
          <w:sz w:val="20"/>
          <w:u w:val="single"/>
        </w:rPr>
        <w:t>Term of Agreement</w:t>
      </w:r>
      <w:r>
        <w:rPr>
          <w:rFonts w:ascii="Times New Roman" w:hAnsi="Times New Roman"/>
          <w:color w:val="000000"/>
          <w:sz w:val="20"/>
        </w:rPr>
        <w:t>. This Agreement will have an initial term of three (3) years commencing on the Effective Date (the “</w:t>
      </w:r>
      <w:r>
        <w:rPr>
          <w:rFonts w:ascii="Times New Roman" w:hAnsi="Times New Roman"/>
          <w:b/>
          <w:color w:val="000000"/>
          <w:sz w:val="20"/>
        </w:rPr>
        <w:t>Initial Term</w:t>
      </w:r>
      <w:r>
        <w:rPr>
          <w:color w:val="000000"/>
        </w:rPr>
        <w:t>”</w:t>
      </w:r>
      <w:r>
        <w:rPr>
          <w:rFonts w:ascii="Times New Roman" w:hAnsi="Times New Roman"/>
          <w:color w:val="000000"/>
          <w:sz w:val="20"/>
        </w:rPr>
        <w:t>). On the third (3</w:t>
      </w:r>
      <w:r>
        <w:rPr>
          <w:rFonts w:ascii="Times New Roman" w:hAnsi="Times New Roman"/>
          <w:color w:val="000000"/>
          <w:sz w:val="13"/>
        </w:rPr>
        <w:t>rd</w:t>
      </w:r>
      <w:r>
        <w:rPr>
          <w:rFonts w:ascii="Times New Roman" w:hAnsi="Times New Roman"/>
          <w:color w:val="000000"/>
          <w:sz w:val="20"/>
        </w:rPr>
        <w:t>) anniversary of the Effective Date, this Agreement will renew automatically for additional, one (1) year terms (each, an “</w:t>
      </w:r>
      <w:r>
        <w:rPr>
          <w:rFonts w:ascii="Times New Roman" w:hAnsi="Times New Roman"/>
          <w:b/>
          <w:color w:val="000000"/>
          <w:sz w:val="20"/>
        </w:rPr>
        <w:t>Additional Term</w:t>
      </w:r>
      <w:r>
        <w:rPr>
          <w:color w:val="000000"/>
        </w:rPr>
        <w:t>”</w:t>
      </w:r>
      <w:r>
        <w:rPr>
          <w:rFonts w:ascii="Times New Roman" w:hAnsi="Times New Roman"/>
          <w:color w:val="000000"/>
          <w:sz w:val="20"/>
        </w:rPr>
        <w:t>) unless either party provides the other party with written notice of nonrenewal at least one (1) year prior to the date of automatic renewal. Notwithstanding the foregoing, if a Change in Control occurs (a) when there are fewer than twelve (12) months remaining during the Initial Term or (b) during an Additional Term, the term of this Agreement will extend automatically through the date that is twelve (12) months following the date of the Change in Control. If the Executive becomes entitled to the benefits under Section 3 of this Agreement, then the Agreement will not terminate until all of the obligations of the parties hereto with respect to this Agreement have been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pPr>
      <w:r>
        <w:rPr>
          <w:rFonts w:ascii="Times New Roman" w:hAnsi="Times New Roman"/>
          <w:color w:val="000000"/>
          <w:sz w:val="20"/>
          <w:u w:val="single"/>
        </w:rPr>
        <w:t>At-Will Employment</w:t>
      </w:r>
      <w:r>
        <w:rPr>
          <w:rFonts w:ascii="Times New Roman" w:hAnsi="Times New Roman"/>
          <w:color w:val="000000"/>
          <w:sz w:val="20"/>
        </w:rPr>
        <w:t xml:space="preserve">. The Company and the Executive acknowledge that the Executive’s employment is and will continue to be at-will, as defined under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pPr>
      <w:r>
        <w:rPr>
          <w:rFonts w:ascii="Times New Roman" w:hAnsi="Times New Roman"/>
          <w:color w:val="000000"/>
          <w:sz w:val="20"/>
          <w:u w:val="single"/>
        </w:rPr>
        <w:t>Severance Benefits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Qualifying Non-CIC Termination</w:t>
      </w:r>
      <w:r>
        <w:rPr>
          <w:rFonts w:ascii="Times New Roman" w:hAnsi="Times New Roman"/>
          <w:color w:val="000000"/>
          <w:sz w:val="20"/>
        </w:rPr>
        <w:t>. On a Qualifying Non-CIC Termination (as defined below), the Executive will be eligible to receive the following payments and benefits from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u w:val="single"/>
        </w:rPr>
        <w:t>Salary Severance</w:t>
      </w:r>
      <w:r>
        <w:rPr>
          <w:rFonts w:ascii="Times New Roman" w:hAnsi="Times New Roman"/>
          <w:color w:val="000000"/>
          <w:sz w:val="20"/>
        </w:rPr>
        <w:t>. A single, lump sum payment equal to nine (9) months of the Executive’s Salary (as defined below), less applicable withholdings.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pPr>
      <w:r>
        <w:rPr>
          <w:rFonts w:ascii="Times New Roman" w:hAnsi="Times New Roman"/>
          <w:color w:val="000000"/>
          <w:sz w:val="20"/>
          <w:u w:val="single"/>
        </w:rPr>
        <w:t>COBRA Coverage</w:t>
      </w:r>
      <w:r>
        <w:rPr>
          <w:rFonts w:ascii="Times New Roman" w:hAnsi="Times New Roman"/>
          <w:color w:val="000000"/>
          <w:sz w:val="20"/>
        </w:rPr>
        <w:t>. Subject to Section 3(d), the Company will pay the premiums for coverage under COBRA (as defined below) for the Executive and the Executive’s eligible dependents, if any, at the rates then in effect, subject to any subsequent changes in rates that are generally applicable to the Company’s active employees (the “</w:t>
      </w:r>
      <w:r>
        <w:rPr>
          <w:rFonts w:ascii="Times New Roman" w:hAnsi="Times New Roman"/>
          <w:b/>
          <w:color w:val="000000"/>
          <w:sz w:val="20"/>
        </w:rPr>
        <w:t>COBRA Coverage</w:t>
      </w:r>
      <w:r>
        <w:rPr>
          <w:color w:val="000000"/>
        </w:rPr>
        <w:t>”</w:t>
      </w:r>
      <w:r>
        <w:rPr>
          <w:rFonts w:ascii="Times New Roman" w:hAnsi="Times New Roman"/>
          <w:color w:val="000000"/>
          <w:sz w:val="20"/>
        </w:rPr>
        <w:t xml:space="preserve">), until the earliest of (A) a period of nine (9) months from the date of the Executive’s termination of employment, (B) the date upon which the Executive (and the Executive’s eligible dependents, as applicable) becomes covered under similar plans, or (C) the date upon which the Executive ceases to be eligible for coverage under COBRA.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Qualifying CIC Termination</w:t>
      </w:r>
      <w:r>
        <w:rPr>
          <w:rFonts w:ascii="Times New Roman" w:hAnsi="Times New Roman"/>
          <w:color w:val="000000"/>
          <w:sz w:val="20"/>
        </w:rPr>
        <w:t xml:space="preserve">. On a Qualifying CIC Termination, the Executive will be eligible to receive the following payments and benefits from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u w:val="single"/>
        </w:rPr>
        <w:t>Salary Severance</w:t>
      </w:r>
      <w:r>
        <w:rPr>
          <w:rFonts w:ascii="Times New Roman" w:hAnsi="Times New Roman"/>
          <w:color w:val="000000"/>
          <w:sz w:val="20"/>
        </w:rPr>
        <w:t>. A single, lump sum payment, less applicable withholdings, equal to twelve (12) months of the Executive’s Salary (such total number of months, the “</w:t>
      </w:r>
      <w:r>
        <w:rPr>
          <w:rFonts w:ascii="Times New Roman" w:hAnsi="Times New Roman"/>
          <w:b/>
          <w:color w:val="000000"/>
          <w:sz w:val="20"/>
        </w:rPr>
        <w:t>Severance Period</w:t>
      </w:r>
      <w:r>
        <w:rPr>
          <w:color w:val="000000"/>
        </w:rPr>
        <w:t>”</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pPr>
      <w:r>
        <w:rPr>
          <w:rFonts w:ascii="Times New Roman" w:hAnsi="Times New Roman"/>
          <w:color w:val="000000"/>
          <w:sz w:val="20"/>
          <w:u w:val="single"/>
        </w:rPr>
        <w:t>Bonus Severance</w:t>
      </w:r>
      <w:r>
        <w:rPr>
          <w:rFonts w:ascii="Times New Roman" w:hAnsi="Times New Roman"/>
          <w:color w:val="000000"/>
          <w:sz w:val="20"/>
        </w:rPr>
        <w:t xml:space="preserve">. A single, lump sum payment equal to 100% of the Executive’s target annual bonus as in effect for the fiscal year in which the Qualifying CIC Termination occurs, less applicable withholdings.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both"/>
        <w:rPr/>
      </w:pPr>
      <w:r>
        <w:rPr>
          <w:rFonts w:ascii="Times New Roman" w:hAnsi="Times New Roman"/>
          <w:color w:val="000000"/>
          <w:sz w:val="20"/>
          <w:u w:val="single"/>
        </w:rPr>
        <w:t>COBRA Coverage</w:t>
      </w:r>
      <w:r>
        <w:rPr>
          <w:rFonts w:ascii="Times New Roman" w:hAnsi="Times New Roman"/>
          <w:color w:val="000000"/>
          <w:sz w:val="20"/>
        </w:rPr>
        <w:t>. Subject to Section 3(d), the Company will provide COBRA Coverage until the earliest of (A) a period of months from the date of the Executive’s termination of employment equal to the Severance Period, (B) the date upon which the Executive (and the Executive’s eligible dependents, as applicable) becomes covered under similar plans, or (C) the date upon which the Executive ceases to be eligible for coverage under COBRA.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240" w:after="283"/>
        <w:jc w:val="both"/>
        <w:rPr/>
      </w:pPr>
      <w:r>
        <w:rPr>
          <w:rFonts w:ascii="Times New Roman" w:hAnsi="Times New Roman"/>
          <w:color w:val="000000"/>
          <w:sz w:val="20"/>
          <w:u w:val="single"/>
        </w:rPr>
        <w:t>Equity Vesting Acceleration</w:t>
      </w:r>
      <w:r>
        <w:rPr>
          <w:rFonts w:ascii="Times New Roman" w:hAnsi="Times New Roman"/>
          <w:color w:val="000000"/>
          <w:sz w:val="20"/>
        </w:rPr>
        <w:t>. Vesting acceleration (and exercisability, as applicable) as to 100% of the then-unvested shares subject to each of the Executive’s then-outstanding Company equity awards. In the case of an equity award with performance-based vesting, unless the applicable equity award agreement governing such award provides for more favorable treatment, all performance goals and other vesting criteria will be deemed achieved at target. For the avoidance of doubt, in the event of the Executive’s Qualifying Pre</w:t>
        <w:noBreakHyphen/>
        <w:t>CIC Termination (as defined below), any unvested portion of the Executive’s then-outstanding equity awards will remain outstanding until the earlier of (x) three (3) months following the Qualifying Termination or (y) the occurrence of a Change in Control, solely so that any benefits due on a Qualifying Pre</w:t>
        <w:noBreakHyphen/>
        <w:t xml:space="preserve">CIC Termination can be provided if a Change in Control occurs within the three (3) month period following the Qualifying Termination (provided that in no event will the Executive’s stock options or similar equity awards remain outstanding beyond the equity award’s maximum term to expiration). If no Change in Control occurs within the three (3) month period following a Qualifying Termination, any unvested portion of the Executive’s equity awards automatically and permanently will be forfeited on the three (3) month anniversary following the date of the Qualifying Termination without having vested.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u w:val="single"/>
        </w:rPr>
        <w:t>Termination Other Than a Qualifying Termination</w:t>
      </w:r>
      <w:r>
        <w:rPr>
          <w:rFonts w:ascii="Times New Roman" w:hAnsi="Times New Roman"/>
          <w:color w:val="000000"/>
          <w:sz w:val="20"/>
        </w:rPr>
        <w:t>. If the termination of the Executive’s employment with the Company Group is not a Qualifying Termination, then the Executive will not be entitled to receive severance or other benefits.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color w:val="000000"/>
          <w:sz w:val="20"/>
          <w:u w:val="single"/>
        </w:rPr>
        <w:t>Conditions to Receipt of COBRA Coverage</w:t>
      </w:r>
      <w:r>
        <w:rPr>
          <w:rFonts w:ascii="Times New Roman" w:hAnsi="Times New Roman"/>
          <w:color w:val="000000"/>
          <w:sz w:val="20"/>
        </w:rPr>
        <w:t>. The Executive’s receipt of COBRA Coverage is subject to the Executive electing COBRA continuation coverage within the time period prescribed pursuant to COBRA for the Executive and the Executive’s eligible dependents, if any. If the Company determines in its sole discretion that it cannot provide the COBRA Coverage without potentially violating, or being subject to an excise tax under, applicable law (including, without limitation, Section 2716 of the Public Health Service Act), then in lieu of any COBRA Coverage, the Company will provide to the Executive a taxable monthly payment payable on the last day of a given month (except as provided by the immediately following sentence), in an amount equal to the monthly COBRA premium that the Executive would be required to pay to continue his or her group health coverage in effect on the date of his or her Qualifying Termination (which amount will be based on the premium rates applicable for the first month of COBRA Coverage for the Executive and any of eligible dependents of the Executive) (each, a “</w:t>
      </w:r>
      <w:r>
        <w:rPr>
          <w:rFonts w:ascii="Times New Roman" w:hAnsi="Times New Roman"/>
          <w:b/>
          <w:color w:val="000000"/>
          <w:sz w:val="20"/>
        </w:rPr>
        <w:t>COBRA Replacement Payment</w:t>
      </w:r>
      <w:r>
        <w:rPr>
          <w:color w:val="000000"/>
        </w:rPr>
        <w:t>”</w:t>
      </w:r>
      <w:r>
        <w:rPr>
          <w:rFonts w:ascii="Times New Roman" w:hAnsi="Times New Roman"/>
          <w:color w:val="000000"/>
          <w:sz w:val="20"/>
        </w:rPr>
        <w:t>), which COBRA Replacement Payments will be made regardless of whether the Executive elects COBRA continuation coverage and will end on the earlier of (x) the date upon which the Executive obtains other employment or (y) the date the Company has paid an amount totaling the number of COBRA Replacement Payments equal to the number of months in the applicable COBRA Coverage period.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the Executive will not receive the COBRA Replacement Payments or any further COBRA Coverage.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u w:val="single"/>
        </w:rPr>
        <w:t>Non-Duplication of Payment or Benefits</w:t>
      </w:r>
      <w:r>
        <w:rPr>
          <w:rFonts w:ascii="Times New Roman" w:hAnsi="Times New Roman"/>
          <w:color w:val="000000"/>
          <w:sz w:val="20"/>
        </w:rPr>
        <w:t>. For purposes of clarity, in the event of a Qualifying Pre</w:t>
        <w:noBreakHyphen/>
        <w:t>CIC Termination, any severance payments and benefits to be provided to the Executive under Section 3(b) will be reduced by any amounts that already were provided to the Executive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w:t>
      </w:r>
      <w:r>
        <w:rPr>
          <w:rFonts w:ascii="Times New Roman" w:hAnsi="Times New Roman"/>
          <w:b/>
          <w:color w:val="000000"/>
          <w:sz w:val="20"/>
        </w:rPr>
        <w:t>Other Benefits</w:t>
      </w:r>
      <w:r>
        <w:rPr>
          <w:color w:val="000000"/>
        </w:rPr>
        <w:t>”</w:t>
      </w:r>
      <w:r>
        <w:rPr>
          <w:rFonts w:ascii="Times New Roman" w:hAnsi="Times New Roman"/>
          <w:color w:val="000000"/>
          <w:sz w:val="20"/>
        </w:rPr>
        <w:t xml:space="preserve">), then the corresponding severance payments and benefits under this Agreement will be reduced by the amount of Other Benefits paid or provided to the Executive.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- 2 -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rFonts w:ascii="Times New Roman" w:hAnsi="Times New Roman"/>
          <w:color w:val="000000"/>
          <w:sz w:val="20"/>
          <w:u w:val="single"/>
        </w:rPr>
        <w:t>Death of the Executive</w:t>
      </w:r>
      <w:r>
        <w:rPr>
          <w:rFonts w:ascii="Times New Roman" w:hAnsi="Times New Roman"/>
          <w:color w:val="000000"/>
          <w:sz w:val="20"/>
        </w:rPr>
        <w:t>. In the event of the Executive’s death before all payments or benefits the Executive is entitled to receive under this Agreement have been provided, the unpaid amounts will be provided to the Executive’s designated beneficiary, if living, or otherwise to the Executive’s personal representative in a single lump sum as soon as possible following the Executive’s death.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rFonts w:ascii="Times New Roman" w:hAnsi="Times New Roman"/>
          <w:color w:val="000000"/>
          <w:sz w:val="20"/>
          <w:u w:val="single"/>
        </w:rPr>
        <w:t>Transfer Between Members of the Company Group</w:t>
      </w:r>
      <w:r>
        <w:rPr>
          <w:rFonts w:ascii="Times New Roman" w:hAnsi="Times New Roman"/>
          <w:color w:val="000000"/>
          <w:sz w:val="20"/>
        </w:rPr>
        <w:t>. For purposes of this Agreement, if the Executive is involuntarily transferred from one member of the Company Group to another, the transfer will not be a termination without Cause but may give the Executive the ability to resign for Good Reason.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rFonts w:ascii="Times New Roman" w:hAnsi="Times New Roman"/>
          <w:color w:val="000000"/>
          <w:sz w:val="20"/>
          <w:u w:val="single"/>
        </w:rPr>
        <w:t>Exclusive Remedy</w:t>
      </w:r>
      <w:r>
        <w:rPr>
          <w:rFonts w:ascii="Times New Roman" w:hAnsi="Times New Roman"/>
          <w:color w:val="000000"/>
          <w:sz w:val="20"/>
        </w:rPr>
        <w:t>.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pPr>
      <w:r>
        <w:rPr>
          <w:rFonts w:ascii="Times New Roman" w:hAnsi="Times New Roman"/>
          <w:color w:val="000000"/>
          <w:sz w:val="20"/>
          <w:u w:val="single"/>
        </w:rPr>
        <w:t>Accrued Compensation</w:t>
      </w:r>
      <w:r>
        <w:rPr>
          <w:rFonts w:ascii="Times New Roman" w:hAnsi="Times New Roman"/>
          <w:color w:val="000000"/>
          <w:sz w:val="20"/>
        </w:rPr>
        <w:t>. On any termination of the Executive’s employment with the Company Group, the Executive will be entitled to receive all accrued but unpaid vacation, expense reimbursements, wages, and other benefits due to the Executive under any Company-provided plans, policies, and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pPr>
      <w:r>
        <w:rPr>
          <w:rFonts w:ascii="Times New Roman" w:hAnsi="Times New Roman"/>
          <w:color w:val="000000"/>
          <w:sz w:val="20"/>
          <w:u w:val="single"/>
        </w:rPr>
        <w:t>Conditions to Receipt of Severance</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Separation Agreement and Release of Claims</w:t>
      </w:r>
      <w:r>
        <w:rPr>
          <w:rFonts w:ascii="Times New Roman" w:hAnsi="Times New Roman"/>
          <w:color w:val="000000"/>
          <w:sz w:val="20"/>
        </w:rPr>
        <w:t>. The Executive’s receipt of any severance payments or benefits upon the Executive’s Qualifying Termination under Section 3 is subject to the Executive signing and not revoking the Company’s then-standard separation agreement and release of claims (which may include an agreement not to disparage any member of the Company Group, non-solicit provisions, an agreement to assist in any litigation matters, and other standard terms and conditions) (the “</w:t>
      </w:r>
      <w:r>
        <w:rPr>
          <w:rFonts w:ascii="Times New Roman" w:hAnsi="Times New Roman"/>
          <w:b/>
          <w:color w:val="000000"/>
          <w:sz w:val="20"/>
        </w:rPr>
        <w:t>Release</w:t>
      </w:r>
      <w:r>
        <w:rPr>
          <w:color w:val="000000"/>
        </w:rPr>
        <w:t xml:space="preserve">” </w:t>
      </w:r>
      <w:r>
        <w:rPr>
          <w:rFonts w:ascii="Times New Roman" w:hAnsi="Times New Roman"/>
          <w:color w:val="000000"/>
          <w:sz w:val="20"/>
        </w:rPr>
        <w:t>and that requirement, the “</w:t>
      </w:r>
      <w:r>
        <w:rPr>
          <w:rFonts w:ascii="Times New Roman" w:hAnsi="Times New Roman"/>
          <w:b/>
          <w:color w:val="000000"/>
          <w:sz w:val="20"/>
        </w:rPr>
        <w:t>Release Requirement</w:t>
      </w:r>
      <w:r>
        <w:rPr>
          <w:color w:val="000000"/>
        </w:rPr>
        <w:t>”</w:t>
      </w:r>
      <w:r>
        <w:rPr>
          <w:rFonts w:ascii="Times New Roman" w:hAnsi="Times New Roman"/>
          <w:color w:val="000000"/>
          <w:sz w:val="20"/>
        </w:rPr>
        <w:t>), which must become effective and irrevocable no later than the sixtieth (60</w:t>
      </w:r>
      <w:r>
        <w:rPr>
          <w:rFonts w:ascii="Times New Roman" w:hAnsi="Times New Roman"/>
          <w:color w:val="000000"/>
          <w:sz w:val="13"/>
        </w:rPr>
        <w:t>th</w:t>
      </w:r>
      <w:r>
        <w:rPr>
          <w:rFonts w:ascii="Times New Roman" w:hAnsi="Times New Roman"/>
          <w:color w:val="000000"/>
          <w:sz w:val="20"/>
        </w:rPr>
        <w:t>) day following the Executive’s Qualifying Termination (the “</w:t>
      </w:r>
      <w:r>
        <w:rPr>
          <w:rFonts w:ascii="Times New Roman" w:hAnsi="Times New Roman"/>
          <w:b/>
          <w:color w:val="000000"/>
          <w:sz w:val="20"/>
        </w:rPr>
        <w:t>Release Deadline</w:t>
      </w:r>
      <w:r>
        <w:rPr>
          <w:color w:val="000000"/>
        </w:rPr>
        <w:t>”</w:t>
      </w:r>
      <w:r>
        <w:rPr>
          <w:rFonts w:ascii="Times New Roman" w:hAnsi="Times New Roman"/>
          <w:color w:val="000000"/>
          <w:sz w:val="20"/>
        </w:rPr>
        <w:t>). If the Release does not become effective and irrevocable by the Release Deadline, the Executive will forfeit any right to severance payments or benefits under Section 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Payment Timing</w:t>
      </w:r>
      <w:r>
        <w:rPr>
          <w:rFonts w:ascii="Times New Roman" w:hAnsi="Times New Roman"/>
          <w:color w:val="000000"/>
          <w:sz w:val="20"/>
        </w:rPr>
        <w:t>. Any lump sum Salary or bonus payments under Sections 3(a)(i), 3(b)(i) and 3(b)(ii) will be provided on the first regularly scheduled payroll date of the Company following the date the Release becomes effective and irrevocable (the “</w:t>
      </w:r>
      <w:r>
        <w:rPr>
          <w:rFonts w:ascii="Times New Roman" w:hAnsi="Times New Roman"/>
          <w:b/>
          <w:color w:val="000000"/>
          <w:sz w:val="20"/>
        </w:rPr>
        <w:t>Severance Start Date</w:t>
      </w:r>
      <w:r>
        <w:rPr>
          <w:color w:val="000000"/>
        </w:rPr>
        <w:t>”</w:t>
      </w:r>
      <w:r>
        <w:rPr>
          <w:rFonts w:ascii="Times New Roman" w:hAnsi="Times New Roman"/>
          <w:color w:val="000000"/>
          <w:sz w:val="20"/>
        </w:rPr>
        <w:t>), subject to any delay required by Section 5(d) below. Any taxable installments of any COBRA-related severance benefits that otherwise would have been made to the Executive on or before the Severance Start Date will be paid on the Severance Start Date, and any remaining installments thereafter will be provided as specified in the Agreement. Any restricted stock units, performance shares, performance units, and/or similar full value awards that accelerate vesting under Section 3(b)(iv) will be settled (x) on a date no later than ten (10) days following the date the Release becomes effective and irrevocable, or (y) if later, in the event of a Qualifying Pre</w:t>
        <w:noBreakHyphen/>
        <w:t xml:space="preserve">CIC Termination, on a date no later than the Change in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u w:val="single"/>
        </w:rPr>
        <w:t>Return of Company Property</w:t>
      </w:r>
      <w:r>
        <w:rPr>
          <w:rFonts w:ascii="Times New Roman" w:hAnsi="Times New Roman"/>
          <w:color w:val="000000"/>
          <w:sz w:val="20"/>
        </w:rPr>
        <w:t xml:space="preserve">. The Executive’s receipt of any severance payments or benefits upon the Executive’s Qualifying Termination under Section 3 is subject to the Executive returning all documents and other property provided to the Executive by any member of the Company Group (with the exception of a copy of the Company employee handbook and personnel documents specifically relating to the Executive), developed or obtained by the Executive in connection with his or her employment with the Company Group, or otherwise belonging to the Company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color w:val="000000"/>
          <w:sz w:val="20"/>
          <w:u w:val="single"/>
        </w:rPr>
        <w:t>Section 409A</w:t>
      </w:r>
      <w:r>
        <w:rPr>
          <w:rFonts w:ascii="Times New Roman" w:hAnsi="Times New Roman"/>
          <w:color w:val="000000"/>
          <w:sz w:val="20"/>
        </w:rPr>
        <w:t>. The Company intends that all payments and benefits provided under this Agreement or otherwise are exempt from, or comply with, the requirements of Section 409A of the Code and any guidance promulgated under Section 409A of the Code (collectively, “</w:t>
      </w:r>
      <w:r>
        <w:rPr>
          <w:rFonts w:ascii="Times New Roman" w:hAnsi="Times New Roman"/>
          <w:b/>
          <w:color w:val="000000"/>
          <w:sz w:val="20"/>
        </w:rPr>
        <w:t>Section 409A</w:t>
      </w:r>
      <w:r>
        <w:rPr>
          <w:color w:val="000000"/>
        </w:rPr>
        <w:t>”</w:t>
      </w:r>
      <w:r>
        <w:rPr>
          <w:rFonts w:ascii="Times New Roman" w:hAnsi="Times New Roman"/>
          <w:color w:val="000000"/>
          <w:sz w:val="20"/>
        </w:rPr>
        <w:t>) so that none of the payments or benefits will be subject to the additional tax imposed under Section 409A, and any ambiguities in this Agreement will be interpreted in accordance with this intent. No payment or benefits to be paid to the Executive, if any, under this Agreement or otherwise, when considered together with any other severance payments or separation benefits that are considered deferred compensation under Section 409A (together, the “</w:t>
      </w:r>
      <w:r>
        <w:rPr>
          <w:rFonts w:ascii="Times New Roman" w:hAnsi="Times New Roman"/>
          <w:b/>
          <w:color w:val="000000"/>
          <w:sz w:val="20"/>
        </w:rPr>
        <w:t>Deferred Payments</w:t>
      </w:r>
      <w:r>
        <w:rPr>
          <w:color w:val="000000"/>
        </w:rPr>
        <w:t>”</w:t>
      </w:r>
      <w:r>
        <w:rPr>
          <w:rFonts w:ascii="Times New Roman" w:hAnsi="Times New Roman"/>
          <w:color w:val="000000"/>
          <w:sz w:val="20"/>
        </w:rPr>
        <w:t xml:space="preserve">) will be paid or otherwise provided until the Executive has a “separation from service” within the meaning of Section 409A. If, at the time of the Executive’s termination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- 3 -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0"/>
        </w:rPr>
        <w:t>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6 months and 1 day following the Executive’s termination of employment (or, if earlier, the date of the Executive’s death). Notwithstanding any other provision in this Agreement, each Deferred Payment which is conditioned upon Executive’s execution of the Release and which is to be paid or provided during a designated period that begins in one taxable year and ends in a second taxable year, shall be paid or provided in the later of the two taxable years. The Company reserves the right to amend this Agreement as it considers necessary or advisable, in its sole discretion and without the consent of the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reimburse, indemnify, or hold harmless the Executive for any taxes, penalties and interest that may be imposed, or other costs that may be incurred, as a result of Section 409A.</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u w:val="single"/>
        </w:rPr>
        <w:t>Resignation of Officer and Director Positions</w:t>
      </w:r>
      <w:r>
        <w:rPr>
          <w:rFonts w:ascii="Times New Roman" w:hAnsi="Times New Roman"/>
          <w:color w:val="000000"/>
          <w:sz w:val="20"/>
        </w:rPr>
        <w:t>. The Executive’s receipt of any severance payments or benefits upon the Executive’s Qualifying Termination under Section 3 is subject to the Executive resigning from all officer and director positions with all members of the Company Group and the Executive executing any documents the Company may require in connection with the same.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both"/>
        <w:rPr/>
      </w:pPr>
      <w:r>
        <w:rPr>
          <w:rFonts w:ascii="Times New Roman" w:hAnsi="Times New Roman"/>
          <w:color w:val="000000"/>
          <w:sz w:val="20"/>
          <w:u w:val="single"/>
        </w:rPr>
        <w:t>Limitation on Payments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Reduction of Severance Benefits</w:t>
      </w:r>
      <w:r>
        <w:rPr>
          <w:rFonts w:ascii="Times New Roman" w:hAnsi="Times New Roman"/>
          <w:color w:val="000000"/>
          <w:sz w:val="20"/>
        </w:rPr>
        <w:t>.</w:t>
      </w:r>
      <w:r>
        <w:rPr>
          <w:color w:val="000000"/>
        </w:rPr>
        <w:t xml:space="preserve"> </w:t>
      </w:r>
      <w:r>
        <w:rPr>
          <w:rFonts w:ascii="Times New Roman" w:hAnsi="Times New Roman"/>
          <w:color w:val="000000"/>
          <w:sz w:val="20"/>
        </w:rPr>
        <w:t>If any payment or benefit that the Executive would receive from any Company Group member or any other party whether in connection with the provisions in this Agreement or otherwise (the “</w:t>
      </w:r>
      <w:r>
        <w:rPr>
          <w:rFonts w:ascii="Times New Roman" w:hAnsi="Times New Roman"/>
          <w:b/>
          <w:color w:val="000000"/>
          <w:sz w:val="20"/>
        </w:rPr>
        <w:t>Payment</w:t>
      </w:r>
      <w:r>
        <w:rPr>
          <w:color w:val="000000"/>
        </w:rPr>
        <w:t>”</w:t>
      </w:r>
      <w:r>
        <w:rPr>
          <w:rFonts w:ascii="Times New Roman" w:hAnsi="Times New Roman"/>
          <w:color w:val="000000"/>
          <w:sz w:val="20"/>
        </w:rPr>
        <w:t>) would (i) constitute a “parachute payment” within the meaning of Section 280G of the Code and (ii) but for this sentence, be subject to the excise tax imposed by Section 4999 of the Code (the “</w:t>
      </w:r>
      <w:r>
        <w:rPr>
          <w:rFonts w:ascii="Times New Roman" w:hAnsi="Times New Roman"/>
          <w:b/>
          <w:color w:val="000000"/>
          <w:sz w:val="20"/>
        </w:rPr>
        <w:t>Excise Tax</w:t>
      </w:r>
      <w:r>
        <w:rPr>
          <w:color w:val="000000"/>
        </w:rPr>
        <w:t>”</w:t>
      </w:r>
      <w:r>
        <w:rPr>
          <w:rFonts w:ascii="Times New Roman" w:hAnsi="Times New Roman"/>
          <w:color w:val="000000"/>
          <w:sz w:val="20"/>
        </w:rPr>
        <w:t>), then the Payment will be equal to the Best Results Amount. The “</w:t>
      </w:r>
      <w:r>
        <w:rPr>
          <w:rFonts w:ascii="Times New Roman" w:hAnsi="Times New Roman"/>
          <w:b/>
          <w:color w:val="000000"/>
          <w:sz w:val="20"/>
        </w:rPr>
        <w:t>Best Results Amount</w:t>
      </w:r>
      <w:r>
        <w:rPr>
          <w:color w:val="000000"/>
        </w:rPr>
        <w:t xml:space="preserve">” </w:t>
      </w:r>
      <w:r>
        <w:rPr>
          <w:rFonts w:ascii="Times New Roman" w:hAnsi="Times New Roman"/>
          <w:color w:val="000000"/>
          <w:sz w:val="20"/>
        </w:rPr>
        <w:t>will be either (x) the full amount of 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including the Excise Tax, that is incurred as a result of the payments and benefits received under this Agreement, and the Executive will not be reimbursed, indemnified, or held harmless by any member of the Company Group for any of those payments of personal tax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Determination of Excise Tax Liability</w:t>
      </w:r>
      <w:r>
        <w:rPr>
          <w:rFonts w:ascii="Times New Roman" w:hAnsi="Times New Roman"/>
          <w:color w:val="000000"/>
          <w:sz w:val="20"/>
        </w:rPr>
        <w:t>.</w:t>
      </w:r>
      <w:r>
        <w:rPr>
          <w:color w:val="000000"/>
        </w:rPr>
        <w:t xml:space="preserve"> </w:t>
      </w:r>
      <w:r>
        <w:rPr>
          <w:rFonts w:ascii="Times New Roman" w:hAnsi="Times New Roman"/>
          <w:color w:val="000000"/>
          <w:sz w:val="20"/>
        </w:rPr>
        <w:t>Unless the Company and the Executive otherwise agree in writing, the Company will select a professional services firm (the “</w:t>
      </w:r>
      <w:r>
        <w:rPr>
          <w:rFonts w:ascii="Times New Roman" w:hAnsi="Times New Roman"/>
          <w:b/>
          <w:color w:val="000000"/>
          <w:sz w:val="20"/>
        </w:rPr>
        <w:t>Firm</w:t>
      </w:r>
      <w:r>
        <w:rPr>
          <w:color w:val="000000"/>
        </w:rPr>
        <w:t>”</w:t>
      </w:r>
      <w:r>
        <w:rPr>
          <w:rFonts w:ascii="Times New Roman" w:hAnsi="Times New Roman"/>
          <w:color w:val="000000"/>
          <w:sz w:val="20"/>
        </w:rPr>
        <w:t>) to make all determinations required under this Section 6, which determinations will be conclusive and binding upon the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reasonably may request in order to make determinations under this Section 6. The Company will bear the costs and make all payments for the Firm’s services in connection with any calculations contemplated by this Section 6.</w:t>
      </w:r>
      <w:r>
        <w:rPr>
          <w:color w:val="000000"/>
        </w:rPr>
        <w:t xml:space="preserve"> </w:t>
      </w:r>
      <w:r>
        <w:rPr>
          <w:rFonts w:ascii="Times New Roman" w:hAnsi="Times New Roman"/>
          <w:color w:val="000000"/>
          <w:sz w:val="20"/>
        </w:rPr>
        <w:t>The Company will have no liability to the Executive for the determinations of the Firm.</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- 4 -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both"/>
        <w:rPr/>
      </w:pPr>
      <w:r>
        <w:rPr>
          <w:rFonts w:ascii="Times New Roman" w:hAnsi="Times New Roman"/>
          <w:color w:val="000000"/>
          <w:sz w:val="20"/>
          <w:u w:val="single"/>
        </w:rPr>
        <w:t>Definitions</w:t>
      </w:r>
      <w:r>
        <w:rPr>
          <w:rFonts w:ascii="Times New Roman" w:hAnsi="Times New Roman"/>
          <w:color w:val="000000"/>
          <w:sz w:val="20"/>
        </w:rPr>
        <w:t>. The following terms referred to in this Agreement will have the following meanings: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color w:val="000000"/>
        </w:rPr>
        <w:t>“</w:t>
      </w:r>
      <w:r>
        <w:rPr>
          <w:rFonts w:ascii="Times New Roman" w:hAnsi="Times New Roman"/>
          <w:b/>
          <w:color w:val="000000"/>
          <w:sz w:val="20"/>
        </w:rPr>
        <w:t>Board</w:t>
      </w:r>
      <w:r>
        <w:rPr>
          <w:color w:val="000000"/>
        </w:rPr>
        <w:t xml:space="preserve">” </w:t>
      </w:r>
      <w:r>
        <w:rPr>
          <w:rFonts w:ascii="Times New Roman" w:hAnsi="Times New Roman"/>
          <w:color w:val="000000"/>
          <w:sz w:val="20"/>
        </w:rPr>
        <w:t>means the Company’s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color w:val="000000"/>
        </w:rPr>
        <w:t>“</w:t>
      </w:r>
      <w:r>
        <w:rPr>
          <w:rFonts w:ascii="Times New Roman" w:hAnsi="Times New Roman"/>
          <w:b/>
          <w:color w:val="000000"/>
          <w:sz w:val="20"/>
        </w:rPr>
        <w:t>Cause</w:t>
      </w:r>
      <w:r>
        <w:rPr>
          <w:color w:val="000000"/>
        </w:rPr>
        <w:t xml:space="preserve">” </w:t>
      </w:r>
      <w:r>
        <w:rPr>
          <w:rFonts w:ascii="Times New Roman" w:hAnsi="Times New Roman"/>
          <w:color w:val="000000"/>
          <w:sz w:val="20"/>
        </w:rPr>
        <w:t>means: (i) the Executive’s conviction of, or plea of guilty or nolo contendere to, a felony or a crime involving moral turpitude; (ii) the Executive’s admission or conviction of, or plea of guilty or nolo contendere to, an intentional act of fraud, embezzlement or theft in connection with your duties or in the course of employment with the Company Group; (iii) the Executive’s intentional wrongful damage to property of the Company Group; (iv) intentional unauthorized or wrongful use or disclosure of secret processes or of proprietary or confidential information of the Company Group (or any other party to whom the Executive owes an obligation of nonuse or nondisclosure as a result of the Executive’s employment relationship with the Company), including but not limited to trade secrets and customer lists; (iv) the Executive’s violation of any agreement not to compete with the Company Group or to solicit either its customers or employees on behalf of competitors while remaining employed with the Company Group; (v) the Executive’s intentional violation of any policy or policies regarding ethical conduct; (vi) an act of dishonesty made by the Executive in connection with the Executive’s responsibilities as an employee which materially harms the Company Group, or (vii) the Executive’s intentional or continued failure to perform the Executive’s duties with the Company Group, as determined in good faith by the Company after being provided with notice of such failure, such notice specifying in reasonable detail the tasks which must be accomplished and a timeline for the accomplishment to avoid termination for Cause, and an opportunity to cure within thirty (30) days of receipt of such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color w:val="000000"/>
        </w:rPr>
        <w:t>“</w:t>
      </w:r>
      <w:r>
        <w:rPr>
          <w:rFonts w:ascii="Times New Roman" w:hAnsi="Times New Roman"/>
          <w:b/>
          <w:color w:val="000000"/>
          <w:sz w:val="20"/>
        </w:rPr>
        <w:t>Change in Control</w:t>
      </w:r>
      <w:r>
        <w:rPr>
          <w:color w:val="000000"/>
        </w:rPr>
        <w:t xml:space="preserve">” </w:t>
      </w:r>
      <w:r>
        <w:rPr>
          <w:rFonts w:ascii="Times New Roman" w:hAnsi="Times New Roman"/>
          <w:color w:val="000000"/>
          <w:sz w:val="20"/>
        </w:rPr>
        <w:t>means the occurrence of any of the following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(A) the acquisition of additional stock by any one Person, who is considered to own more than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- 5 -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Notwithstanding the foregoing, to the extent required to comply with Section 409A, a transaction will not be deemed a Change in Control unless the transaction qualifies as a change in control event within the meaning of Section 409A.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color w:val="000000"/>
        </w:rPr>
        <w:t>“</w:t>
      </w:r>
      <w:r>
        <w:rPr>
          <w:rFonts w:ascii="Times New Roman" w:hAnsi="Times New Roman"/>
          <w:b/>
          <w:color w:val="000000"/>
          <w:sz w:val="20"/>
        </w:rPr>
        <w:t>Change in Control Period</w:t>
      </w:r>
      <w:r>
        <w:rPr>
          <w:color w:val="000000"/>
        </w:rPr>
        <w:t xml:space="preserve">” </w:t>
      </w:r>
      <w:r>
        <w:rPr>
          <w:rFonts w:ascii="Times New Roman" w:hAnsi="Times New Roman"/>
          <w:color w:val="000000"/>
          <w:sz w:val="20"/>
        </w:rPr>
        <w:t xml:space="preserve">means the period beginning three (3) months prior to a Change in Control and ending twelve (12) months following a Change in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color w:val="000000"/>
        </w:rPr>
        <w:t>“</w:t>
      </w:r>
      <w:r>
        <w:rPr>
          <w:rFonts w:ascii="Times New Roman" w:hAnsi="Times New Roman"/>
          <w:b/>
          <w:color w:val="000000"/>
          <w:sz w:val="20"/>
        </w:rPr>
        <w:t>COBRA</w:t>
      </w:r>
      <w:r>
        <w:rPr>
          <w:color w:val="000000"/>
        </w:rPr>
        <w:t xml:space="preserve">” </w:t>
      </w:r>
      <w:r>
        <w:rPr>
          <w:rFonts w:ascii="Times New Roman" w:hAnsi="Times New Roman"/>
          <w:color w:val="000000"/>
          <w:sz w:val="20"/>
        </w:rPr>
        <w:t xml:space="preserve">means the Consolidated Omnibus Budget Reconciliation Act of 1985, as amended.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color w:val="000000"/>
        </w:rPr>
        <w:t>“</w:t>
      </w:r>
      <w:r>
        <w:rPr>
          <w:rFonts w:ascii="Times New Roman" w:hAnsi="Times New Roman"/>
          <w:b/>
          <w:color w:val="000000"/>
          <w:sz w:val="20"/>
        </w:rPr>
        <w:t>Code</w:t>
      </w:r>
      <w:r>
        <w:rPr>
          <w:color w:val="000000"/>
        </w:rPr>
        <w:t xml:space="preserve">” </w:t>
      </w:r>
      <w:r>
        <w:rPr>
          <w:rFonts w:ascii="Times New Roman" w:hAnsi="Times New Roman"/>
          <w:color w:val="000000"/>
          <w:sz w:val="20"/>
        </w:rPr>
        <w:t>means the Internal Revenue Code of 1986,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color w:val="000000"/>
        </w:rPr>
        <w:t>“</w:t>
      </w:r>
      <w:r>
        <w:rPr>
          <w:rFonts w:ascii="Times New Roman" w:hAnsi="Times New Roman"/>
          <w:b/>
          <w:color w:val="000000"/>
          <w:sz w:val="20"/>
        </w:rPr>
        <w:t>Company Group</w:t>
      </w:r>
      <w:r>
        <w:rPr>
          <w:color w:val="000000"/>
        </w:rPr>
        <w:t xml:space="preserve">” </w:t>
      </w:r>
      <w:r>
        <w:rPr>
          <w:rFonts w:ascii="Times New Roman" w:hAnsi="Times New Roman"/>
          <w:color w:val="000000"/>
          <w:sz w:val="20"/>
        </w:rPr>
        <w:t>means the Company and its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color w:val="000000"/>
        </w:rPr>
        <w:t>“</w:t>
      </w:r>
      <w:r>
        <w:rPr>
          <w:rFonts w:ascii="Times New Roman" w:hAnsi="Times New Roman"/>
          <w:b/>
          <w:color w:val="000000"/>
          <w:sz w:val="20"/>
        </w:rPr>
        <w:t>Confidentiality Agreement</w:t>
      </w:r>
      <w:r>
        <w:rPr>
          <w:color w:val="000000"/>
        </w:rPr>
        <w:t xml:space="preserve">” </w:t>
      </w:r>
      <w:r>
        <w:rPr>
          <w:rFonts w:ascii="Times New Roman" w:hAnsi="Times New Roman"/>
          <w:color w:val="000000"/>
          <w:sz w:val="20"/>
        </w:rPr>
        <w:t>means the At-Will Employment, Confidential Information, Invention Assignment, Nonsolicitation, and Arbitration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color w:val="000000"/>
        </w:rPr>
        <w:t>“</w:t>
      </w:r>
      <w:r>
        <w:rPr>
          <w:rFonts w:ascii="Times New Roman" w:hAnsi="Times New Roman"/>
          <w:b/>
          <w:color w:val="000000"/>
          <w:sz w:val="20"/>
        </w:rPr>
        <w:t>Disability</w:t>
      </w:r>
      <w:r>
        <w:rPr>
          <w:color w:val="000000"/>
        </w:rPr>
        <w:t xml:space="preserve">” </w:t>
      </w:r>
      <w:r>
        <w:rPr>
          <w:rFonts w:ascii="Times New Roman" w:hAnsi="Times New Roman"/>
          <w:color w:val="000000"/>
          <w:sz w:val="20"/>
        </w:rPr>
        <w:t>means a total and permanent disability as defined in Section 22(e)(3)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240" w:after="283"/>
        <w:jc w:val="both"/>
        <w:rPr/>
      </w:pPr>
      <w:r>
        <w:rPr>
          <w:color w:val="000000"/>
        </w:rPr>
        <w:t>“</w:t>
      </w:r>
      <w:r>
        <w:rPr>
          <w:rFonts w:ascii="Times New Roman" w:hAnsi="Times New Roman"/>
          <w:b/>
          <w:color w:val="000000"/>
          <w:sz w:val="20"/>
        </w:rPr>
        <w:t>Good Reason</w:t>
      </w:r>
      <w:r>
        <w:rPr>
          <w:color w:val="000000"/>
        </w:rPr>
        <w:t xml:space="preserve">” </w:t>
      </w:r>
      <w:r>
        <w:rPr>
          <w:rFonts w:ascii="Times New Roman" w:hAnsi="Times New Roman"/>
          <w:color w:val="000000"/>
          <w:sz w:val="20"/>
        </w:rPr>
        <w:t>means the termination of the Executive’s employment with the Company Group by the Executive in accordance with the next sentence after the occurrence of one or more of the following events without the Executive’s express written consent: (i) a material reduction of the Executive’s duties, authorities, or responsibilities relative to the Executive’s duties, authorities, or responsibilities in effect immediately prior to the reduction; (ii) a reduction by a Company Group member in the Executive’s rate of annual base salary by more than 10%; (iii) a material change in the geographic location of the Executive’s primary work facility or location by more than thirty-five (35) miles from the Executive’s then present location; provided, that a relocation to a location that is within 35 miles from the Executive’s then-present primary residence will not be considered a material change in geographic location, or (iv) failure of a successor corporation to assume the obligations under this Agreement as contemplated by Section 8. In order for the termination of the Executive’s employment with a Company Group member to be for Good Reason, the Executive must not terminate employment without first providing written notice to the Company of the acts or omissions constituting the grounds for “Good Reason” within sixty (60) days of the initial existence of the grounds for “Good Reason” and a cure period of thirty (30) days following the date of written notice (the “</w:t>
      </w:r>
      <w:r>
        <w:rPr>
          <w:rFonts w:ascii="Times New Roman" w:hAnsi="Times New Roman"/>
          <w:b/>
          <w:color w:val="000000"/>
          <w:sz w:val="20"/>
        </w:rPr>
        <w:t>Cure Period</w:t>
      </w:r>
      <w:r>
        <w:rPr>
          <w:color w:val="000000"/>
        </w:rPr>
        <w:t>”</w:t>
      </w:r>
      <w:r>
        <w:rPr>
          <w:rFonts w:ascii="Times New Roman" w:hAnsi="Times New Roman"/>
          <w:color w:val="000000"/>
          <w:sz w:val="20"/>
        </w:rPr>
        <w:t>), the grounds must not have been cured during that time, and the Executive must terminate the Executive’s employment within thirty (30) days following the Cure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w:t>
      </w:r>
    </w:p>
    <w:p>
      <w:pPr>
        <w:pStyle w:val="TextBody"/>
        <w:bidi w:val="0"/>
        <w:spacing w:before="240" w:after="283"/>
        <w:jc w:val="both"/>
        <w:rPr/>
      </w:pPr>
      <w:r>
        <w:rPr>
          <w:color w:val="000000"/>
        </w:rPr>
        <w:t>“</w:t>
      </w:r>
      <w:r>
        <w:rPr>
          <w:rFonts w:ascii="Times New Roman" w:hAnsi="Times New Roman"/>
          <w:b/>
          <w:color w:val="000000"/>
          <w:sz w:val="20"/>
        </w:rPr>
        <w:t>Qualifying Pre</w:t>
        <w:noBreakHyphen/>
        <w:t>CIC Termination</w:t>
      </w:r>
      <w:r>
        <w:rPr>
          <w:color w:val="000000"/>
        </w:rPr>
        <w:t xml:space="preserve">” </w:t>
      </w:r>
      <w:r>
        <w:rPr>
          <w:rFonts w:ascii="Times New Roman" w:hAnsi="Times New Roman"/>
          <w:color w:val="000000"/>
          <w:sz w:val="20"/>
        </w:rPr>
        <w:t>means a Qualifying CIC Termination that occurs prior to the date of the Change in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w:t>
      </w:r>
    </w:p>
    <w:p>
      <w:pPr>
        <w:pStyle w:val="TextBody"/>
        <w:bidi w:val="0"/>
        <w:spacing w:before="240" w:after="283"/>
        <w:jc w:val="both"/>
        <w:rPr/>
      </w:pPr>
      <w:r>
        <w:rPr>
          <w:color w:val="000000"/>
        </w:rPr>
        <w:t>“</w:t>
      </w:r>
      <w:r>
        <w:rPr>
          <w:rFonts w:ascii="Times New Roman" w:hAnsi="Times New Roman"/>
          <w:b/>
          <w:color w:val="000000"/>
          <w:sz w:val="20"/>
        </w:rPr>
        <w:t>Qualifying Termination</w:t>
      </w:r>
      <w:r>
        <w:rPr>
          <w:color w:val="000000"/>
        </w:rPr>
        <w:t xml:space="preserve">” </w:t>
      </w:r>
      <w:r>
        <w:rPr>
          <w:rFonts w:ascii="Times New Roman" w:hAnsi="Times New Roman"/>
          <w:color w:val="000000"/>
          <w:sz w:val="20"/>
        </w:rPr>
        <w:t>means a termination of the Executive’s employment either (i) by a Company Group member without Cause (excluding by reason of Executive’s death or Disability) or (ii) by the Executive for Good Reason, in either case, during the Change in Control Period (a “</w:t>
      </w:r>
      <w:r>
        <w:rPr>
          <w:rFonts w:ascii="Times New Roman" w:hAnsi="Times New Roman"/>
          <w:b/>
          <w:color w:val="000000"/>
          <w:sz w:val="20"/>
        </w:rPr>
        <w:t>Qualifying CIC Termination</w:t>
      </w:r>
      <w:r>
        <w:rPr>
          <w:color w:val="000000"/>
        </w:rPr>
        <w:t>”</w:t>
      </w:r>
      <w:r>
        <w:rPr>
          <w:rFonts w:ascii="Times New Roman" w:hAnsi="Times New Roman"/>
          <w:color w:val="000000"/>
          <w:sz w:val="20"/>
        </w:rPr>
        <w:t>) or outside of the Change in Control Period (a “</w:t>
      </w:r>
      <w:r>
        <w:rPr>
          <w:rFonts w:ascii="Times New Roman" w:hAnsi="Times New Roman"/>
          <w:b/>
          <w:color w:val="000000"/>
          <w:sz w:val="20"/>
        </w:rPr>
        <w:t>Qualifying</w:t>
      </w:r>
      <w:r>
        <w:rPr>
          <w:color w:val="000000"/>
        </w:rPr>
        <w:t xml:space="preserve"> </w:t>
      </w:r>
      <w:r>
        <w:rPr>
          <w:rFonts w:ascii="Times New Roman" w:hAnsi="Times New Roman"/>
          <w:b/>
          <w:color w:val="000000"/>
          <w:sz w:val="20"/>
        </w:rPr>
        <w:t>Non-CIC Termination</w:t>
      </w:r>
      <w:r>
        <w:rPr>
          <w:color w:val="00000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w:t>
      </w:r>
    </w:p>
    <w:p>
      <w:pPr>
        <w:pStyle w:val="TextBody"/>
        <w:bidi w:val="0"/>
        <w:spacing w:before="240" w:after="283"/>
        <w:jc w:val="both"/>
        <w:rPr/>
      </w:pPr>
      <w:r>
        <w:rPr>
          <w:color w:val="000000"/>
        </w:rPr>
        <w:t>“</w:t>
      </w:r>
      <w:r>
        <w:rPr>
          <w:rFonts w:ascii="Times New Roman" w:hAnsi="Times New Roman"/>
          <w:b/>
          <w:color w:val="000000"/>
          <w:sz w:val="20"/>
        </w:rPr>
        <w:t>Salary</w:t>
      </w:r>
      <w:r>
        <w:rPr>
          <w:color w:val="000000"/>
        </w:rPr>
        <w:t xml:space="preserve">” </w:t>
      </w:r>
      <w:r>
        <w:rPr>
          <w:rFonts w:ascii="Times New Roman" w:hAnsi="Times New Roman"/>
          <w:color w:val="000000"/>
          <w:sz w:val="20"/>
        </w:rPr>
        <w:t xml:space="preserve">means the Executive’s annual base salary as in effect immediately prior to the Executive’s Qualifying Termination (or if the termination is due to a resignation for Good Reason based on a material reduction in base salary, then the Executive’s annual base salary in effect immediately prior to the reduction) or, if the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- 6 -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0"/>
        </w:rPr>
        <w:t>Executive’s Qualifying Termination is a Qualifying CIC Termination and the amount is greater, at the level in effect immediately prior to the Change in Control.</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both"/>
        <w:rPr/>
      </w:pPr>
      <w:r>
        <w:rPr>
          <w:rFonts w:ascii="Times New Roman" w:hAnsi="Times New Roman"/>
          <w:color w:val="000000"/>
          <w:sz w:val="20"/>
          <w:u w:val="single"/>
        </w:rPr>
        <w:t>Successors</w:t>
      </w:r>
      <w:r>
        <w:rPr>
          <w:rFonts w:ascii="Times New Roman" w:hAnsi="Times New Roman"/>
          <w:color w:val="000000"/>
          <w:sz w:val="20"/>
        </w:rPr>
        <w:t>. This Agreement will be binding upon and inure to the benefit of (a) the heirs, executors, and legal representatives of the Executive upon the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the Executive to receive any form of compensation payable pursuant to this Agreement may be assigned or transferred except by will or the laws of descent and distribution. Any other attempted assignment, transfer, conveyance, or other disposition of the Executive’s right to compensation or other benefits will be null and void.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both"/>
        <w:rPr/>
      </w:pPr>
      <w:r>
        <w:rPr>
          <w:rFonts w:ascii="Times New Roman" w:hAnsi="Times New Roman"/>
          <w:color w:val="000000"/>
          <w:sz w:val="20"/>
          <w:u w:val="single"/>
        </w:rPr>
        <w:t>Notice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General</w:t>
      </w:r>
      <w:r>
        <w:rPr>
          <w:rFonts w:ascii="Times New Roman" w:hAnsi="Times New Roman"/>
          <w:color w:val="000000"/>
          <w:sz w:val="20"/>
        </w:rPr>
        <w:t>. All notices and other communications required or permitted under this Agreement shall be in writing and will be effectively given (i) upon actual delivery to the party to be notified, (ii) upon transmission by email, (iii) twenty-four (24) hours after confirmed facsimile transmission, (iv) 1 business day after deposit with a recognized overnight courier, or (v) three (3) business days after deposit with the U.S. Postal Service by first class certified or registered mail, return receipt requested, postage prepaid, addressed (A) if to the Executive, at the address the Executive shall have most recently furnished to the Company in writing, (B) if to the Company, at the following address: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Outset Medical, Inc.</w:t>
      </w:r>
    </w:p>
    <w:p>
      <w:pPr>
        <w:pStyle w:val="TextBody"/>
        <w:bidi w:val="0"/>
        <w:jc w:val="both"/>
        <w:rPr>
          <w:rFonts w:ascii="Times New Roman" w:hAnsi="Times New Roman"/>
          <w:color w:val="000000"/>
          <w:sz w:val="20"/>
        </w:rPr>
      </w:pPr>
      <w:r>
        <w:rPr>
          <w:rFonts w:ascii="Times New Roman" w:hAnsi="Times New Roman"/>
          <w:color w:val="000000"/>
          <w:sz w:val="20"/>
        </w:rPr>
        <w:t>3052 Orchard Dr., San Jose, CA 95134</w:t>
      </w:r>
    </w:p>
    <w:p>
      <w:pPr>
        <w:pStyle w:val="TextBody"/>
        <w:bidi w:val="0"/>
        <w:jc w:val="both"/>
        <w:rPr>
          <w:rFonts w:ascii="Times New Roman" w:hAnsi="Times New Roman"/>
          <w:color w:val="000000"/>
          <w:sz w:val="20"/>
        </w:rPr>
      </w:pPr>
      <w:r>
        <w:rPr>
          <w:rFonts w:ascii="Times New Roman" w:hAnsi="Times New Roman"/>
          <w:color w:val="000000"/>
          <w:sz w:val="20"/>
        </w:rPr>
        <w:t xml:space="preserve">Attention: Chief People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Notice of Termination</w:t>
      </w:r>
      <w:r>
        <w:rPr>
          <w:rFonts w:ascii="Times New Roman" w:hAnsi="Times New Roman"/>
          <w:color w:val="000000"/>
          <w:sz w:val="20"/>
        </w:rPr>
        <w:t xml:space="preserve">. Any termination by a Company Group member for Cause will be communicated by a notice of termination to the Executive, and any termination by the Executive for Good Reason will be communicated by a notice of termination to the Company, in each case given in accordance with Section 9(a) 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both"/>
        <w:rPr/>
      </w:pPr>
      <w:r>
        <w:rPr>
          <w:rFonts w:ascii="Times New Roman" w:hAnsi="Times New Roman"/>
          <w:color w:val="000000"/>
          <w:sz w:val="20"/>
          <w:u w:val="single"/>
        </w:rPr>
        <w:t>Resignation</w:t>
      </w:r>
      <w:r>
        <w:rPr>
          <w:rFonts w:ascii="Times New Roman" w:hAnsi="Times New Roman"/>
          <w:color w:val="000000"/>
          <w:sz w:val="20"/>
        </w:rPr>
        <w:t>. 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the resignations.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both"/>
        <w:rPr/>
      </w:pPr>
      <w:r>
        <w:rPr>
          <w:rFonts w:ascii="Times New Roman" w:hAnsi="Times New Roman"/>
          <w:color w:val="000000"/>
          <w:sz w:val="20"/>
          <w:u w:val="single"/>
        </w:rPr>
        <w:t>Miscellaneous Provisions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u w:val="single"/>
        </w:rPr>
        <w:t>No Duty to Mitigate</w:t>
      </w:r>
      <w:r>
        <w:rPr>
          <w:rFonts w:ascii="Times New Roman" w:hAnsi="Times New Roman"/>
          <w:color w:val="000000"/>
          <w:sz w:val="20"/>
        </w:rPr>
        <w:t>. The Executive will not be required to mitigate the amount of any payment contemplated by this Agreement, nor will any payment be reduced by any earnings that the Executive may receive from any other source except as specified in Section 3(e).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u w:val="single"/>
        </w:rPr>
        <w:t>Waiver; Amendment</w:t>
      </w:r>
      <w:r>
        <w:rPr>
          <w:rFonts w:ascii="Times New Roman" w:hAnsi="Times New Roman"/>
          <w:color w:val="000000"/>
          <w:sz w:val="20"/>
        </w:rPr>
        <w:t>.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u w:val="single"/>
        </w:rPr>
        <w:t>Headings</w:t>
      </w:r>
      <w:r>
        <w:rPr>
          <w:rFonts w:ascii="Times New Roman" w:hAnsi="Times New Roman"/>
          <w:color w:val="000000"/>
          <w:sz w:val="20"/>
        </w:rPr>
        <w:t>. All captions and section headings used in this Agreement are for convenient reference only and do not form a part of this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- 7 -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color w:val="000000"/>
          <w:sz w:val="20"/>
          <w:u w:val="single"/>
        </w:rPr>
        <w:t>Entire Agreement</w:t>
      </w:r>
      <w:r>
        <w:rPr>
          <w:rFonts w:ascii="Times New Roman" w:hAnsi="Times New Roman"/>
          <w:color w:val="000000"/>
          <w:sz w:val="20"/>
        </w:rPr>
        <w:t xml:space="preserve">. This Agreement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severance policy or program, or equity award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u w:val="single"/>
        </w:rPr>
        <w:t>Protected Rights</w:t>
      </w:r>
      <w:r>
        <w:rPr>
          <w:rFonts w:ascii="Times New Roman" w:hAnsi="Times New Roman"/>
          <w:color w:val="000000"/>
          <w:sz w:val="20"/>
        </w:rPr>
        <w:t>. Nothing in this Agreement or any other agreement with a member of the Company Group shall prohibit or impede Executive from communicating, cooperating or filing a complaint with any U.S. federal, state or local governmental or law enforcement branch, agency or entity (collectively, a “</w:t>
      </w:r>
      <w:r>
        <w:rPr>
          <w:rFonts w:ascii="Times New Roman" w:hAnsi="Times New Roman"/>
          <w:color w:val="000000"/>
          <w:sz w:val="20"/>
          <w:u w:val="single"/>
        </w:rPr>
        <w:t>Governmental Entity</w:t>
      </w:r>
      <w:r>
        <w:rPr>
          <w:color w:val="000000"/>
        </w:rPr>
        <w:t>”</w:t>
      </w:r>
      <w:r>
        <w:rPr>
          <w:rFonts w:ascii="Times New Roman" w:hAnsi="Times New Roman"/>
          <w:color w:val="000000"/>
          <w:sz w:val="20"/>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Moreover, Executive is not required to give prior notice to (or get prior authorization from) the Company regarding any such communication or disclosure. Notwithstanding the foregoing, under no circumstance will Executive be authorized to disclose any information covered by attorney-client privilege or attorney work product of any member of the Company Group without prior written consent of Company’s General Counsel or other officer designated by the Company. Participant does not need the prior authorization of (or to give notice to) any member of the Company Group regarding any communication, disclosure, or activity permitted by this paragraph.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rFonts w:ascii="Times New Roman" w:hAnsi="Times New Roman"/>
          <w:color w:val="000000"/>
          <w:sz w:val="20"/>
          <w:u w:val="single"/>
        </w:rPr>
        <w:t>Choice of Law</w:t>
      </w:r>
      <w:r>
        <w:rPr>
          <w:rFonts w:ascii="Times New Roman" w:hAnsi="Times New Roman"/>
          <w:color w:val="000000"/>
          <w:sz w:val="20"/>
        </w:rPr>
        <w:t>. This Agreement will be governed by the laws of the State of California without regard to California’s conflicts of law rules that may result in the application of the laws of any jurisdiction other than California. To the extent that any lawsuit is permitted under this Agreement, Employee hereby expressly consents to the personal and exclusive jurisdiction and venue of the state and federal courts located in California for any lawsuit filed against the Executive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rFonts w:ascii="Times New Roman" w:hAnsi="Times New Roman"/>
          <w:color w:val="000000"/>
          <w:sz w:val="20"/>
          <w:u w:val="single"/>
        </w:rPr>
        <w:t>Arbitration</w:t>
      </w:r>
      <w:r>
        <w:rPr>
          <w:rFonts w:ascii="Times New Roman" w:hAnsi="Times New Roman"/>
          <w:color w:val="000000"/>
          <w:sz w:val="20"/>
        </w:rPr>
        <w:t>. Any and all controversies, claims, or disputes with anyone under this Agreement (including the Company and any employee, officer, director, stockholder or benefit plan of the Company in their capacity as such or otherwise) arising out of, relating to, or resulting from the Executive’s employment with the Company Group, shall be subject to arbitration in accordance with the provisions of the Confidentiality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rFonts w:ascii="Times New Roman" w:hAnsi="Times New Roman"/>
          <w:color w:val="000000"/>
          <w:sz w:val="20"/>
          <w:u w:val="single"/>
        </w:rPr>
        <w:t>Severability</w:t>
      </w:r>
      <w:r>
        <w:rPr>
          <w:rFonts w:ascii="Times New Roman" w:hAnsi="Times New Roman"/>
          <w:color w:val="000000"/>
          <w:sz w:val="20"/>
        </w:rPr>
        <w:t>. The invalidity or unenforceability of any provision or provisions of this Agreement will not affect the validity or enforceability of any other provision of this Agreement, which will remain in full force and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u w:val="single"/>
        </w:rPr>
        <w:t>Withholding</w:t>
      </w:r>
      <w:r>
        <w:rPr>
          <w:rFonts w:ascii="Times New Roman" w:hAnsi="Times New Roman"/>
          <w:color w:val="000000"/>
          <w:sz w:val="20"/>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240" w:after="283"/>
        <w:jc w:val="both"/>
        <w:rPr/>
      </w:pPr>
      <w:r>
        <w:rPr>
          <w:rFonts w:ascii="Times New Roman" w:hAnsi="Times New Roman"/>
          <w:color w:val="000000"/>
          <w:sz w:val="20"/>
          <w:u w:val="single"/>
        </w:rPr>
        <w:t>Counterparts</w:t>
      </w:r>
      <w:r>
        <w:rPr>
          <w:rFonts w:ascii="Times New Roman" w:hAnsi="Times New Roman"/>
          <w:color w:val="000000"/>
          <w:sz w:val="20"/>
        </w:rPr>
        <w:t>. This Agreement may be executed in counterparts, each of which will be deemed an original, but all of which together will constitute one and the same instrument.</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- 8 -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its signature below, each of the parties signifies its acceptance of the terms of this Agreement, in the case of the Company by its duly authorized officer.</w:t>
      </w:r>
    </w:p>
    <w:p>
      <w:pPr>
        <w:pStyle w:val="TextBody"/>
        <w:bidi w:val="0"/>
        <w:spacing w:before="240" w:after="283"/>
        <w:jc w:val="both"/>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COMPANY</w:t>
      </w:r>
      <w:r>
        <w:rPr>
          <w:rFonts w:ascii="Times New Roman" w:hAnsi="Times New Roman"/>
          <w:color w:val="000000"/>
          <w:sz w:val="20"/>
        </w:rPr>
        <w:t xml:space="preserve"> OUTSET MEDICAL,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Name: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Title: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EXECUTIVE </w:t>
      </w:r>
      <w:r>
        <w:rPr>
          <w:rFonts w:ascii="Times New Roman" w:hAnsi="Times New Roman"/>
          <w:color w:val="000000"/>
          <w:sz w:val="20"/>
        </w:rPr>
        <w:t xml:space="preserve">By: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- 9 -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om-ex10_25.htm"/>
      <w:bookmarkStart w:id="41" w:name="ksomex10_25"/>
      <w:bookmarkEnd w:id="40"/>
      <w:bookmarkEnd w:id="41"/>
      <w:r>
        <w:rPr>
          <w:rFonts w:ascii="Times New Roman" w:hAnsi="Times New Roman"/>
          <w:b/>
          <w:color w:val="000000"/>
          <w:sz w:val="20"/>
        </w:rPr>
        <w:t>Exhibit 10.25</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FIRST AMENDMENT TO LOAN AND SECURITY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w:t>
      </w:r>
      <w:r>
        <w:rPr>
          <w:rFonts w:ascii="Times New Roman" w:hAnsi="Times New Roman"/>
          <w:b/>
          <w:color w:val="000000"/>
          <w:sz w:val="20"/>
        </w:rPr>
        <w:t>FIRST AMENDMENT TO LOAN AND SECURITY AGREEMENT</w:t>
      </w:r>
      <w:r>
        <w:rPr>
          <w:rFonts w:ascii="Times New Roman" w:hAnsi="Times New Roman"/>
          <w:color w:val="000000"/>
          <w:sz w:val="20"/>
        </w:rPr>
        <w:t xml:space="preserve"> (this “</w:t>
      </w:r>
      <w:r>
        <w:rPr>
          <w:rFonts w:ascii="Times New Roman" w:hAnsi="Times New Roman"/>
          <w:b/>
          <w:color w:val="000000"/>
          <w:sz w:val="20"/>
        </w:rPr>
        <w:t>Amendment</w:t>
      </w:r>
      <w:r>
        <w:rPr>
          <w:rFonts w:ascii="Times New Roman" w:hAnsi="Times New Roman"/>
          <w:color w:val="000000"/>
          <w:sz w:val="20"/>
        </w:rPr>
        <w:t>”), dated as of December 11, 2023 (the “</w:t>
      </w:r>
      <w:r>
        <w:rPr>
          <w:rFonts w:ascii="Times New Roman" w:hAnsi="Times New Roman"/>
          <w:b/>
          <w:color w:val="000000"/>
          <w:sz w:val="20"/>
        </w:rPr>
        <w:t>Amendment Effective Date</w:t>
      </w:r>
      <w:r>
        <w:rPr>
          <w:rFonts w:ascii="Times New Roman" w:hAnsi="Times New Roman"/>
          <w:color w:val="000000"/>
          <w:sz w:val="20"/>
        </w:rPr>
        <w:t>”), is made among SLR Investment Corp., a Maryland corporation with an office located at 500 Park Avenue, 3rd Floor, New York, NY 10022 (“</w:t>
      </w:r>
      <w:r>
        <w:rPr>
          <w:rFonts w:ascii="Times New Roman" w:hAnsi="Times New Roman"/>
          <w:b/>
          <w:color w:val="000000"/>
          <w:sz w:val="20"/>
        </w:rPr>
        <w:t>SLR</w:t>
      </w:r>
      <w:r>
        <w:rPr>
          <w:rFonts w:ascii="Times New Roman" w:hAnsi="Times New Roman"/>
          <w:color w:val="000000"/>
          <w:sz w:val="20"/>
        </w:rPr>
        <w:t>”), as collateral agent (in such capacity, together with its successors and assigns in such capacity, “</w:t>
      </w:r>
      <w:r>
        <w:rPr>
          <w:rFonts w:ascii="Times New Roman" w:hAnsi="Times New Roman"/>
          <w:b/>
          <w:color w:val="000000"/>
          <w:sz w:val="20"/>
        </w:rPr>
        <w:t>Collateral Agent</w:t>
      </w:r>
      <w:r>
        <w:rPr>
          <w:rFonts w:ascii="Times New Roman" w:hAnsi="Times New Roman"/>
          <w:color w:val="000000"/>
          <w:sz w:val="20"/>
        </w:rPr>
        <w:t xml:space="preserve">”), and the Lenders listed on </w:t>
      </w:r>
      <w:r>
        <w:rPr>
          <w:rFonts w:ascii="Times New Roman" w:hAnsi="Times New Roman"/>
          <w:color w:val="000000"/>
          <w:sz w:val="20"/>
          <w:u w:val="single"/>
        </w:rPr>
        <w:t>Schedule 1.1</w:t>
      </w:r>
      <w:r>
        <w:rPr>
          <w:rFonts w:ascii="Times New Roman" w:hAnsi="Times New Roman"/>
          <w:color w:val="000000"/>
          <w:sz w:val="20"/>
        </w:rPr>
        <w:t xml:space="preserve"> (as amended herein) of the Loan and Security Agreement (as defined below) or otherwise a party hereto from time to time including SLR in its capacity as a Lender (each a “</w:t>
      </w:r>
      <w:r>
        <w:rPr>
          <w:rFonts w:ascii="Times New Roman" w:hAnsi="Times New Roman"/>
          <w:b/>
          <w:color w:val="000000"/>
          <w:sz w:val="20"/>
        </w:rPr>
        <w:t>Lender</w:t>
      </w:r>
      <w:r>
        <w:rPr>
          <w:rFonts w:ascii="Times New Roman" w:hAnsi="Times New Roman"/>
          <w:color w:val="000000"/>
          <w:sz w:val="20"/>
        </w:rPr>
        <w:t>” and collectively, the “</w:t>
      </w:r>
      <w:r>
        <w:rPr>
          <w:rFonts w:ascii="Times New Roman" w:hAnsi="Times New Roman"/>
          <w:b/>
          <w:color w:val="000000"/>
          <w:sz w:val="20"/>
        </w:rPr>
        <w:t>Lenders</w:t>
      </w:r>
      <w:r>
        <w:rPr>
          <w:rFonts w:ascii="Times New Roman" w:hAnsi="Times New Roman"/>
          <w:color w:val="000000"/>
          <w:sz w:val="20"/>
        </w:rPr>
        <w:t>”), and Outset Medical, Inc., a Delaware corporation with an office located at 3052 Orchard Drive, San Jose, CA 95134 (“</w:t>
      </w:r>
      <w:r>
        <w:rPr>
          <w:rFonts w:ascii="Times New Roman" w:hAnsi="Times New Roman"/>
          <w:b/>
          <w:color w:val="000000"/>
          <w:sz w:val="20"/>
        </w:rPr>
        <w:t>Borrower</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The Borrower, the Lenders and Collateral Agent are parties to a Loan and Security Agreement dated as of November 3, 2022 (as amended, restated or modified from time to time, the “</w:t>
      </w:r>
      <w:r>
        <w:rPr>
          <w:rFonts w:ascii="Times New Roman" w:hAnsi="Times New Roman"/>
          <w:b/>
          <w:color w:val="000000"/>
          <w:sz w:val="20"/>
        </w:rPr>
        <w:t>Loan and Security Agreement</w:t>
      </w:r>
      <w:r>
        <w:rPr>
          <w:rFonts w:ascii="Times New Roman" w:hAnsi="Times New Roman"/>
          <w:color w:val="000000"/>
          <w:sz w:val="20"/>
        </w:rPr>
        <w:t>”). The Borrower has requested that the Lenders agree to certain amendments to the Loan and Security Agreement. The Lenders have agreed to such request, subject to the terms and conditions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Accordingly, the parties hereto agree as follows: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Definitions; Interpretation.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Terms Defined in Loan and Security Agreement</w:t>
      </w:r>
      <w:r>
        <w:rPr>
          <w:rFonts w:ascii="Times New Roman" w:hAnsi="Times New Roman"/>
          <w:color w:val="000000"/>
          <w:sz w:val="20"/>
        </w:rPr>
        <w:t>. All capitalized terms used in this Amendment (including in the recitals hereof) and not otherwise defined herein shall have the meanings assigned to them in the Loan and Security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Interpretation</w:t>
      </w:r>
      <w:r>
        <w:rPr>
          <w:rFonts w:ascii="Times New Roman" w:hAnsi="Times New Roman"/>
          <w:color w:val="000000"/>
          <w:sz w:val="20"/>
        </w:rPr>
        <w:t>. The rules of interpretation set forth in Section 1.1 of the Loan and Security Agreement shall be applicable to this Amendment and are incorporated herein by this reference.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2</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Amendments to the Loan and Security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Loan and Security Agreement shall be amended as follows effective as of the Amendment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color w:val="000000"/>
          <w:sz w:val="20"/>
          <w:u w:val="single"/>
        </w:rPr>
        <w:t>Section 2.2(a)(ii)</w:t>
      </w:r>
      <w:r>
        <w:rPr>
          <w:rFonts w:ascii="Times New Roman" w:hAnsi="Times New Roman"/>
          <w:color w:val="000000"/>
          <w:sz w:val="20"/>
        </w:rPr>
        <w:t>. Section 2.2(a)(ii) is hereby amended and restated as follows:</w:t>
      </w:r>
    </w:p>
    <w:p>
      <w:pPr>
        <w:pStyle w:val="TextBody"/>
        <w:bidi w:val="0"/>
        <w:spacing w:before="0" w:after="240"/>
        <w:jc w:val="both"/>
        <w:rPr/>
      </w:pPr>
      <w:r>
        <w:rPr>
          <w:color w:val="000000"/>
        </w:rPr>
        <w:t>“</w:t>
      </w:r>
      <w:r>
        <w:rPr>
          <w:rFonts w:ascii="Times New Roman" w:hAnsi="Times New Roman"/>
          <w:color w:val="000000"/>
          <w:sz w:val="20"/>
        </w:rPr>
        <w:t xml:space="preserve">Subject to the terms and conditions of this Agreement, the Lenders agree, severally and not jointly, during the Second Draw Period, to make term loans to Borrower in an aggregate principal amount of up to One Hundred Million Dollars ($100,000,000.00) , consisting of Term B-1 Loans according to each Lender’s Term B-1 Loan Commitment as set forth on </w:t>
      </w:r>
      <w:r>
        <w:rPr>
          <w:rFonts w:ascii="Times New Roman" w:hAnsi="Times New Roman"/>
          <w:color w:val="000000"/>
          <w:sz w:val="20"/>
          <w:u w:val="single"/>
        </w:rPr>
        <w:t>Schedule 1.1</w:t>
      </w:r>
      <w:r>
        <w:rPr>
          <w:rFonts w:ascii="Times New Roman" w:hAnsi="Times New Roman"/>
          <w:color w:val="000000"/>
          <w:sz w:val="20"/>
        </w:rPr>
        <w:t xml:space="preserve"> hereto (such term loans are hereinafter referred to singly as a “</w:t>
      </w:r>
      <w:r>
        <w:rPr>
          <w:rFonts w:ascii="Times New Roman" w:hAnsi="Times New Roman"/>
          <w:b/>
          <w:color w:val="000000"/>
          <w:sz w:val="20"/>
        </w:rPr>
        <w:t>Term B-1 Loan</w:t>
      </w:r>
      <w:r>
        <w:rPr>
          <w:rFonts w:ascii="Times New Roman" w:hAnsi="Times New Roman"/>
          <w:color w:val="000000"/>
          <w:sz w:val="20"/>
        </w:rPr>
        <w:t>”, and collectively as the “</w:t>
      </w:r>
      <w:r>
        <w:rPr>
          <w:rFonts w:ascii="Times New Roman" w:hAnsi="Times New Roman"/>
          <w:b/>
          <w:color w:val="000000"/>
          <w:sz w:val="20"/>
        </w:rPr>
        <w:t>Term B-1 Loans</w:t>
      </w:r>
      <w:r>
        <w:rPr>
          <w:rFonts w:ascii="Times New Roman" w:hAnsi="Times New Roman"/>
          <w:color w:val="000000"/>
          <w:sz w:val="20"/>
        </w:rPr>
        <w:t xml:space="preserve">”) and of Term B-2 Loans according to each Lender’s Term B-2 Loan Commitment as set forth on </w:t>
      </w:r>
      <w:r>
        <w:rPr>
          <w:rFonts w:ascii="Times New Roman" w:hAnsi="Times New Roman"/>
          <w:color w:val="000000"/>
          <w:sz w:val="20"/>
          <w:u w:val="single"/>
        </w:rPr>
        <w:t>Schedule 1.1</w:t>
      </w:r>
      <w:r>
        <w:rPr>
          <w:rFonts w:ascii="Times New Roman" w:hAnsi="Times New Roman"/>
          <w:color w:val="000000"/>
          <w:sz w:val="20"/>
        </w:rPr>
        <w:t xml:space="preserve"> hereto (such term loans are hereinafter referred to singly as a “</w:t>
      </w:r>
      <w:r>
        <w:rPr>
          <w:rFonts w:ascii="Times New Roman" w:hAnsi="Times New Roman"/>
          <w:b/>
          <w:color w:val="000000"/>
          <w:sz w:val="20"/>
        </w:rPr>
        <w:t>Term B-2 Loan</w:t>
      </w:r>
      <w:r>
        <w:rPr>
          <w:rFonts w:ascii="Times New Roman" w:hAnsi="Times New Roman"/>
          <w:color w:val="000000"/>
          <w:sz w:val="20"/>
        </w:rPr>
        <w:t>”, and collectively as the “</w:t>
      </w:r>
      <w:r>
        <w:rPr>
          <w:rFonts w:ascii="Times New Roman" w:hAnsi="Times New Roman"/>
          <w:b/>
          <w:color w:val="000000"/>
          <w:sz w:val="20"/>
        </w:rPr>
        <w:t>Term B-2 Loans</w:t>
      </w:r>
      <w:r>
        <w:rPr>
          <w:rFonts w:ascii="Times New Roman" w:hAnsi="Times New Roman"/>
          <w:color w:val="000000"/>
          <w:sz w:val="20"/>
        </w:rPr>
        <w:t>”, and together with the Term B-1 Loans, referred to singly as a “</w:t>
      </w:r>
      <w:r>
        <w:rPr>
          <w:rFonts w:ascii="Times New Roman" w:hAnsi="Times New Roman"/>
          <w:b/>
          <w:color w:val="000000"/>
          <w:sz w:val="20"/>
        </w:rPr>
        <w:t>Term B Loan</w:t>
      </w:r>
      <w:r>
        <w:rPr>
          <w:rFonts w:ascii="Times New Roman" w:hAnsi="Times New Roman"/>
          <w:color w:val="000000"/>
          <w:sz w:val="20"/>
        </w:rPr>
        <w:t>”, and collectively as the “</w:t>
      </w:r>
      <w:r>
        <w:rPr>
          <w:rFonts w:ascii="Times New Roman" w:hAnsi="Times New Roman"/>
          <w:b/>
          <w:color w:val="000000"/>
          <w:sz w:val="20"/>
        </w:rPr>
        <w:t>Term B Loans</w:t>
      </w:r>
      <w:r>
        <w:rPr>
          <w:rFonts w:ascii="Times New Roman" w:hAnsi="Times New Roman"/>
          <w:color w:val="000000"/>
          <w:sz w:val="20"/>
        </w:rPr>
        <w:t>”). After repayment, no Term B Loan may be re</w:t>
        <w:noBreakHyphen/>
        <w:t>borrowed.”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pPr>
      <w:r>
        <w:rPr>
          <w:rFonts w:ascii="Times New Roman" w:hAnsi="Times New Roman"/>
          <w:color w:val="000000"/>
          <w:sz w:val="20"/>
          <w:u w:val="single"/>
        </w:rPr>
        <w:t>Lenders and Commitments</w:t>
      </w:r>
      <w:r>
        <w:rPr>
          <w:rFonts w:ascii="Times New Roman" w:hAnsi="Times New Roman"/>
          <w:color w:val="000000"/>
          <w:sz w:val="20"/>
        </w:rPr>
        <w:t xml:space="preserve">. Schedule 1.1 of the Loan and Security Agreement, the Schedules of Lenders and Commitments, is hereby amended and restated in its entirety with </w:t>
      </w:r>
      <w:r>
        <w:rPr>
          <w:rFonts w:ascii="Times New Roman" w:hAnsi="Times New Roman"/>
          <w:color w:val="000000"/>
          <w:sz w:val="20"/>
          <w:u w:val="single"/>
        </w:rPr>
        <w:t>Annex A</w:t>
      </w:r>
      <w:r>
        <w:rPr>
          <w:color w:val="000000"/>
        </w:rPr>
        <w:t xml:space="preserve"> </w:t>
      </w:r>
      <w:r>
        <w:rPr>
          <w:rFonts w:ascii="Times New Roman" w:hAnsi="Times New Roman"/>
          <w:color w:val="000000"/>
          <w:sz w:val="20"/>
        </w:rPr>
        <w: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References Within Loan and Security Agreement</w:t>
      </w:r>
      <w:r>
        <w:rPr>
          <w:rFonts w:ascii="Times New Roman" w:hAnsi="Times New Roman"/>
          <w:color w:val="000000"/>
          <w:sz w:val="20"/>
        </w:rPr>
        <w:t>. Each reference in the Loan and Security Agreement to “this Agreement” and the words “hereof,” “herein,” “hereunder,” or words of like import, shall mean and be a reference to the Loan and Security Agreement as amended by this Amendment.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3</w:t>
      </w:r>
    </w:p>
    <w:p>
      <w:pPr>
        <w:pStyle w:val="TextBody"/>
        <w:bidi w:val="0"/>
        <w:spacing w:before="0" w:after="240"/>
        <w:jc w:val="both"/>
        <w:rPr/>
      </w:pPr>
      <w:r>
        <w:rPr>
          <w:rFonts w:ascii="Times New Roman" w:hAnsi="Times New Roman"/>
          <w:b/>
          <w:color w:val="000000"/>
          <w:sz w:val="20"/>
        </w:rPr>
        <w:t>Conditions of Effectiveness.</w:t>
      </w:r>
      <w:r>
        <w:rPr>
          <w:color w:val="000000"/>
        </w:rPr>
        <w:t xml:space="preserve"> </w:t>
      </w:r>
      <w:r>
        <w:rPr>
          <w:rFonts w:ascii="Times New Roman" w:hAnsi="Times New Roman"/>
          <w:color w:val="000000"/>
          <w:sz w:val="20"/>
        </w:rPr>
        <w:t xml:space="preserve">The effectiveness of </w:t>
      </w:r>
      <w:r>
        <w:rPr>
          <w:rFonts w:ascii="Times New Roman" w:hAnsi="Times New Roman"/>
          <w:color w:val="000000"/>
          <w:sz w:val="20"/>
          <w:u w:val="single"/>
        </w:rPr>
        <w:t>Section 2</w:t>
      </w:r>
      <w:r>
        <w:rPr>
          <w:color w:val="000000"/>
        </w:rPr>
        <w:t xml:space="preserve"> </w:t>
      </w:r>
      <w:r>
        <w:rPr>
          <w:rFonts w:ascii="Times New Roman" w:hAnsi="Times New Roman"/>
          <w:color w:val="000000"/>
          <w:sz w:val="20"/>
        </w:rPr>
        <w:t>of this Amendment shall be subject to the satisfaction of each of the following conditions precedent:</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This Amendment</w:t>
      </w:r>
      <w:r>
        <w:rPr>
          <w:rFonts w:ascii="Times New Roman" w:hAnsi="Times New Roman"/>
          <w:color w:val="000000"/>
          <w:sz w:val="20"/>
        </w:rPr>
        <w:t>. Collateral Agent shall have received this Amendment, executed by Collateral Agent, the Lenders and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[Reserved].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SECTION 4</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 xml:space="preserve">[Reserved].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pPr>
      <w:r>
        <w:rPr>
          <w:rFonts w:ascii="Times New Roman" w:hAnsi="Times New Roman"/>
          <w:b/>
          <w:color w:val="000000"/>
          <w:sz w:val="20"/>
        </w:rPr>
        <w:t>Loan Documents Otherwise Not Affected; Reaffirmation</w:t>
      </w:r>
      <w:r>
        <w:rPr>
          <w:rFonts w:ascii="Times New Roman" w:hAnsi="Times New Roman"/>
          <w:color w:val="000000"/>
          <w:sz w:val="20"/>
        </w:rPr>
        <w:t>. Except as expressly amended pursuant hereto or referenced herein, the Loan and Security Agreement and the other Loan Documents shall remain unchanged and in full force and effect and are hereby ratified and confirmed in all respects. The Lenders’ and Collateral Agent’s execution and delivery of, or acceptance of, this Amendment shall not be deemed to create a course of dealing or otherwise create any express or implied duty by any of them to provide any other or further amendments, consents or waivers in the future. The Borrower hereby reaffirms the grant of security under Section 4.1 of the Loan and Security Agreement and hereby reaffirms that such grant of security in the Collateral secures all Obligations under the Loan and Security Agreement, including without limitation any Term Loans funded on or after the Amendment Effective Date, as of the date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pPr>
      <w:r>
        <w:rPr>
          <w:rFonts w:ascii="Times New Roman" w:hAnsi="Times New Roman"/>
          <w:b/>
          <w:color w:val="000000"/>
          <w:sz w:val="20"/>
        </w:rPr>
        <w:t>Conditions</w:t>
      </w:r>
      <w:r>
        <w:rPr>
          <w:rFonts w:ascii="Times New Roman" w:hAnsi="Times New Roman"/>
          <w:color w:val="000000"/>
          <w:sz w:val="20"/>
        </w:rPr>
        <w:t xml:space="preserve">. For purposes of determining compliance with the conditions specified in </w:t>
      </w:r>
      <w:r>
        <w:rPr>
          <w:rFonts w:ascii="Times New Roman" w:hAnsi="Times New Roman"/>
          <w:color w:val="000000"/>
          <w:sz w:val="20"/>
          <w:u w:val="single"/>
        </w:rPr>
        <w:t>Section 3</w:t>
      </w:r>
      <w:r>
        <w:rPr>
          <w:rFonts w:ascii="Times New Roman" w:hAnsi="Times New Roman"/>
          <w:color w:val="000000"/>
          <w:sz w:val="20"/>
        </w:rPr>
        <w:t>, each Lender that has signed this Amendment shall be deemed to have consented to, approved or accepted or to be satisfied with, each document or other matter required thereunder to be consented to or approved by or acceptable or satisfactory to a Lender unless Collateral Agent shall have received notice from such Lender prior to the Amendment Effective Date specifying its objection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 xml:space="preserve">[Reserved].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both"/>
        <w:rPr/>
      </w:pPr>
      <w:r>
        <w:rPr>
          <w:rFonts w:ascii="Times New Roman" w:hAnsi="Times New Roman"/>
          <w:b/>
          <w:color w:val="000000"/>
          <w:sz w:val="20"/>
        </w:rPr>
        <w:t>No Reliance</w:t>
      </w:r>
      <w:r>
        <w:rPr>
          <w:rFonts w:ascii="Times New Roman" w:hAnsi="Times New Roman"/>
          <w:color w:val="000000"/>
          <w:sz w:val="20"/>
        </w:rPr>
        <w:t>. The Borrower hereby acknowledges and confirms to Collateral Agent and the Lenders that the Borrower is executing this Amendment on the basis of its own investigation and for its own reasons without reliance upon any agreement, representation, understanding or communication by or on behalf of any other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[Reserved].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w:t>
      </w:r>
    </w:p>
    <w:p>
      <w:pPr>
        <w:pStyle w:val="TextBody"/>
        <w:bidi w:val="0"/>
        <w:spacing w:before="0" w:after="240"/>
        <w:jc w:val="both"/>
        <w:rPr/>
      </w:pPr>
      <w:r>
        <w:rPr>
          <w:rFonts w:ascii="Times New Roman" w:hAnsi="Times New Roman"/>
          <w:b/>
          <w:color w:val="000000"/>
          <w:sz w:val="20"/>
        </w:rPr>
        <w:t>Binding Effect</w:t>
      </w:r>
      <w:r>
        <w:rPr>
          <w:rFonts w:ascii="Times New Roman" w:hAnsi="Times New Roman"/>
          <w:color w:val="000000"/>
          <w:sz w:val="20"/>
        </w:rPr>
        <w:t xml:space="preserve">. This Amendment binds and is for the benefit of the successors and permitted assigns of each party.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w:t>
      </w:r>
    </w:p>
    <w:p>
      <w:pPr>
        <w:pStyle w:val="TextBody"/>
        <w:bidi w:val="0"/>
        <w:spacing w:before="0" w:after="240"/>
        <w:jc w:val="both"/>
        <w:rPr/>
      </w:pPr>
      <w:r>
        <w:rPr>
          <w:rFonts w:ascii="Times New Roman" w:hAnsi="Times New Roman"/>
          <w:b/>
          <w:color w:val="000000"/>
          <w:sz w:val="20"/>
        </w:rPr>
        <w:t>Governing Law and Jurisdiction</w:t>
      </w:r>
      <w:r>
        <w:rPr>
          <w:rFonts w:ascii="Times New Roman" w:hAnsi="Times New Roman"/>
          <w:color w:val="000000"/>
          <w:sz w:val="20"/>
        </w:rPr>
        <w:t>. THIS AMENDMENT,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 OTHER THAN THE LAW OF SUCH STATE),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w:t>
      </w:r>
    </w:p>
    <w:p>
      <w:pPr>
        <w:pStyle w:val="TextBody"/>
        <w:bidi w:val="0"/>
        <w:spacing w:before="0" w:after="240"/>
        <w:jc w:val="both"/>
        <w:rPr/>
      </w:pPr>
      <w:r>
        <w:rPr>
          <w:rFonts w:ascii="Times New Roman" w:hAnsi="Times New Roman"/>
          <w:b/>
          <w:color w:val="000000"/>
          <w:sz w:val="20"/>
        </w:rPr>
        <w:t>Complete Agreement; Amendments</w:t>
      </w:r>
      <w:r>
        <w:rPr>
          <w:rFonts w:ascii="Times New Roman" w:hAnsi="Times New Roman"/>
          <w:color w:val="000000"/>
          <w:sz w:val="20"/>
        </w:rPr>
        <w:t xml:space="preserve">. This Amendment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pPr>
      <w:r>
        <w:rPr>
          <w:rFonts w:ascii="Times New Roman" w:hAnsi="Times New Roman"/>
          <w:b/>
          <w:color w:val="000000"/>
          <w:sz w:val="20"/>
        </w:rPr>
        <w:t xml:space="preserve">Severability of Provisions. </w:t>
      </w:r>
      <w:r>
        <w:rPr>
          <w:rFonts w:ascii="Times New Roman" w:hAnsi="Times New Roman"/>
          <w:color w:val="000000"/>
          <w:sz w:val="20"/>
        </w:rPr>
        <w:t>Each provision of this Amendment is severable from every other provision in determining the enforceability of any provision.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w:t>
      </w:r>
    </w:p>
    <w:p>
      <w:pPr>
        <w:pStyle w:val="TextBody"/>
        <w:bidi w:val="0"/>
        <w:spacing w:before="0" w:after="240"/>
        <w:jc w:val="both"/>
        <w:rPr/>
      </w:pPr>
      <w:r>
        <w:rPr>
          <w:rFonts w:ascii="Times New Roman" w:hAnsi="Times New Roman"/>
          <w:b/>
          <w:color w:val="000000"/>
          <w:sz w:val="20"/>
        </w:rPr>
        <w:t>Counterparts</w:t>
      </w:r>
      <w:r>
        <w:rPr>
          <w:rFonts w:ascii="Times New Roman" w:hAnsi="Times New Roman"/>
          <w:color w:val="000000"/>
          <w:sz w:val="20"/>
        </w:rPr>
        <w:t>. This Amendment may be executed in any number of counterparts and by different parties on 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w:t>
      </w:r>
    </w:p>
    <w:p>
      <w:pPr>
        <w:pStyle w:val="TextBody"/>
        <w:bidi w:val="0"/>
        <w:spacing w:before="0" w:after="240"/>
        <w:jc w:val="both"/>
        <w:rPr/>
      </w:pPr>
      <w:r>
        <w:rPr>
          <w:rFonts w:ascii="Times New Roman" w:hAnsi="Times New Roman"/>
          <w:b/>
          <w:color w:val="000000"/>
          <w:sz w:val="20"/>
        </w:rPr>
        <w:t>Loan Documents</w:t>
      </w:r>
      <w:r>
        <w:rPr>
          <w:rFonts w:ascii="Times New Roman" w:hAnsi="Times New Roman"/>
          <w:color w:val="000000"/>
          <w:sz w:val="20"/>
        </w:rPr>
        <w:t>. This Amendment and the documents related thereto shall constitute Loan Documents.</w:t>
      </w:r>
    </w:p>
    <w:p>
      <w:pPr>
        <w:pStyle w:val="TextBody"/>
        <w:bidi w:val="0"/>
        <w:spacing w:before="0" w:after="240"/>
        <w:jc w:val="center"/>
        <w:rPr>
          <w:rFonts w:ascii="Times New Roman" w:hAnsi="Times New Roman"/>
          <w:sz w:val="20"/>
        </w:rPr>
      </w:pPr>
      <w:r>
        <w:rPr>
          <w:rFonts w:ascii="Times New Roman" w:hAnsi="Times New Roman"/>
          <w:i/>
          <w:color w:val="000000"/>
          <w:sz w:val="20"/>
        </w:rPr>
        <w:t>[Balance of Page Intentionally Left Blank; Signature Pages Follow]</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duly executed this Amendment, as of the date first above written.</w:t>
      </w:r>
    </w:p>
    <w:tbl>
      <w:tblPr>
        <w:tblW w:w="2813" w:type="dxa"/>
        <w:jc w:val="left"/>
        <w:tblInd w:w="0" w:type="dxa"/>
        <w:tblLayout w:type="fixed"/>
        <w:tblCellMar>
          <w:top w:w="28" w:type="dxa"/>
          <w:left w:w="28" w:type="dxa"/>
          <w:bottom w:w="28" w:type="dxa"/>
          <w:right w:w="28" w:type="dxa"/>
        </w:tblCellMar>
      </w:tblPr>
      <w:tblGrid>
        <w:gridCol w:w="2476"/>
        <w:gridCol w:w="14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BORROWER:</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Outset Medical, Inc.</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Nabeel Ahmed</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Nabeel Ahmed</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jc w:val="left"/>
              <w:rPr/>
            </w:pPr>
            <w:r>
              <w:rPr/>
              <w:t> </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First Amendment to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23" w:type="dxa"/>
        <w:jc w:val="left"/>
        <w:tblInd w:w="0" w:type="dxa"/>
        <w:tblLayout w:type="fixed"/>
        <w:tblCellMar>
          <w:top w:w="28" w:type="dxa"/>
          <w:left w:w="28" w:type="dxa"/>
          <w:bottom w:w="28" w:type="dxa"/>
          <w:right w:w="28" w:type="dxa"/>
        </w:tblCellMar>
      </w:tblPr>
      <w:tblGrid>
        <w:gridCol w:w="3586"/>
        <w:gridCol w:w="146"/>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COLLATERAL AGENT AND LENDER:</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923"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SLR INVESTMENT CORP.</w:t>
            </w:r>
          </w:p>
        </w:tc>
      </w:tr>
      <w:tr>
        <w:trPr/>
        <w:tc>
          <w:tcPr>
            <w:tcW w:w="3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Anthony Storino</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First Amendment to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LENDERS:</w:t>
            </w:r>
          </w:p>
        </w:tc>
      </w:tr>
      <w:tr>
        <w:trPr/>
        <w:tc>
          <w:tcPr>
            <w:tcW w:w="4606" w:type="dxa"/>
            <w:tcBorders/>
            <w:vAlign w:val="center"/>
          </w:tcPr>
          <w:p>
            <w:pPr>
              <w:pStyle w:val="TableContents"/>
              <w:bidi w:val="0"/>
              <w:spacing w:before="0" w:after="283"/>
              <w:jc w:val="left"/>
              <w:rPr/>
            </w:pPr>
            <w:r>
              <w:rPr/>
              <w:t> </w:t>
            </w:r>
          </w:p>
        </w:tc>
      </w:tr>
      <w:tr>
        <w:trPr/>
        <w:tc>
          <w:tcPr>
            <w:tcW w:w="460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SUNS SPV LLC</w:t>
            </w:r>
          </w:p>
        </w:tc>
      </w:tr>
      <w:tr>
        <w:trPr/>
        <w:tc>
          <w:tcPr>
            <w:tcW w:w="4606" w:type="dxa"/>
            <w:tcBorders/>
            <w:vAlign w:val="center"/>
          </w:tcPr>
          <w:p>
            <w:pPr>
              <w:pStyle w:val="TableContents"/>
              <w:bidi w:val="0"/>
              <w:spacing w:before="0" w:after="283"/>
              <w:jc w:val="left"/>
              <w:rPr/>
            </w:pPr>
            <w:r>
              <w:rPr/>
              <w:t> </w:t>
            </w:r>
          </w:p>
        </w:tc>
      </w:tr>
      <w:tr>
        <w:trPr/>
        <w:tc>
          <w:tcPr>
            <w:tcW w:w="4606" w:type="dxa"/>
            <w:tcBorders/>
            <w:vAlign w:val="center"/>
          </w:tcPr>
          <w:p>
            <w:pPr>
              <w:pStyle w:val="TableContents"/>
              <w:bidi w:val="0"/>
              <w:spacing w:before="0" w:after="283"/>
              <w:jc w:val="left"/>
              <w:rPr/>
            </w:pPr>
            <w:r>
              <w:rPr/>
              <w:t> </w:t>
            </w:r>
          </w:p>
        </w:tc>
      </w:tr>
      <w:tr>
        <w:trPr/>
        <w:tc>
          <w:tcPr>
            <w:tcW w:w="460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Anthony Storino</w:t>
            </w:r>
          </w:p>
        </w:tc>
      </w:tr>
      <w:tr>
        <w:trPr/>
        <w:tc>
          <w:tcPr>
            <w:tcW w:w="46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r>
        <w:trPr/>
        <w:tc>
          <w:tcPr>
            <w:tcW w:w="4606" w:type="dxa"/>
            <w:tcBorders/>
            <w:vAlign w:val="center"/>
          </w:tcPr>
          <w:p>
            <w:pPr>
              <w:pStyle w:val="TableContents"/>
              <w:bidi w:val="0"/>
              <w:jc w:val="left"/>
              <w:rPr/>
            </w:pPr>
            <w:r>
              <w:rPr/>
              <w:t> </w:t>
            </w:r>
          </w:p>
          <w:p>
            <w:pPr>
              <w:pStyle w:val="TableContents"/>
              <w:bidi w:val="0"/>
              <w:spacing w:before="0" w:after="283"/>
              <w:jc w:val="left"/>
              <w:rPr/>
            </w:pPr>
            <w:r>
              <w:rPr/>
              <w:t> </w:t>
            </w:r>
          </w:p>
        </w:tc>
      </w:tr>
      <w:tr>
        <w:trPr/>
        <w:tc>
          <w:tcPr>
            <w:tcW w:w="460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SCP PRIVATE CREDIT INCOME FUND SPV, LLC</w:t>
            </w:r>
            <w:r>
              <w:rPr>
                <w:rFonts w:ascii="Times New Roman" w:hAnsi="Times New Roman"/>
                <w:color w:val="000000"/>
                <w:sz w:val="20"/>
              </w:rPr>
              <w:t xml:space="preserve"> </w:t>
            </w:r>
          </w:p>
        </w:tc>
      </w:tr>
      <w:tr>
        <w:trPr/>
        <w:tc>
          <w:tcPr>
            <w:tcW w:w="4606" w:type="dxa"/>
            <w:tcBorders/>
            <w:vAlign w:val="center"/>
          </w:tcPr>
          <w:p>
            <w:pPr>
              <w:pStyle w:val="TableContents"/>
              <w:bidi w:val="0"/>
              <w:spacing w:before="0" w:after="283"/>
              <w:jc w:val="left"/>
              <w:rPr/>
            </w:pPr>
            <w:r>
              <w:rPr/>
              <w:t> </w:t>
            </w:r>
          </w:p>
        </w:tc>
      </w:tr>
      <w:tr>
        <w:trPr/>
        <w:tc>
          <w:tcPr>
            <w:tcW w:w="4606" w:type="dxa"/>
            <w:tcBorders/>
            <w:vAlign w:val="center"/>
          </w:tcPr>
          <w:p>
            <w:pPr>
              <w:pStyle w:val="TableContents"/>
              <w:bidi w:val="0"/>
              <w:spacing w:before="0" w:after="283"/>
              <w:jc w:val="left"/>
              <w:rPr/>
            </w:pPr>
            <w:r>
              <w:rPr/>
              <w:t> </w:t>
            </w:r>
          </w:p>
        </w:tc>
      </w:tr>
      <w:tr>
        <w:trPr/>
        <w:tc>
          <w:tcPr>
            <w:tcW w:w="460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Anthony Storino</w:t>
            </w:r>
          </w:p>
        </w:tc>
      </w:tr>
      <w:tr>
        <w:trPr/>
        <w:tc>
          <w:tcPr>
            <w:tcW w:w="46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r>
        <w:trPr/>
        <w:tc>
          <w:tcPr>
            <w:tcW w:w="4606"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b/>
                <w:color w:val="000000"/>
                <w:sz w:val="20"/>
              </w:rPr>
              <w:t>SCP PRIVATE CREDIT INCOME BDC SPV LLC</w:t>
            </w:r>
            <w:r>
              <w:rPr>
                <w:rFonts w:ascii="Times New Roman" w:hAnsi="Times New Roman"/>
                <w:color w:val="000000"/>
                <w:sz w:val="20"/>
              </w:rPr>
              <w:t xml:space="preserve"> </w:t>
            </w:r>
          </w:p>
        </w:tc>
      </w:tr>
      <w:tr>
        <w:trPr/>
        <w:tc>
          <w:tcPr>
            <w:tcW w:w="4606" w:type="dxa"/>
            <w:tcBorders/>
            <w:vAlign w:val="center"/>
          </w:tcPr>
          <w:p>
            <w:pPr>
              <w:pStyle w:val="TableContents"/>
              <w:bidi w:val="0"/>
              <w:spacing w:before="0" w:after="283"/>
              <w:jc w:val="left"/>
              <w:rPr/>
            </w:pPr>
            <w:r>
              <w:rPr/>
              <w:t> </w:t>
            </w:r>
          </w:p>
        </w:tc>
      </w:tr>
      <w:tr>
        <w:trPr/>
        <w:tc>
          <w:tcPr>
            <w:tcW w:w="4606" w:type="dxa"/>
            <w:tcBorders/>
            <w:vAlign w:val="center"/>
          </w:tcPr>
          <w:p>
            <w:pPr>
              <w:pStyle w:val="TableContents"/>
              <w:bidi w:val="0"/>
              <w:spacing w:before="0" w:after="283"/>
              <w:jc w:val="left"/>
              <w:rPr/>
            </w:pPr>
            <w:r>
              <w:rPr/>
              <w:t> </w:t>
            </w:r>
          </w:p>
        </w:tc>
      </w:tr>
      <w:tr>
        <w:trPr/>
        <w:tc>
          <w:tcPr>
            <w:tcW w:w="460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Anthony Storino</w:t>
            </w:r>
          </w:p>
        </w:tc>
      </w:tr>
      <w:tr>
        <w:trPr/>
        <w:tc>
          <w:tcPr>
            <w:tcW w:w="46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jc w:val="left"/>
        <w:rPr/>
      </w:pPr>
      <w:r>
        <w:rPr/>
        <w:t> </w:t>
      </w:r>
    </w:p>
    <w:p>
      <w:pPr>
        <w:pStyle w:val="TextBody"/>
        <w:bidi w:val="0"/>
        <w:jc w:val="left"/>
        <w:rPr/>
      </w:pPr>
      <w:r>
        <w:rPr/>
        <w:t> </w:t>
      </w:r>
    </w:p>
    <w:tbl>
      <w:tblPr>
        <w:tblW w:w="5131" w:type="dxa"/>
        <w:jc w:val="left"/>
        <w:tblInd w:w="0" w:type="dxa"/>
        <w:tblLayout w:type="fixed"/>
        <w:tblCellMar>
          <w:top w:w="28" w:type="dxa"/>
          <w:left w:w="28" w:type="dxa"/>
          <w:bottom w:w="28" w:type="dxa"/>
          <w:right w:w="28" w:type="dxa"/>
        </w:tblCellMar>
      </w:tblPr>
      <w:tblGrid>
        <w:gridCol w:w="5131"/>
      </w:tblGrid>
      <w:tr>
        <w:trPr/>
        <w:tc>
          <w:tcPr>
            <w:tcW w:w="5131" w:type="dxa"/>
            <w:tcBorders/>
            <w:vAlign w:val="center"/>
          </w:tcPr>
          <w:p>
            <w:pPr>
              <w:pStyle w:val="TableContents"/>
              <w:bidi w:val="0"/>
              <w:spacing w:before="0" w:after="283"/>
              <w:jc w:val="left"/>
              <w:rPr>
                <w:sz w:val="4"/>
                <w:szCs w:val="4"/>
              </w:rPr>
            </w:pPr>
            <w:r>
              <w:rPr>
                <w:sz w:val="4"/>
                <w:szCs w:val="4"/>
              </w:rPr>
            </w:r>
          </w:p>
        </w:tc>
      </w:tr>
      <w:tr>
        <w:trPr/>
        <w:tc>
          <w:tcPr>
            <w:tcW w:w="513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SCP PRIVATE CORPORATE LENDING FUND SPV LLC</w:t>
            </w:r>
            <w:r>
              <w:rPr>
                <w:rFonts w:ascii="Times New Roman" w:hAnsi="Times New Roman"/>
                <w:color w:val="000000"/>
                <w:sz w:val="20"/>
              </w:rPr>
              <w:t xml:space="preserve"> </w:t>
            </w:r>
          </w:p>
        </w:tc>
      </w:tr>
      <w:tr>
        <w:trPr/>
        <w:tc>
          <w:tcPr>
            <w:tcW w:w="5131" w:type="dxa"/>
            <w:tcBorders/>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5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Anthony Storino</w:t>
            </w:r>
          </w:p>
        </w:tc>
      </w:tr>
      <w:tr>
        <w:trPr/>
        <w:tc>
          <w:tcPr>
            <w:tcW w:w="5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jc w:val="left"/>
        <w:rPr/>
      </w:pPr>
      <w:r>
        <w:rPr/>
        <w:t> </w:t>
      </w:r>
    </w:p>
    <w:p>
      <w:pPr>
        <w:pStyle w:val="TextBody"/>
        <w:bidi w:val="0"/>
        <w:jc w:val="left"/>
        <w:rPr/>
      </w:pPr>
      <w:r>
        <w:rPr/>
        <w:t> </w:t>
      </w:r>
    </w:p>
    <w:tbl>
      <w:tblPr>
        <w:tblW w:w="4351" w:type="dxa"/>
        <w:jc w:val="left"/>
        <w:tblInd w:w="0" w:type="dxa"/>
        <w:tblLayout w:type="fixed"/>
        <w:tblCellMar>
          <w:top w:w="28" w:type="dxa"/>
          <w:left w:w="28" w:type="dxa"/>
          <w:bottom w:w="28" w:type="dxa"/>
          <w:right w:w="28" w:type="dxa"/>
        </w:tblCellMar>
      </w:tblPr>
      <w:tblGrid>
        <w:gridCol w:w="4351"/>
      </w:tblGrid>
      <w:tr>
        <w:trPr/>
        <w:tc>
          <w:tcPr>
            <w:tcW w:w="4351"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SCP CAYMAN DEBT MASTER FUND SPV LLC</w:t>
            </w:r>
            <w:r>
              <w:rPr>
                <w:rFonts w:ascii="Times New Roman" w:hAnsi="Times New Roman"/>
                <w:color w:val="000000"/>
                <w:sz w:val="20"/>
              </w:rPr>
              <w:t xml:space="preserve"> </w:t>
            </w:r>
          </w:p>
        </w:tc>
      </w:tr>
      <w:tr>
        <w:trPr/>
        <w:tc>
          <w:tcPr>
            <w:tcW w:w="4351" w:type="dxa"/>
            <w:tcBorders/>
            <w:vAlign w:val="center"/>
          </w:tcPr>
          <w:p>
            <w:pPr>
              <w:pStyle w:val="TableContents"/>
              <w:bidi w:val="0"/>
              <w:spacing w:before="0" w:after="283"/>
              <w:jc w:val="left"/>
              <w:rPr/>
            </w:pPr>
            <w:r>
              <w:rPr/>
              <w:t> </w:t>
            </w:r>
          </w:p>
        </w:tc>
      </w:tr>
      <w:tr>
        <w:trPr/>
        <w:tc>
          <w:tcPr>
            <w:tcW w:w="4351" w:type="dxa"/>
            <w:tcBorders/>
            <w:vAlign w:val="center"/>
          </w:tcPr>
          <w:p>
            <w:pPr>
              <w:pStyle w:val="TableContents"/>
              <w:bidi w:val="0"/>
              <w:spacing w:before="0" w:after="283"/>
              <w:jc w:val="left"/>
              <w:rPr/>
            </w:pPr>
            <w:r>
              <w:rPr/>
              <w:t> </w:t>
            </w:r>
          </w:p>
        </w:tc>
      </w:tr>
      <w:tr>
        <w:trPr/>
        <w:tc>
          <w:tcPr>
            <w:tcW w:w="435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3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Anthony Storino</w:t>
            </w:r>
          </w:p>
        </w:tc>
      </w:tr>
      <w:tr>
        <w:trPr/>
        <w:tc>
          <w:tcPr>
            <w:tcW w:w="43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r>
        <w:trPr/>
        <w:tc>
          <w:tcPr>
            <w:tcW w:w="4351" w:type="dxa"/>
            <w:tcBorders/>
            <w:vAlign w:val="center"/>
          </w:tcPr>
          <w:p>
            <w:pPr>
              <w:pStyle w:val="TableContents"/>
              <w:bidi w:val="0"/>
              <w:jc w:val="left"/>
              <w:rPr/>
            </w:pPr>
            <w:r>
              <w:rPr/>
              <w:t> </w:t>
            </w:r>
          </w:p>
          <w:p>
            <w:pPr>
              <w:pStyle w:val="TableContents"/>
              <w:bidi w:val="0"/>
              <w:spacing w:before="0" w:after="283"/>
              <w:jc w:val="left"/>
              <w:rPr/>
            </w:pPr>
            <w:r>
              <w:rPr/>
              <w:t> </w:t>
            </w:r>
          </w:p>
        </w:tc>
      </w:tr>
      <w:tr>
        <w:trPr/>
        <w:tc>
          <w:tcPr>
            <w:tcW w:w="435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SLR CP SF DEBT FUND SPV LLC</w:t>
            </w:r>
            <w:r>
              <w:rPr>
                <w:rFonts w:ascii="Times New Roman" w:hAnsi="Times New Roman"/>
                <w:color w:val="000000"/>
                <w:sz w:val="20"/>
              </w:rPr>
              <w:t xml:space="preserve"> </w:t>
            </w:r>
          </w:p>
        </w:tc>
      </w:tr>
      <w:tr>
        <w:trPr/>
        <w:tc>
          <w:tcPr>
            <w:tcW w:w="4351" w:type="dxa"/>
            <w:tcBorders/>
            <w:vAlign w:val="center"/>
          </w:tcPr>
          <w:p>
            <w:pPr>
              <w:pStyle w:val="TableContents"/>
              <w:bidi w:val="0"/>
              <w:spacing w:before="0" w:after="283"/>
              <w:jc w:val="left"/>
              <w:rPr/>
            </w:pPr>
            <w:r>
              <w:rPr/>
              <w:t> </w:t>
            </w:r>
          </w:p>
        </w:tc>
      </w:tr>
      <w:tr>
        <w:trPr/>
        <w:tc>
          <w:tcPr>
            <w:tcW w:w="4351" w:type="dxa"/>
            <w:tcBorders/>
            <w:vAlign w:val="center"/>
          </w:tcPr>
          <w:p>
            <w:pPr>
              <w:pStyle w:val="TableContents"/>
              <w:bidi w:val="0"/>
              <w:spacing w:before="0" w:after="283"/>
              <w:jc w:val="left"/>
              <w:rPr/>
            </w:pPr>
            <w:r>
              <w:rPr/>
              <w:t> </w:t>
            </w:r>
          </w:p>
        </w:tc>
      </w:tr>
      <w:tr>
        <w:trPr/>
        <w:tc>
          <w:tcPr>
            <w:tcW w:w="435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35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SLR HC FUND SPV, LLC</w:t>
            </w:r>
            <w:r>
              <w:rPr>
                <w:rFonts w:ascii="Times New Roman" w:hAnsi="Times New Roman"/>
                <w:color w:val="000000"/>
                <w:sz w:val="20"/>
              </w:rPr>
              <w:t xml:space="preserve">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Anthony Storino</w:t>
            </w:r>
          </w:p>
        </w:tc>
      </w:tr>
      <w:tr>
        <w:trPr/>
        <w:tc>
          <w:tcPr>
            <w:tcW w:w="46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666" w:type="dxa"/>
            <w:tcBorders/>
            <w:vAlign w:val="center"/>
          </w:tcPr>
          <w:p>
            <w:pPr>
              <w:pStyle w:val="TableContents"/>
              <w:bidi w:val="0"/>
              <w:jc w:val="left"/>
              <w:rPr>
                <w:rFonts w:ascii="Times New Roman" w:hAnsi="Times New Roman"/>
                <w:sz w:val="20"/>
              </w:rPr>
            </w:pPr>
            <w:r>
              <w:rPr>
                <w:rFonts w:ascii="Times New Roman" w:hAnsi="Times New Roman"/>
                <w:b/>
                <w:color w:val="000000"/>
                <w:sz w:val="20"/>
              </w:rPr>
              <w:t>SLR HC BDC SPV LLC</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SCP PRIVATE CREDIT INCOME FUND L.P.</w:t>
            </w:r>
            <w:r>
              <w:rPr>
                <w:rFonts w:ascii="Times New Roman" w:hAnsi="Times New Roman"/>
                <w:color w:val="000000"/>
                <w:sz w:val="20"/>
              </w:rPr>
              <w:t xml:space="preserve">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SCP PRIVATE CREDIT INCOME BDC LLC</w:t>
            </w:r>
            <w:r>
              <w:rPr>
                <w:rFonts w:ascii="Times New Roman" w:hAnsi="Times New Roman"/>
                <w:color w:val="000000"/>
                <w:sz w:val="20"/>
              </w:rPr>
              <w:t xml:space="preserve">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SCP PRIVATE CORPORATE LENDING FUND L.P.</w:t>
            </w:r>
            <w:r>
              <w:rPr>
                <w:rFonts w:ascii="Times New Roman" w:hAnsi="Times New Roman"/>
                <w:color w:val="000000"/>
                <w:sz w:val="20"/>
              </w:rPr>
              <w:t xml:space="preserve">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SCP SF DEBT FUND L.P</w:t>
            </w:r>
            <w:r>
              <w:rPr>
                <w:rFonts w:ascii="Times New Roman" w:hAnsi="Times New Roman"/>
                <w:color w:val="000000"/>
                <w:sz w:val="20"/>
              </w:rPr>
              <w:t xml:space="preserve">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SLR HC ONSHORE FUND L.P.</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pPr>
            <w:r>
              <w:rPr/>
              <w:t> </w:t>
            </w:r>
          </w:p>
        </w:tc>
      </w:tr>
      <w:tr>
        <w:trPr/>
        <w:tc>
          <w:tcPr>
            <w:tcW w:w="466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6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SLR HC BDC LLC</w:t>
            </w:r>
            <w:r>
              <w:rPr>
                <w:rFonts w:ascii="Times New Roman" w:hAnsi="Times New Roman"/>
                <w:color w:val="000000"/>
                <w:sz w:val="20"/>
              </w:rPr>
              <w:t xml:space="preserve">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8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SLR 1818 L.P.</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8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876" w:type="dxa"/>
            <w:tcBorders/>
            <w:vAlign w:val="center"/>
          </w:tcPr>
          <w:p>
            <w:pPr>
              <w:pStyle w:val="TableContents"/>
              <w:bidi w:val="0"/>
              <w:jc w:val="left"/>
              <w:rPr>
                <w:rFonts w:ascii="Times New Roman" w:hAnsi="Times New Roman"/>
                <w:sz w:val="20"/>
              </w:rPr>
            </w:pPr>
            <w:r>
              <w:rPr>
                <w:rFonts w:ascii="Times New Roman" w:hAnsi="Times New Roman"/>
                <w:b/>
                <w:color w:val="000000"/>
                <w:sz w:val="20"/>
              </w:rPr>
              <w:t>SLR PRIVATE CREDIT FUND II L.P</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8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SLR PRIVATE CREDIT BDC II LLC</w:t>
            </w:r>
            <w:r>
              <w:rPr>
                <w:rFonts w:ascii="Times New Roman" w:hAnsi="Times New Roman"/>
                <w:color w:val="000000"/>
                <w:sz w:val="20"/>
              </w:rPr>
              <w:t xml:space="preserve">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8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SLR PRIVATE CORPORATE LENDING FUND II L.P.</w:t>
            </w:r>
            <w:r>
              <w:rPr>
                <w:rFonts w:ascii="Times New Roman" w:hAnsi="Times New Roman"/>
                <w:color w:val="000000"/>
                <w:sz w:val="20"/>
              </w:rPr>
              <w:t xml:space="preserve">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8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Anthony Storino</w:t>
            </w:r>
          </w:p>
          <w:p>
            <w:pPr>
              <w:pStyle w:val="TableContents"/>
              <w:bidi w:val="0"/>
              <w:jc w:val="left"/>
              <w:rPr>
                <w:rFonts w:ascii="Times New Roman" w:hAnsi="Times New Roman"/>
                <w:color w:val="000000"/>
                <w:sz w:val="20"/>
              </w:rPr>
            </w:pPr>
            <w:r>
              <w:rPr>
                <w:rFonts w:ascii="Times New Roman" w:hAnsi="Times New Roman"/>
                <w:color w:val="000000"/>
                <w:sz w:val="20"/>
              </w:rPr>
              <w:t>Title: Authorized Signatory</w:t>
            </w:r>
          </w:p>
          <w:p>
            <w:pPr>
              <w:pStyle w:val="TableContents"/>
              <w:bidi w:val="0"/>
              <w:jc w:val="left"/>
              <w:rPr/>
            </w:pPr>
            <w:r>
              <w:rPr/>
              <w:t> </w:t>
            </w:r>
          </w:p>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CRPTF-SLR CREDIT PARTNERSHIP L.P.</w:t>
            </w:r>
            <w:r>
              <w:rPr>
                <w:rFonts w:ascii="Times New Roman" w:hAnsi="Times New Roman"/>
                <w:color w:val="000000"/>
                <w:sz w:val="20"/>
              </w:rPr>
              <w:t xml:space="preserve">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pPr>
            <w:r>
              <w:rPr/>
              <w:t> </w:t>
            </w:r>
          </w:p>
        </w:tc>
      </w:tr>
      <w:tr>
        <w:trPr/>
        <w:tc>
          <w:tcPr>
            <w:tcW w:w="487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Anthony Storino</w:t>
            </w:r>
          </w:p>
        </w:tc>
      </w:tr>
      <w:tr>
        <w:trPr/>
        <w:tc>
          <w:tcPr>
            <w:tcW w:w="48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Anthony Storino</w:t>
            </w:r>
          </w:p>
        </w:tc>
      </w:tr>
      <w:tr>
        <w:trPr/>
        <w:tc>
          <w:tcPr>
            <w:tcW w:w="48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om-ex23_1.htm"/>
      <w:bookmarkStart w:id="43" w:name="ksomex23_1"/>
      <w:bookmarkEnd w:id="42"/>
      <w:bookmarkEnd w:id="43"/>
      <w:r>
        <w:rPr>
          <w:rFonts w:ascii="Times New Roman" w:hAnsi="Times New Roman"/>
          <w:b/>
          <w:color w:val="000000"/>
          <w:sz w:val="20"/>
        </w:rPr>
        <w:t>Exhibit 23.1</w:t>
      </w:r>
      <w:r>
        <w:br w:type="page"/>
      </w:r>
    </w:p>
    <w:p>
      <w:pPr>
        <w:pStyle w:val="TextBody"/>
        <w:bidi w:val="0"/>
        <w:jc w:val="left"/>
        <w:rPr/>
      </w:pPr>
      <w:r>
        <w:rPr/>
        <w:t> </w:t>
      </w:r>
    </w:p>
    <w:p>
      <w:pPr>
        <w:pStyle w:val="TextBody"/>
        <w:bidi w:val="0"/>
        <w:jc w:val="left"/>
        <w:rPr/>
      </w:pPr>
      <w:r>
        <w:rPr/>
        <w:t> </w:t>
      </w:r>
    </w:p>
    <w:p>
      <w:pPr>
        <w:pStyle w:val="TextBody"/>
        <w:bidi w:val="0"/>
        <w:spacing w:before="0" w:after="4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w:t>
        <w:noBreakHyphen/>
        <w:t xml:space="preserve">248903, 333-262927 and 333-269746) on Form S-8 of our report dated February 21, 2024, with respect to the financial statements of Outset Medical, Inc. and the effectiveness of internal control over financial reporting. </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San Francisco, California</w:t>
        <w:br/>
        <w:t xml:space="preserve">February 21, 2024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om-ex31_1.htm"/>
      <w:bookmarkStart w:id="45" w:name="ksomex31_1"/>
      <w:bookmarkEnd w:id="44"/>
      <w:bookmarkEnd w:id="45"/>
      <w:r>
        <w:rPr>
          <w:rFonts w:ascii="Times New Roman" w:hAnsi="Times New Roman"/>
          <w:b/>
          <w:color w:val="000000"/>
          <w:sz w:val="20"/>
        </w:rPr>
        <w:t>Exhibit 31.1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Leslie Trigg,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Outset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2086"/>
        <w:gridCol w:w="40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21,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Trigg</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om-ex31_2.htm"/>
      <w:bookmarkStart w:id="47" w:name="ksomex31_2"/>
      <w:bookmarkEnd w:id="46"/>
      <w:bookmarkEnd w:id="47"/>
      <w:r>
        <w:rPr>
          <w:rFonts w:ascii="Times New Roman" w:hAnsi="Times New Roman"/>
          <w:b/>
          <w:color w:val="000000"/>
          <w:sz w:val="20"/>
        </w:rPr>
        <w:t>Exhibit 31.2</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Nabeel Ahmed,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Outset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13" w:type="dxa"/>
        <w:jc w:val="left"/>
        <w:tblInd w:w="0" w:type="dxa"/>
        <w:tblLayout w:type="fixed"/>
        <w:tblCellMar>
          <w:top w:w="28" w:type="dxa"/>
          <w:left w:w="28" w:type="dxa"/>
          <w:bottom w:w="28" w:type="dxa"/>
          <w:right w:w="28" w:type="dxa"/>
        </w:tblCellMar>
      </w:tblPr>
      <w:tblGrid>
        <w:gridCol w:w="2086"/>
        <w:gridCol w:w="406"/>
        <w:gridCol w:w="2521"/>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21,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Nabeel Ahmed</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Nabeel Ahmed</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om-ex32_1.htm"/>
      <w:bookmarkStart w:id="49" w:name="ksomex32_1"/>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CERTIFICATION PURSUANT TO</w:t>
      </w:r>
    </w:p>
    <w:p>
      <w:pPr>
        <w:pStyle w:val="TextBody"/>
        <w:bidi w:val="0"/>
        <w:jc w:val="center"/>
        <w:rPr>
          <w:rFonts w:ascii="Times New Roman" w:hAnsi="Times New Roman"/>
          <w:b/>
          <w:color w:val="000000"/>
          <w:sz w:val="22"/>
        </w:rPr>
      </w:pPr>
      <w:r>
        <w:rPr>
          <w:rFonts w:ascii="Times New Roman" w:hAnsi="Times New Roman"/>
          <w:b/>
          <w:color w:val="000000"/>
          <w:sz w:val="22"/>
        </w:rPr>
        <w:t>18 U.S.C. SECTION 1350, 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Annual Report of Outset Medical, Inc. (the “Company”) on Form 10-K for the period ended December 31, 2023, as filed with the Securities and Exchange Commission on the date hereof (the “Report”), each of the undersigned certifies, pursuant to 18 U.S.C. §1350, as adopted pursuant to §906 of the Sarbanes-Oxley Act of 2002, that, to her or his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1268"/>
        <w:gridCol w:w="862"/>
        <w:gridCol w:w="406"/>
        <w:gridCol w:w="2506"/>
      </w:tblGrid>
      <w:tr>
        <w:trPr/>
        <w:tc>
          <w:tcPr>
            <w:tcW w:w="126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3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February 21, 2024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Leslie Trigg</w:t>
            </w:r>
          </w:p>
        </w:tc>
      </w:tr>
      <w:tr>
        <w:trPr/>
        <w:tc>
          <w:tcPr>
            <w:tcW w:w="1268"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Leslie Trigg</w:t>
            </w:r>
          </w:p>
        </w:tc>
      </w:tr>
      <w:tr>
        <w:trPr/>
        <w:tc>
          <w:tcPr>
            <w:tcW w:w="1268"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268"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1241"/>
        <w:gridCol w:w="844"/>
        <w:gridCol w:w="406"/>
        <w:gridCol w:w="2521"/>
      </w:tblGrid>
      <w:tr>
        <w:trPr/>
        <w:tc>
          <w:tcPr>
            <w:tcW w:w="12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085"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21,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Nabeel Ahmed</w:t>
            </w:r>
          </w:p>
        </w:tc>
      </w:tr>
      <w:tr>
        <w:trPr/>
        <w:tc>
          <w:tcPr>
            <w:tcW w:w="1241"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Nabeel Ahmed</w:t>
            </w:r>
          </w:p>
        </w:tc>
      </w:tr>
      <w:tr>
        <w:trPr/>
        <w:tc>
          <w:tcPr>
            <w:tcW w:w="1241"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41"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the Form 10-K to which it relates, is not deemed filed with the Securities and</w:t>
      </w:r>
    </w:p>
    <w:p>
      <w:pPr>
        <w:pStyle w:val="TextBody"/>
        <w:bidi w:val="0"/>
        <w:jc w:val="left"/>
        <w:rPr>
          <w:rFonts w:ascii="Times New Roman" w:hAnsi="Times New Roman"/>
          <w:i/>
          <w:color w:val="000000"/>
          <w:sz w:val="20"/>
        </w:rPr>
      </w:pPr>
      <w:r>
        <w:rPr>
          <w:rFonts w:ascii="Times New Roman" w:hAnsi="Times New Roman"/>
          <w:i/>
          <w:color w:val="000000"/>
          <w:sz w:val="20"/>
        </w:rPr>
        <w:t>Exchange Commission and is not to be incorporated by reference into any filing of the Company under the</w:t>
      </w:r>
    </w:p>
    <w:p>
      <w:pPr>
        <w:pStyle w:val="TextBody"/>
        <w:bidi w:val="0"/>
        <w:jc w:val="left"/>
        <w:rPr>
          <w:rFonts w:ascii="Times New Roman" w:hAnsi="Times New Roman"/>
          <w:i/>
          <w:color w:val="000000"/>
          <w:sz w:val="20"/>
        </w:rPr>
      </w:pPr>
      <w:r>
        <w:rPr>
          <w:rFonts w:ascii="Times New Roman" w:hAnsi="Times New Roman"/>
          <w:i/>
          <w:color w:val="000000"/>
          <w:sz w:val="20"/>
        </w:rPr>
        <w:t>Securities Act of 1933, as amended, or the Securities Exchange Act of 1934, as amended (whether made before or</w:t>
      </w:r>
    </w:p>
    <w:p>
      <w:pPr>
        <w:pStyle w:val="TextBody"/>
        <w:bidi w:val="0"/>
        <w:jc w:val="left"/>
        <w:rPr>
          <w:rFonts w:ascii="Times New Roman" w:hAnsi="Times New Roman"/>
          <w:i/>
          <w:color w:val="000000"/>
          <w:sz w:val="20"/>
        </w:rPr>
      </w:pPr>
      <w:r>
        <w:rPr>
          <w:rFonts w:ascii="Times New Roman" w:hAnsi="Times New Roman"/>
          <w:i/>
          <w:color w:val="000000"/>
          <w:sz w:val="20"/>
        </w:rPr>
        <w:t>after the date of the Form 10-K),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om-ex97_1.htm"/>
      <w:bookmarkStart w:id="51" w:name="ksomex97_1"/>
      <w:bookmarkEnd w:id="50"/>
      <w:bookmarkEnd w:id="51"/>
      <w:r>
        <w:rPr>
          <w:rFonts w:ascii="Times New Roman" w:hAnsi="Times New Roman"/>
          <w:b/>
          <w:color w:val="000000"/>
          <w:sz w:val="20"/>
        </w:rPr>
        <w:t>Exhibit 97.1</w:t>
      </w:r>
      <w:r>
        <w:br w:type="page"/>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r>
        <w:rPr>
          <w:rFonts w:ascii="Times New Roman" w:hAnsi="Times New Roman"/>
          <w:b/>
          <w:color w:val="000000"/>
          <w:sz w:val="20"/>
        </w:rPr>
        <w:t>POLICY ON RECOUPMENT OF INCENTIVE COMPENSATION</w:t>
      </w:r>
    </w:p>
    <w:p>
      <w:pPr>
        <w:pStyle w:val="TextBody"/>
        <w:bidi w:val="0"/>
        <w:jc w:val="center"/>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Introduction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Board of Directors (the “</w:t>
      </w:r>
      <w:r>
        <w:rPr>
          <w:rFonts w:ascii="Times New Roman" w:hAnsi="Times New Roman"/>
          <w:b/>
          <w:i/>
          <w:color w:val="000000"/>
          <w:sz w:val="20"/>
        </w:rPr>
        <w:t>Board</w:t>
      </w:r>
      <w:r>
        <w:rPr>
          <w:rFonts w:ascii="Times New Roman" w:hAnsi="Times New Roman"/>
          <w:color w:val="000000"/>
          <w:sz w:val="20"/>
        </w:rPr>
        <w:t>”) of Outset Medical, Inc. (the “</w:t>
      </w:r>
      <w:r>
        <w:rPr>
          <w:rFonts w:ascii="Times New Roman" w:hAnsi="Times New Roman"/>
          <w:b/>
          <w:i/>
          <w:color w:val="000000"/>
          <w:sz w:val="20"/>
        </w:rPr>
        <w:t>Company</w:t>
      </w:r>
      <w:r>
        <w:rPr>
          <w:rFonts w:ascii="Times New Roman" w:hAnsi="Times New Roman"/>
          <w:color w:val="000000"/>
          <w:sz w:val="20"/>
        </w:rPr>
        <w:t>”) has adopted this Policy on Recoupment of Incentive Compensation (this “</w:t>
      </w:r>
      <w:r>
        <w:rPr>
          <w:rFonts w:ascii="Times New Roman" w:hAnsi="Times New Roman"/>
          <w:b/>
          <w:i/>
          <w:color w:val="000000"/>
          <w:sz w:val="20"/>
        </w:rPr>
        <w:t>Policy</w:t>
      </w:r>
      <w:r>
        <w:rPr>
          <w:rFonts w:ascii="Times New Roman" w:hAnsi="Times New Roman"/>
          <w:color w:val="000000"/>
          <w:sz w:val="20"/>
        </w:rPr>
        <w:t>”), which provides for the recoupment of compensation in certain circumstances in the event of a restatement of financial results by the Company. This Policy is intended to comply with the requirements of Securities and Exchange Commission rules and Nasdaq Stock Market (“</w:t>
      </w:r>
      <w:r>
        <w:rPr>
          <w:rFonts w:ascii="Times New Roman" w:hAnsi="Times New Roman"/>
          <w:b/>
          <w:i/>
          <w:color w:val="000000"/>
          <w:sz w:val="20"/>
        </w:rPr>
        <w:t>Nasdaq</w:t>
      </w:r>
      <w:r>
        <w:rPr>
          <w:rFonts w:ascii="Times New Roman" w:hAnsi="Times New Roman"/>
          <w:color w:val="000000"/>
          <w:sz w:val="20"/>
        </w:rPr>
        <w:t>”) listing standards implementing Section 954 of the Dodd-Frank Wall Street Reform and Consumer Protection Act of 2010 (the “</w:t>
      </w:r>
      <w:r>
        <w:rPr>
          <w:rFonts w:ascii="Times New Roman" w:hAnsi="Times New Roman"/>
          <w:b/>
          <w:i/>
          <w:color w:val="000000"/>
          <w:sz w:val="20"/>
        </w:rPr>
        <w:t>Dodd-Frank Act</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Administration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This Policy shall be administered by the Compensation Committee of the Board (the “</w:t>
      </w:r>
      <w:r>
        <w:rPr>
          <w:rFonts w:ascii="Times New Roman" w:hAnsi="Times New Roman"/>
          <w:b/>
          <w:i/>
          <w:color w:val="000000"/>
          <w:sz w:val="20"/>
        </w:rPr>
        <w:t>Compensation Committee</w:t>
      </w:r>
      <w:r>
        <w:rPr>
          <w:rFonts w:ascii="Times New Roman" w:hAnsi="Times New Roman"/>
          <w:color w:val="000000"/>
          <w:sz w:val="20"/>
        </w:rPr>
        <w:t>”).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w:t>
      </w:r>
    </w:p>
    <w:p>
      <w:pPr>
        <w:pStyle w:val="TextBody"/>
        <w:bidi w:val="0"/>
        <w:jc w:val="both"/>
        <w:rPr/>
      </w:pPr>
      <w:r>
        <w:rPr/>
        <w:t> </w:t>
      </w:r>
    </w:p>
    <w:p>
      <w:pPr>
        <w:pStyle w:val="TextBody"/>
        <w:bidi w:val="0"/>
        <w:spacing w:before="0" w:after="240"/>
        <w:jc w:val="both"/>
        <w:rPr>
          <w:rFonts w:ascii="Times New Roman" w:hAnsi="Times New Roman"/>
          <w:b/>
          <w:color w:val="000000"/>
          <w:sz w:val="20"/>
          <w:u w:val="single"/>
        </w:rPr>
      </w:pPr>
      <w:bookmarkStart w:id="52" w:name="a154254"/>
      <w:bookmarkEnd w:id="52"/>
      <w:r>
        <w:rPr>
          <w:rFonts w:ascii="Times New Roman" w:hAnsi="Times New Roman"/>
          <w:b/>
          <w:color w:val="000000"/>
          <w:sz w:val="20"/>
          <w:u w:val="single"/>
        </w:rPr>
        <w:t>Covered Executives</w:t>
      </w:r>
    </w:p>
    <w:p>
      <w:pPr>
        <w:pStyle w:val="TextBody"/>
        <w:bidi w:val="0"/>
        <w:jc w:val="both"/>
        <w:rPr>
          <w:rFonts w:ascii="Times New Roman" w:hAnsi="Times New Roman"/>
          <w:sz w:val="20"/>
        </w:rPr>
      </w:pPr>
      <w:r>
        <w:rPr>
          <w:rFonts w:ascii="Times New Roman" w:hAnsi="Times New Roman"/>
          <w:color w:val="000000"/>
          <w:sz w:val="20"/>
        </w:rPr>
        <w:t>This Policy applies to any current or former “executive officer,” within the meaning of Rule 10D-1 under the Securities Exchange Act of 1934, as amended, who was employed by the Company or a subsidiary of the Company (each such individual, an “</w:t>
      </w:r>
      <w:r>
        <w:rPr>
          <w:rFonts w:ascii="Times New Roman" w:hAnsi="Times New Roman"/>
          <w:b/>
          <w:i/>
          <w:color w:val="000000"/>
          <w:sz w:val="20"/>
        </w:rPr>
        <w:t>Executive</w:t>
      </w:r>
      <w:r>
        <w:rPr>
          <w:rFonts w:ascii="Times New Roman" w:hAnsi="Times New Roman"/>
          <w:color w:val="000000"/>
          <w:sz w:val="20"/>
        </w:rPr>
        <w:t>”) during the applicable Recovery Period, as defined below. This Policy shall be binding and enforceable against all Executives and their beneficiaries, executors, administrators, and other legal representatives.</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Recoupment Upon Financial Restatement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hAnsi="Times New Roman"/>
          <w:b/>
          <w:i/>
          <w:color w:val="000000"/>
          <w:sz w:val="20"/>
        </w:rPr>
        <w:t>Financial Restatement</w:t>
      </w:r>
      <w:r>
        <w:rPr>
          <w:rFonts w:ascii="Times New Roman" w:hAnsi="Times New Roman"/>
          <w:color w:val="000000"/>
          <w:sz w:val="20"/>
        </w:rPr>
        <w:t>”), the Compensation Committee shall cause the Company to recoup from each Executive, as promptly as reasonably possible, any erroneously awarded Incentive-Based Compensation, as defined below.</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No-Fault Recovery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Recoupment under this Policy shall be required regardless of whether the Executive or any other person was at fault or responsible for accounting errors that contributed to the need for the Financial Restatement or engaged in any misconduct.</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Compensation Subject to Recovery; Enforcement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This Policy applies to all compensation granted, earned or vested based wholly or in part upon the attainment of any financial reporting measure, including stock price and total shareholder return (“</w:t>
      </w:r>
      <w:r>
        <w:rPr>
          <w:rFonts w:ascii="Times New Roman" w:hAnsi="Times New Roman"/>
          <w:b/>
          <w:i/>
          <w:color w:val="000000"/>
          <w:sz w:val="20"/>
        </w:rPr>
        <w:t>TSR</w:t>
      </w:r>
      <w:r>
        <w:rPr>
          <w:rFonts w:ascii="Times New Roman" w:hAnsi="Times New Roman"/>
          <w:color w:val="000000"/>
          <w:sz w:val="20"/>
        </w:rPr>
        <w:t>”), including but not limited to performance-based cash, stock, options or other equity-based awards paid or granted to the Executive (“</w:t>
      </w:r>
      <w:r>
        <w:rPr>
          <w:rFonts w:ascii="Times New Roman" w:hAnsi="Times New Roman"/>
          <w:b/>
          <w:i/>
          <w:color w:val="000000"/>
          <w:sz w:val="20"/>
        </w:rPr>
        <w:t>Incentive-Based Compensation</w:t>
      </w:r>
      <w:r>
        <w:rPr>
          <w:rFonts w:ascii="Times New Roman" w:hAnsi="Times New Roman"/>
          <w:color w:val="000000"/>
          <w:sz w:val="20"/>
        </w:rPr>
        <w:t>”). Compensation that is granted, vests or is earned based solely upon the occurrence of non-financial events, such as base salary, restricted stock or options with time-based vesting, or a bonus awarded solely at the discretion of the Board or Compensation Committee and not based on the attainment of any financial measure is not subject to this Policy.</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In the event of a Financial Restatement, the amount to be recovered will be the excess of (i) the Incentive-Based Compensation received by the Executive during the three completed fiscal years immediately preceding the date on which the Company is required to prepare the Financial Restatement, as determined in accordance with the last sentence of this paragraph (the “</w:t>
      </w:r>
      <w:r>
        <w:rPr>
          <w:rFonts w:ascii="Times New Roman" w:hAnsi="Times New Roman"/>
          <w:b/>
          <w:i/>
          <w:color w:val="000000"/>
          <w:sz w:val="20"/>
        </w:rPr>
        <w:t>Recovery Period</w:t>
      </w:r>
      <w:r>
        <w:rPr>
          <w:rFonts w:ascii="Times New Roman" w:hAnsi="Times New Roman"/>
          <w:color w:val="000000"/>
          <w:sz w:val="20"/>
        </w:rPr>
        <w:t>”),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this purpose, Incentive-Based Compensation is considered to have been received by an Executive in the fiscal year during which the applicable financial reporting measure was attained or purportedly attained, regardless of when the payment or grant of such Incentive-Based Compensation occurs.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Incentive-Based Compensation based on stock price or TSR, where the amount of erroneously awarded compensation is not subject to mathematical recalculation directly from the information in the Financial Restatement, the Compensation Committee shall determine the amount to be recovered based on a reasonable estimate of the effect of the Financial Restatement on the stock price or TSR upon which the Incentive-Based Compensation was received and the Company shall document the determination of that reasonable estimate and provide it to Nasdaq.</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may use any legal or equitable remedies that are available to the Company to recoup any erroneously awarded Incentive-Based Compensation, including but not limited to by collecting from the Executive a cash payment or shares of Company common stock or by forfeiting any amounts that the Company owes to the Executive.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No Indemnification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shall not indemnify any Executive or pay or reimburse the premium for any insurance policy to cover any losses incurred by such Executive under this Policy.</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Exceptions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compensation recouped under this Policy shall not include Incentive-Based Compensation received by an Executive (i) prior to beginning service as an Executive or (ii) if he or she did not serve as an Executive at any time during the applicable Recovery Period. The Compensation Committee (or a majority of independent directors serving on the Board) may determine not to seek recovery from an Executive in whole or part to the extent it determines in its sole discretion that such recovery would be impractical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in effect prior to November 28, 2022, as determined by an opinion of counsel licensed in the applicable jurisdiction that is provided to Nasdaq, or (C) recovery would likely cause the Company’s 401(k) plan or any other tax-qualified retirement plan to fail to meet the requirements of Section 401(a)(13) or Section 411(a) of the Internal Revenue Code of 1986, as amended.</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Other Remedies Not Precluded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exercise by the Compensation Committee of any rights pursuant to this Policy shall be without prejudice to any other rights or remedies that the Company, the Board or the Compensation Committee may have with respect to any Executive subject to this Policy.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Effective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This Policy has been adopted by the Board, effective as of April 25, 2023 (the “</w:t>
      </w:r>
      <w:r>
        <w:rPr>
          <w:rFonts w:ascii="Times New Roman" w:hAnsi="Times New Roman"/>
          <w:b/>
          <w:i/>
          <w:color w:val="000000"/>
          <w:sz w:val="20"/>
        </w:rPr>
        <w:t>Effective Date</w:t>
      </w:r>
      <w:r>
        <w:rPr>
          <w:rFonts w:ascii="Times New Roman" w:hAnsi="Times New Roman"/>
          <w:color w:val="000000"/>
          <w:sz w:val="20"/>
        </w:rPr>
        <w:t xml:space="preserve">”) and shall apply to any Incentive-Based Compensation that is received by an Executive on or after the Effective Date.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84612/000119312520241516/d941853dex31.htm" TargetMode="External"/><Relationship Id="rId5" Type="http://schemas.openxmlformats.org/officeDocument/2006/relationships/hyperlink" Target="https://www.sec.gov/Archives/edgar/data/1484612/000119312520241516/d941853dex32.htm" TargetMode="External"/><Relationship Id="rId6" Type="http://schemas.openxmlformats.org/officeDocument/2006/relationships/hyperlink" Target="https://www.sec.gov/Archives/edgar/data/1484612/000119312520241516/d941853dex41.htm" TargetMode="External"/><Relationship Id="rId7" Type="http://schemas.openxmlformats.org/officeDocument/2006/relationships/hyperlink" Target="https://www.sec.gov/Archives/edgar/data/1484612/000119312520226746/d941853dex42.htm" TargetMode="External"/><Relationship Id="rId8" Type="http://schemas.openxmlformats.org/officeDocument/2006/relationships/hyperlink" Target="https://www.sec.gov/Archives/edgar/data/1484612/000119312520226746/d941853dex43.htm" TargetMode="External"/><Relationship Id="rId9" Type="http://schemas.openxmlformats.org/officeDocument/2006/relationships/hyperlink" Target="https://www.sec.gov/Archives/edgar/data/1484612/000119312520226746/d941853dex44.htm" TargetMode="External"/><Relationship Id="rId10" Type="http://schemas.openxmlformats.org/officeDocument/2006/relationships/hyperlink" Target="https://www.sec.gov/Archives/edgar/data/1484612/000156459021014563/om-ex45_324.htm" TargetMode="External"/><Relationship Id="rId11" Type="http://schemas.openxmlformats.org/officeDocument/2006/relationships/hyperlink" Target="https://www.sec.gov/Archives/edgar/data/1484612/000119312520241516/d941853dex101.htm" TargetMode="External"/><Relationship Id="rId12" Type="http://schemas.openxmlformats.org/officeDocument/2006/relationships/hyperlink" Target="https://www.sec.gov/Archives/edgar/data/1484612/000119312520226746/d941853dex102.htm" TargetMode="External"/><Relationship Id="rId13" Type="http://schemas.openxmlformats.org/officeDocument/2006/relationships/hyperlink" Target="https://www.sec.gov/Archives/edgar/data/1484612/000119312520226746/d941853dex103.htm" TargetMode="External"/><Relationship Id="rId14" Type="http://schemas.openxmlformats.org/officeDocument/2006/relationships/hyperlink" Target="https://www.sec.gov/Archives/edgar/data/1484612/000119312520241516/d941853dex104.htm" TargetMode="External"/><Relationship Id="rId15" Type="http://schemas.openxmlformats.org/officeDocument/2006/relationships/hyperlink" Target="https://www.sec.gov/Archives/edgar/data/0001484612/000156459021014563/om-ex105_323.htm" TargetMode="External"/><Relationship Id="rId16" Type="http://schemas.openxmlformats.org/officeDocument/2006/relationships/hyperlink" Target="https://www.sec.gov/Archives/edgar/data/0001484612/000156459021014563/om-ex106_322.htm" TargetMode="External"/><Relationship Id="rId17" Type="http://schemas.openxmlformats.org/officeDocument/2006/relationships/hyperlink" Target="https://www.sec.gov/Archives/edgar/data/0001484612/000156459021014563/om-ex107_321.htm" TargetMode="External"/><Relationship Id="rId18" Type="http://schemas.openxmlformats.org/officeDocument/2006/relationships/hyperlink" Target="https://www.sec.gov/Archives/edgar/data/0001484612/000156459021014563/om-ex108_319.htm" TargetMode="External"/><Relationship Id="rId19" Type="http://schemas.openxmlformats.org/officeDocument/2006/relationships/hyperlink" Target="https://www.sec.gov/Archives/edgar/data/1484612/000095017022023370/om-ex10_3.htm" TargetMode="External"/><Relationship Id="rId20" Type="http://schemas.openxmlformats.org/officeDocument/2006/relationships/hyperlink" Target="https://www.sec.gov/Archives/edgar/data/1484612/000119312520226746/d941853dex106.htm" TargetMode="External"/><Relationship Id="rId21" Type="http://schemas.openxmlformats.org/officeDocument/2006/relationships/hyperlink" Target="https://www.sec.gov/Archives/edgar/data/1484612/000119312520226746/d941853dex1010.htm" TargetMode="External"/><Relationship Id="rId22" Type="http://schemas.openxmlformats.org/officeDocument/2006/relationships/hyperlink" Target="https://www.sec.gov/Archives/edgar/data/1484612/000119312520226746/d941853dex1011.htm" TargetMode="External"/><Relationship Id="rId23" Type="http://schemas.openxmlformats.org/officeDocument/2006/relationships/hyperlink" Target="https://www.sec.gov/Archives/edgar/data/1484612/000119312520226746/d941853dex1012.htm" TargetMode="External"/><Relationship Id="rId24" Type="http://schemas.openxmlformats.org/officeDocument/2006/relationships/hyperlink" Target="https://www.sec.gov/Archives/edgar/data/1484612/000119312520226746/d941853dex1013.htm" TargetMode="External"/><Relationship Id="rId25" Type="http://schemas.openxmlformats.org/officeDocument/2006/relationships/hyperlink" Target="https://www.sec.gov/Archives/edgar/data/1484612/000119312520226746/d941853dex1017.htm" TargetMode="External"/><Relationship Id="rId26" Type="http://schemas.openxmlformats.org/officeDocument/2006/relationships/hyperlink" Target="https://www.sec.gov/Archives/edgar/data/1484612/000119312520226746/d941853dex1018.htm" TargetMode="External"/><Relationship Id="rId27" Type="http://schemas.openxmlformats.org/officeDocument/2006/relationships/hyperlink" Target="https://www.sec.gov/Archives/edgar/data/1484612/000119312520226746/d941853dex1019.htm" TargetMode="External"/><Relationship Id="rId28" Type="http://schemas.openxmlformats.org/officeDocument/2006/relationships/hyperlink" Target="https://www.sec.gov/Archives/edgar/data/1484612/000119312520226746/d941853dex1020.htm" TargetMode="External"/><Relationship Id="rId29" Type="http://schemas.openxmlformats.org/officeDocument/2006/relationships/hyperlink" Target="https://www.sec.gov/Archives/edgar/data/1484612/000119312520226746/d941853dex1021.htm" TargetMode="External"/><Relationship Id="rId30" Type="http://schemas.openxmlformats.org/officeDocument/2006/relationships/hyperlink" Target="https://www.sec.gov/Archives/edgar/data/0001484612/000156459021014563/om-ex1030_320.htm" TargetMode="External"/><Relationship Id="rId31" Type="http://schemas.openxmlformats.org/officeDocument/2006/relationships/hyperlink" Target="https://www.sec.gov/Archives/edgar/data/1484612/000095017022023370/om-ex10_1.htm" TargetMode="External"/><Relationship Id="rId32" Type="http://schemas.openxmlformats.org/officeDocument/2006/relationships/hyperlink" Target="https://www.sec.gov/Archives/edgar/data/1484612/000095017022023370/om-ex10_2.htm" TargetMode="External"/><Relationship Id="rId33" Type="http://schemas.openxmlformats.org/officeDocument/2006/relationships/image" Target="media/image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107331</Words>
  <Characters>587000</Characters>
  <CharactersWithSpaces>694681</CharactersWithSpaces>
  <Paragraphs>8307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