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80" w:right="1500" w:hanging="3859"/>
        <w:spacing w:after="0" w:line="352" w:lineRule="auto"/>
        <w:tabs>
          <w:tab w:leader="none" w:pos="58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06"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3871595</wp:posOffset>
            </wp:positionH>
            <wp:positionV relativeFrom="paragraph">
              <wp:posOffset>-4445</wp:posOffset>
            </wp:positionV>
            <wp:extent cx="308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Outset Medical, Inc.</w:t>
      </w:r>
    </w:p>
    <w:p>
      <w:pPr>
        <w:sectPr>
          <w:pgSz w:w="11900" w:h="16838" w:orient="portrait"/>
          <w:cols w:equalWidth="0" w:num="1">
            <w:col w:w="11240"/>
          </w:cols>
          <w:pgMar w:left="320" w:top="503" w:right="339" w:bottom="1440" w:gutter="0" w:footer="0" w:header="0"/>
        </w:sectPr>
      </w:pPr>
    </w:p>
    <w:p>
      <w:pPr>
        <w:spacing w:after="0" w:line="2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840"/>
        <w:spacing w:after="0"/>
        <w:rPr>
          <w:sz w:val="20"/>
          <w:szCs w:val="20"/>
          <w:color w:val="auto"/>
        </w:rPr>
      </w:pPr>
      <w:r>
        <w:rPr>
          <w:rFonts w:ascii="Arial" w:cs="Arial" w:eastAsia="Arial" w:hAnsi="Arial"/>
          <w:sz w:val="14"/>
          <w:szCs w:val="14"/>
          <w:b w:val="1"/>
          <w:bCs w:val="1"/>
          <w:color w:val="auto"/>
        </w:rPr>
        <w:t>Delaware</w:t>
      </w:r>
    </w:p>
    <w:p>
      <w:pPr>
        <w:ind w:left="2020"/>
        <w:spacing w:after="0" w:line="226"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20-0514392</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35" w:lineRule="exact"/>
        <w:rPr>
          <w:sz w:val="24"/>
          <w:szCs w:val="24"/>
          <w:color w:val="auto"/>
        </w:rPr>
      </w:pPr>
    </w:p>
    <w:p>
      <w:pPr>
        <w:sectPr>
          <w:pgSz w:w="11900" w:h="16838" w:orient="portrait"/>
          <w:cols w:equalWidth="0" w:num="2">
            <w:col w:w="7480" w:space="460"/>
            <w:col w:w="3300"/>
          </w:cols>
          <w:pgMar w:left="320" w:top="503" w:right="339" w:bottom="1440" w:gutter="0" w:footer="0" w:header="0"/>
          <w:type w:val="continuous"/>
        </w:sectPr>
      </w:pPr>
    </w:p>
    <w:p>
      <w:pPr>
        <w:ind w:left="2280"/>
        <w:spacing w:after="0"/>
        <w:rPr>
          <w:sz w:val="20"/>
          <w:szCs w:val="20"/>
          <w:color w:val="auto"/>
        </w:rPr>
      </w:pPr>
      <w:r>
        <w:rPr>
          <w:rFonts w:ascii="Arial" w:cs="Arial" w:eastAsia="Arial" w:hAnsi="Arial"/>
          <w:sz w:val="14"/>
          <w:szCs w:val="14"/>
          <w:b w:val="1"/>
          <w:bCs w:val="1"/>
          <w:color w:val="auto"/>
        </w:rPr>
        <w:t>3052 Orchard Dr.</w:t>
      </w:r>
    </w:p>
    <w:p>
      <w:pPr>
        <w:spacing w:after="0" w:line="10" w:lineRule="exact"/>
        <w:rPr>
          <w:sz w:val="24"/>
          <w:szCs w:val="24"/>
          <w:color w:val="auto"/>
        </w:rPr>
      </w:pPr>
    </w:p>
    <w:p>
      <w:pPr>
        <w:ind w:left="2180"/>
        <w:spacing w:after="0"/>
        <w:tabs>
          <w:tab w:leader="none" w:pos="8240" w:val="left"/>
        </w:tabs>
        <w:rPr>
          <w:sz w:val="20"/>
          <w:szCs w:val="20"/>
          <w:color w:val="auto"/>
        </w:rPr>
      </w:pPr>
      <w:r>
        <w:rPr>
          <w:rFonts w:ascii="Arial" w:cs="Arial" w:eastAsia="Arial" w:hAnsi="Arial"/>
          <w:sz w:val="14"/>
          <w:szCs w:val="14"/>
          <w:b w:val="1"/>
          <w:bCs w:val="1"/>
          <w:color w:val="auto"/>
        </w:rPr>
        <w:t>San Jose, California</w:t>
      </w:r>
      <w:r>
        <w:rPr>
          <w:sz w:val="20"/>
          <w:szCs w:val="20"/>
          <w:color w:val="auto"/>
        </w:rPr>
        <w:tab/>
      </w:r>
      <w:r>
        <w:rPr>
          <w:rFonts w:ascii="Arial" w:cs="Arial" w:eastAsia="Arial" w:hAnsi="Arial"/>
          <w:sz w:val="12"/>
          <w:szCs w:val="12"/>
          <w:b w:val="1"/>
          <w:bCs w:val="1"/>
          <w:color w:val="auto"/>
        </w:rPr>
        <w:t>95134</w:t>
      </w:r>
    </w:p>
    <w:p>
      <w:pPr>
        <w:spacing w:after="0" w:line="17"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0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120" w:firstLine="50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80" w:firstLine="50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20" w:firstLine="509"/>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59"/>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59"/>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66" w:lineRule="exact"/>
        <w:rPr>
          <w:sz w:val="24"/>
          <w:szCs w:val="24"/>
          <w:color w:val="auto"/>
        </w:rPr>
      </w:pPr>
    </w:p>
    <w:p>
      <w:pPr>
        <w:jc w:val="both"/>
        <w:ind w:right="60"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520" w:right="3080"/>
        <w:spacing w:after="0" w:line="24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July 27, 2022, the registrant had 48,007,301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gridSpan w:val="4"/>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21"/>
            <w:vMerge w:val="restart"/>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INFORMATION</w:t>
              </w:r>
            </w:hyperlink>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80" w:type="dxa"/>
            <w:vAlign w:val="bottom"/>
            <w:gridSpan w:val="3"/>
            <w:vMerge w:val="continue"/>
          </w:tcPr>
          <w:p>
            <w:pPr>
              <w:spacing w:after="0"/>
              <w:rPr>
                <w:sz w:val="13"/>
                <w:szCs w:val="13"/>
                <w:color w:val="auto"/>
              </w:rPr>
            </w:pPr>
          </w:p>
        </w:tc>
        <w:tc>
          <w:tcPr>
            <w:tcW w:w="9440" w:type="dxa"/>
            <w:vAlign w:val="bottom"/>
            <w:gridSpan w:val="21"/>
            <w:vMerge w:val="continue"/>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563C1"/>
              <w:bottom w:val="single" w:sz="8" w:color="0563C1"/>
            </w:tcBorders>
            <w:gridSpan w:val="10"/>
          </w:tcPr>
          <w:p>
            <w:pPr>
              <w:spacing w:after="0" w:line="169" w:lineRule="exact"/>
              <w:rPr>
                <w:rFonts w:ascii="Arial" w:cs="Arial" w:eastAsia="Arial" w:hAnsi="Arial"/>
                <w:sz w:val="18"/>
                <w:szCs w:val="18"/>
                <w:color w:val="0563C1"/>
                <w:w w:val="83"/>
              </w:rPr>
            </w:pPr>
            <w:hyperlink w:anchor="page3">
              <w:r>
                <w:rPr>
                  <w:rFonts w:ascii="Arial" w:cs="Arial" w:eastAsia="Arial" w:hAnsi="Arial"/>
                  <w:sz w:val="18"/>
                  <w:szCs w:val="18"/>
                  <w:color w:val="0563C1"/>
                  <w:w w:val="83"/>
                </w:rPr>
                <w:t>Financial Statements (Unaudited)</w:t>
              </w:r>
            </w:hyperlink>
          </w:p>
        </w:tc>
        <w:tc>
          <w:tcPr>
            <w:tcW w:w="80" w:type="dxa"/>
            <w:vAlign w:val="bottom"/>
            <w:tcBorders>
              <w:bottom w:val="single" w:sz="8" w:color="0563C1"/>
            </w:tcBorders>
          </w:tcPr>
          <w:p>
            <w:pPr>
              <w:spacing w:after="0"/>
              <w:rPr>
                <w:sz w:val="14"/>
                <w:szCs w:val="14"/>
                <w:color w:val="auto"/>
              </w:rPr>
            </w:pPr>
          </w:p>
        </w:tc>
        <w:tc>
          <w:tcPr>
            <w:tcW w:w="80" w:type="dxa"/>
            <w:vAlign w:val="bottom"/>
            <w:tcBorders>
              <w:bottom w:val="single" w:sz="8" w:color="0563C1"/>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12"/>
          </w:tcPr>
          <w:p>
            <w:pPr>
              <w:spacing w:after="0" w:line="169" w:lineRule="exact"/>
              <w:rPr>
                <w:rFonts w:ascii="Arial" w:cs="Arial" w:eastAsia="Arial" w:hAnsi="Arial"/>
                <w:sz w:val="18"/>
                <w:szCs w:val="18"/>
                <w:color w:val="0563C1"/>
              </w:rPr>
            </w:pPr>
            <w:hyperlink w:anchor="page3">
              <w:r>
                <w:rPr>
                  <w:rFonts w:ascii="Arial" w:cs="Arial" w:eastAsia="Arial" w:hAnsi="Arial"/>
                  <w:sz w:val="18"/>
                  <w:szCs w:val="18"/>
                  <w:color w:val="0563C1"/>
                </w:rPr>
                <w:t>Condensed Balance Sheets</w:t>
              </w:r>
            </w:hyperlink>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Borders>
              <w:top w:val="single" w:sz="8" w:color="0563C1"/>
              <w:bottom w:val="single" w:sz="8" w:color="0563C1"/>
            </w:tcBorders>
            <w:gridSpan w:val="9"/>
          </w:tcPr>
          <w:p>
            <w:pPr>
              <w:spacing w:after="0" w:line="169" w:lineRule="exact"/>
              <w:rPr>
                <w:rFonts w:ascii="Arial" w:cs="Arial" w:eastAsia="Arial" w:hAnsi="Arial"/>
                <w:sz w:val="18"/>
                <w:szCs w:val="18"/>
                <w:color w:val="0563C1"/>
                <w:w w:val="92"/>
              </w:rPr>
            </w:pPr>
            <w:hyperlink w:anchor="page4">
              <w:r>
                <w:rPr>
                  <w:rFonts w:ascii="Arial" w:cs="Arial" w:eastAsia="Arial" w:hAnsi="Arial"/>
                  <w:sz w:val="18"/>
                  <w:szCs w:val="18"/>
                  <w:color w:val="0563C1"/>
                  <w:w w:val="92"/>
                </w:rPr>
                <w:t>Condensed Statements of</w:t>
              </w:r>
            </w:hyperlink>
          </w:p>
        </w:tc>
        <w:tc>
          <w:tcPr>
            <w:tcW w:w="740" w:type="dxa"/>
            <w:vAlign w:val="bottom"/>
            <w:tcBorders>
              <w:bottom w:val="single" w:sz="8" w:color="0563C1"/>
            </w:tcBorders>
            <w:gridSpan w:val="4"/>
          </w:tcPr>
          <w:p>
            <w:pPr>
              <w:jc w:val="center"/>
              <w:spacing w:after="0" w:line="169" w:lineRule="exact"/>
              <w:rPr>
                <w:rFonts w:ascii="Arial" w:cs="Arial" w:eastAsia="Arial" w:hAnsi="Arial"/>
                <w:sz w:val="18"/>
                <w:szCs w:val="18"/>
                <w:color w:val="0563C1"/>
                <w:w w:val="83"/>
              </w:rPr>
            </w:pPr>
            <w:hyperlink w:anchor="page4">
              <w:r>
                <w:rPr>
                  <w:rFonts w:ascii="Arial" w:cs="Arial" w:eastAsia="Arial" w:hAnsi="Arial"/>
                  <w:sz w:val="18"/>
                  <w:szCs w:val="18"/>
                  <w:color w:val="0563C1"/>
                  <w:w w:val="83"/>
                </w:rPr>
                <w:t>Operations</w:t>
              </w:r>
            </w:hyperlink>
          </w:p>
        </w:tc>
        <w:tc>
          <w:tcPr>
            <w:tcW w:w="6760" w:type="dxa"/>
            <w:vAlign w:val="bottom"/>
            <w:gridSpan w:val="8"/>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40" w:type="dxa"/>
            <w:vAlign w:val="bottom"/>
            <w:gridSpan w:val="21"/>
          </w:tcPr>
          <w:p>
            <w:pPr>
              <w:spacing w:after="0" w:line="169" w:lineRule="exact"/>
              <w:rPr>
                <w:rFonts w:ascii="Arial" w:cs="Arial" w:eastAsia="Arial" w:hAnsi="Arial"/>
                <w:sz w:val="18"/>
                <w:szCs w:val="18"/>
                <w:color w:val="0563C1"/>
              </w:rPr>
            </w:pPr>
            <w:hyperlink w:anchor="page5">
              <w:r>
                <w:rPr>
                  <w:rFonts w:ascii="Arial" w:cs="Arial" w:eastAsia="Arial" w:hAnsi="Arial"/>
                  <w:sz w:val="18"/>
                  <w:szCs w:val="18"/>
                  <w:color w:val="0563C1"/>
                </w:rPr>
                <w:t>Condensed Statements of Comprehensive Loss</w:t>
              </w:r>
            </w:hyperlink>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0" w:type="dxa"/>
            <w:vAlign w:val="bottom"/>
            <w:tcBorders>
              <w:top w:val="single" w:sz="8" w:color="0563C1"/>
            </w:tcBorders>
            <w:gridSpan w:val="16"/>
          </w:tcPr>
          <w:p>
            <w:pPr>
              <w:spacing w:after="0" w:line="169" w:lineRule="exact"/>
              <w:rPr>
                <w:rFonts w:ascii="Arial" w:cs="Arial" w:eastAsia="Arial" w:hAnsi="Arial"/>
                <w:sz w:val="18"/>
                <w:szCs w:val="18"/>
                <w:color w:val="0563C1"/>
                <w:w w:val="89"/>
              </w:rPr>
            </w:pPr>
            <w:hyperlink w:anchor="page6">
              <w:r>
                <w:rPr>
                  <w:rFonts w:ascii="Arial" w:cs="Arial" w:eastAsia="Arial" w:hAnsi="Arial"/>
                  <w:sz w:val="18"/>
                  <w:szCs w:val="18"/>
                  <w:color w:val="0563C1"/>
                  <w:w w:val="89"/>
                </w:rPr>
                <w:t>Condensed Statements of Stockholders’ Equity</w:t>
              </w:r>
            </w:hyperlink>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Borders>
              <w:top w:val="single" w:sz="8" w:color="0000EE"/>
            </w:tcBorders>
            <w:gridSpan w:val="7"/>
          </w:tcPr>
          <w:p>
            <w:pPr>
              <w:spacing w:after="0" w:line="169" w:lineRule="exact"/>
              <w:rPr>
                <w:rFonts w:ascii="Arial" w:cs="Arial" w:eastAsia="Arial" w:hAnsi="Arial"/>
                <w:sz w:val="18"/>
                <w:szCs w:val="18"/>
                <w:color w:val="0563C1"/>
                <w:w w:val="89"/>
              </w:rPr>
            </w:pPr>
            <w:hyperlink w:anchor="page8">
              <w:r>
                <w:rPr>
                  <w:rFonts w:ascii="Arial" w:cs="Arial" w:eastAsia="Arial" w:hAnsi="Arial"/>
                  <w:sz w:val="18"/>
                  <w:szCs w:val="18"/>
                  <w:color w:val="0563C1"/>
                  <w:w w:val="89"/>
                </w:rPr>
                <w:t>Condensed Statements of</w:t>
              </w:r>
            </w:hyperlink>
          </w:p>
        </w:tc>
        <w:tc>
          <w:tcPr>
            <w:tcW w:w="1540" w:type="dxa"/>
            <w:vAlign w:val="bottom"/>
            <w:tcBorders>
              <w:top w:val="single" w:sz="8" w:color="0563C1"/>
            </w:tcBorders>
            <w:gridSpan w:val="10"/>
          </w:tcPr>
          <w:p>
            <w:pPr>
              <w:jc w:val="center"/>
              <w:ind w:right="700"/>
              <w:spacing w:after="0" w:line="169" w:lineRule="exact"/>
              <w:rPr>
                <w:rFonts w:ascii="Arial" w:cs="Arial" w:eastAsia="Arial" w:hAnsi="Arial"/>
                <w:sz w:val="18"/>
                <w:szCs w:val="18"/>
                <w:color w:val="0563C1"/>
                <w:w w:val="89"/>
              </w:rPr>
            </w:pPr>
            <w:hyperlink w:anchor="page8">
              <w:r>
                <w:rPr>
                  <w:rFonts w:ascii="Arial" w:cs="Arial" w:eastAsia="Arial" w:hAnsi="Arial"/>
                  <w:sz w:val="18"/>
                  <w:szCs w:val="18"/>
                  <w:color w:val="0563C1"/>
                  <w:w w:val="89"/>
                </w:rPr>
                <w:t>Cash Flows</w:t>
              </w:r>
            </w:hyperlink>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440" w:type="dxa"/>
            <w:vAlign w:val="bottom"/>
            <w:gridSpan w:val="3"/>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40" w:type="dxa"/>
            <w:vAlign w:val="bottom"/>
            <w:gridSpan w:val="21"/>
          </w:tcPr>
          <w:p>
            <w:pPr>
              <w:spacing w:after="0" w:line="169" w:lineRule="exact"/>
              <w:rPr>
                <w:rFonts w:ascii="Arial" w:cs="Arial" w:eastAsia="Arial" w:hAnsi="Arial"/>
                <w:sz w:val="18"/>
                <w:szCs w:val="18"/>
                <w:color w:val="0563C1"/>
              </w:rPr>
            </w:pPr>
            <w:hyperlink w:anchor="page9">
              <w:r>
                <w:rPr>
                  <w:rFonts w:ascii="Arial" w:cs="Arial" w:eastAsia="Arial" w:hAnsi="Arial"/>
                  <w:sz w:val="18"/>
                  <w:szCs w:val="18"/>
                  <w:color w:val="0563C1"/>
                </w:rPr>
                <w:t>Notes to Condensed Financial Statements</w:t>
              </w:r>
            </w:hyperlink>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2.</w:t>
            </w: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440" w:type="dxa"/>
            <w:vAlign w:val="bottom"/>
            <w:gridSpan w:val="3"/>
            <w:shd w:val="clear" w:color="auto" w:fill="0563C1"/>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169"/>
        </w:trPr>
        <w:tc>
          <w:tcPr>
            <w:tcW w:w="1080" w:type="dxa"/>
            <w:vAlign w:val="bottom"/>
            <w:gridSpan w:val="3"/>
            <w:vMerge w:val="continue"/>
          </w:tcPr>
          <w:p>
            <w:pPr>
              <w:spacing w:after="0"/>
              <w:rPr>
                <w:sz w:val="14"/>
                <w:szCs w:val="14"/>
                <w:color w:val="auto"/>
              </w:rPr>
            </w:pPr>
          </w:p>
        </w:tc>
        <w:tc>
          <w:tcPr>
            <w:tcW w:w="9440" w:type="dxa"/>
            <w:vAlign w:val="bottom"/>
            <w:gridSpan w:val="21"/>
          </w:tcPr>
          <w:p>
            <w:pPr>
              <w:spacing w:after="0" w:line="169" w:lineRule="exact"/>
              <w:rPr>
                <w:rFonts w:ascii="Arial" w:cs="Arial" w:eastAsia="Arial" w:hAnsi="Arial"/>
                <w:sz w:val="18"/>
                <w:szCs w:val="18"/>
                <w:color w:val="0563C1"/>
              </w:rPr>
            </w:pPr>
            <w:hyperlink w:anchor="page15">
              <w:r>
                <w:rPr>
                  <w:rFonts w:ascii="Arial" w:cs="Arial" w:eastAsia="Arial" w:hAnsi="Arial"/>
                  <w:sz w:val="18"/>
                  <w:szCs w:val="18"/>
                  <w:color w:val="0563C1"/>
                </w:rPr>
                <w:t>Management’s Discussion and Analysis of Financial Condition and Results of Operations</w:t>
              </w:r>
            </w:hyperlink>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20"/>
          </w:tcPr>
          <w:p>
            <w:pPr>
              <w:spacing w:after="0" w:line="169" w:lineRule="exact"/>
              <w:rPr>
                <w:rFonts w:ascii="Arial" w:cs="Arial" w:eastAsia="Arial" w:hAnsi="Arial"/>
                <w:sz w:val="18"/>
                <w:szCs w:val="18"/>
                <w:color w:val="0563C1"/>
              </w:rPr>
            </w:pPr>
            <w:hyperlink w:anchor="page24">
              <w:r>
                <w:rPr>
                  <w:rFonts w:ascii="Arial" w:cs="Arial" w:eastAsia="Arial" w:hAnsi="Arial"/>
                  <w:sz w:val="18"/>
                  <w:szCs w:val="18"/>
                  <w:color w:val="0563C1"/>
                </w:rPr>
                <w:t>Quantitative and Qualitative Disclosures About Market Risk</w:t>
              </w:r>
            </w:hyperlink>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5"/>
          </w:tcPr>
          <w:p>
            <w:pPr>
              <w:spacing w:after="0" w:line="169" w:lineRule="exact"/>
              <w:rPr>
                <w:rFonts w:ascii="Arial" w:cs="Arial" w:eastAsia="Arial" w:hAnsi="Arial"/>
                <w:sz w:val="18"/>
                <w:szCs w:val="18"/>
                <w:color w:val="0563C1"/>
                <w:w w:val="88"/>
              </w:rPr>
            </w:pPr>
            <w:hyperlink w:anchor="page24">
              <w:r>
                <w:rPr>
                  <w:rFonts w:ascii="Arial" w:cs="Arial" w:eastAsia="Arial" w:hAnsi="Arial"/>
                  <w:sz w:val="18"/>
                  <w:szCs w:val="18"/>
                  <w:color w:val="0563C1"/>
                  <w:w w:val="88"/>
                </w:rPr>
                <w:t>Controls and Procedures</w:t>
              </w:r>
            </w:hyperlink>
          </w:p>
        </w:tc>
        <w:tc>
          <w:tcPr>
            <w:tcW w:w="20" w:type="dxa"/>
            <w:vAlign w:val="bottom"/>
            <w:tcBorders>
              <w:top w:val="single" w:sz="8" w:color="0563C1"/>
              <w:bottom w:val="single" w:sz="8" w:color="0000EE"/>
            </w:tcBorders>
          </w:tcPr>
          <w:p>
            <w:pPr>
              <w:spacing w:after="0"/>
              <w:rPr>
                <w:sz w:val="14"/>
                <w:szCs w:val="14"/>
                <w:color w:val="auto"/>
              </w:rPr>
            </w:pPr>
          </w:p>
        </w:tc>
        <w:tc>
          <w:tcPr>
            <w:tcW w:w="2580" w:type="dxa"/>
            <w:vAlign w:val="bottom"/>
            <w:tcBorders>
              <w:top w:val="single" w:sz="8" w:color="0563C1"/>
            </w:tcBorders>
            <w:gridSpan w:val="13"/>
          </w:tcPr>
          <w:p>
            <w:pPr>
              <w:spacing w:after="0"/>
              <w:rPr>
                <w:sz w:val="14"/>
                <w:szCs w:val="14"/>
                <w:color w:val="auto"/>
              </w:rPr>
            </w:pPr>
          </w:p>
        </w:tc>
        <w:tc>
          <w:tcPr>
            <w:tcW w:w="5060" w:type="dxa"/>
            <w:vAlign w:val="bottom"/>
            <w:gridSpan w:val="2"/>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563C1"/>
            </w:tcBorders>
            <w:gridSpan w:val="6"/>
          </w:tcPr>
          <w:p>
            <w:pPr>
              <w:spacing w:after="0" w:line="169" w:lineRule="exact"/>
              <w:rPr>
                <w:rFonts w:ascii="Arial" w:cs="Arial" w:eastAsia="Arial" w:hAnsi="Arial"/>
                <w:sz w:val="18"/>
                <w:szCs w:val="18"/>
                <w:color w:val="0563C1"/>
                <w:w w:val="91"/>
              </w:rPr>
            </w:pPr>
            <w:hyperlink w:anchor="page25">
              <w:r>
                <w:rPr>
                  <w:rFonts w:ascii="Arial" w:cs="Arial" w:eastAsia="Arial" w:hAnsi="Arial"/>
                  <w:sz w:val="18"/>
                  <w:szCs w:val="18"/>
                  <w:color w:val="0563C1"/>
                  <w:w w:val="91"/>
                </w:rPr>
                <w:t>OTHER INFORMATION</w:t>
              </w:r>
            </w:hyperlink>
          </w:p>
        </w:tc>
        <w:tc>
          <w:tcPr>
            <w:tcW w:w="100" w:type="dxa"/>
            <w:vAlign w:val="bottom"/>
            <w:tcBorders>
              <w:bottom w:val="single" w:sz="8" w:color="0563C1"/>
            </w:tcBorders>
            <w:gridSpan w:val="2"/>
          </w:tcPr>
          <w:p>
            <w:pPr>
              <w:spacing w:after="0"/>
              <w:rPr>
                <w:sz w:val="14"/>
                <w:szCs w:val="14"/>
                <w:color w:val="auto"/>
              </w:rPr>
            </w:pPr>
          </w:p>
        </w:tc>
        <w:tc>
          <w:tcPr>
            <w:tcW w:w="440" w:type="dxa"/>
            <w:vAlign w:val="bottom"/>
            <w:gridSpan w:val="3"/>
          </w:tcPr>
          <w:p>
            <w:pPr>
              <w:spacing w:after="0"/>
              <w:rPr>
                <w:sz w:val="14"/>
                <w:szCs w:val="14"/>
                <w:color w:val="auto"/>
              </w:rPr>
            </w:pPr>
          </w:p>
        </w:tc>
        <w:tc>
          <w:tcPr>
            <w:tcW w:w="2020" w:type="dxa"/>
            <w:vAlign w:val="bottom"/>
            <w:gridSpan w:val="7"/>
          </w:tcPr>
          <w:p>
            <w:pPr>
              <w:spacing w:after="0"/>
              <w:rPr>
                <w:sz w:val="14"/>
                <w:szCs w:val="14"/>
                <w:color w:val="auto"/>
              </w:rPr>
            </w:pPr>
          </w:p>
        </w:tc>
        <w:tc>
          <w:tcPr>
            <w:tcW w:w="508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w:t>
            </w:r>
          </w:p>
        </w:tc>
        <w:tc>
          <w:tcPr>
            <w:tcW w:w="1900" w:type="dxa"/>
            <w:vAlign w:val="bottom"/>
            <w:gridSpan w:val="8"/>
          </w:tcPr>
          <w:p>
            <w:pPr>
              <w:spacing w:after="0" w:line="169" w:lineRule="exact"/>
              <w:rPr>
                <w:rFonts w:ascii="Arial" w:cs="Arial" w:eastAsia="Arial" w:hAnsi="Arial"/>
                <w:sz w:val="18"/>
                <w:szCs w:val="18"/>
                <w:color w:val="0563C1"/>
              </w:rPr>
            </w:pPr>
            <w:hyperlink w:anchor="page25">
              <w:r>
                <w:rPr>
                  <w:rFonts w:ascii="Arial" w:cs="Arial" w:eastAsia="Arial" w:hAnsi="Arial"/>
                  <w:sz w:val="18"/>
                  <w:szCs w:val="18"/>
                  <w:color w:val="0563C1"/>
                </w:rPr>
                <w:t>Legal Proceedings</w:t>
              </w:r>
            </w:hyperlink>
          </w:p>
        </w:tc>
        <w:tc>
          <w:tcPr>
            <w:tcW w:w="440" w:type="dxa"/>
            <w:vAlign w:val="bottom"/>
            <w:gridSpan w:val="3"/>
          </w:tcPr>
          <w:p>
            <w:pPr>
              <w:spacing w:after="0"/>
              <w:rPr>
                <w:sz w:val="14"/>
                <w:szCs w:val="14"/>
                <w:color w:val="auto"/>
              </w:rPr>
            </w:pPr>
          </w:p>
        </w:tc>
        <w:tc>
          <w:tcPr>
            <w:tcW w:w="2020" w:type="dxa"/>
            <w:vAlign w:val="bottom"/>
            <w:gridSpan w:val="7"/>
          </w:tcPr>
          <w:p>
            <w:pPr>
              <w:spacing w:after="0"/>
              <w:rPr>
                <w:sz w:val="14"/>
                <w:szCs w:val="14"/>
                <w:color w:val="auto"/>
              </w:rPr>
            </w:pPr>
          </w:p>
        </w:tc>
        <w:tc>
          <w:tcPr>
            <w:tcW w:w="508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4"/>
          </w:tcPr>
          <w:p>
            <w:pPr>
              <w:spacing w:after="0" w:line="169" w:lineRule="exact"/>
              <w:rPr>
                <w:rFonts w:ascii="Arial" w:cs="Arial" w:eastAsia="Arial" w:hAnsi="Arial"/>
                <w:sz w:val="18"/>
                <w:szCs w:val="18"/>
                <w:color w:val="0563C1"/>
              </w:rPr>
            </w:pPr>
            <w:hyperlink w:anchor="page25">
              <w:r>
                <w:rPr>
                  <w:rFonts w:ascii="Arial" w:cs="Arial" w:eastAsia="Arial" w:hAnsi="Arial"/>
                  <w:sz w:val="18"/>
                  <w:szCs w:val="18"/>
                  <w:color w:val="0563C1"/>
                </w:rPr>
                <w:t>Risk Factors</w:t>
              </w:r>
            </w:hyperlink>
          </w:p>
        </w:tc>
        <w:tc>
          <w:tcPr>
            <w:tcW w:w="1000" w:type="dxa"/>
            <w:vAlign w:val="bottom"/>
            <w:gridSpan w:val="7"/>
          </w:tcPr>
          <w:p>
            <w:pPr>
              <w:spacing w:after="0"/>
              <w:rPr>
                <w:sz w:val="14"/>
                <w:szCs w:val="14"/>
                <w:color w:val="auto"/>
              </w:rPr>
            </w:pPr>
          </w:p>
        </w:tc>
        <w:tc>
          <w:tcPr>
            <w:tcW w:w="2020" w:type="dxa"/>
            <w:vAlign w:val="bottom"/>
            <w:gridSpan w:val="7"/>
          </w:tcPr>
          <w:p>
            <w:pPr>
              <w:spacing w:after="0"/>
              <w:rPr>
                <w:sz w:val="14"/>
                <w:szCs w:val="14"/>
                <w:color w:val="auto"/>
              </w:rPr>
            </w:pPr>
          </w:p>
        </w:tc>
        <w:tc>
          <w:tcPr>
            <w:tcW w:w="508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2.</w:t>
            </w:r>
          </w:p>
        </w:tc>
        <w:tc>
          <w:tcPr>
            <w:tcW w:w="920" w:type="dxa"/>
            <w:vAlign w:val="bottom"/>
            <w:tcBorders>
              <w:top w:val="single" w:sz="8" w:color="0563C1"/>
            </w:tcBorders>
            <w:gridSpan w:val="2"/>
          </w:tcPr>
          <w:p>
            <w:pPr>
              <w:spacing w:after="0" w:line="169" w:lineRule="exact"/>
              <w:rPr>
                <w:rFonts w:ascii="Arial" w:cs="Arial" w:eastAsia="Arial" w:hAnsi="Arial"/>
                <w:sz w:val="18"/>
                <w:szCs w:val="18"/>
                <w:color w:val="0563C1"/>
                <w:w w:val="87"/>
              </w:rPr>
            </w:pPr>
            <w:hyperlink w:anchor="page26">
              <w:r>
                <w:rPr>
                  <w:rFonts w:ascii="Arial" w:cs="Arial" w:eastAsia="Arial" w:hAnsi="Arial"/>
                  <w:sz w:val="18"/>
                  <w:szCs w:val="18"/>
                  <w:color w:val="0563C1"/>
                  <w:w w:val="87"/>
                </w:rPr>
                <w:t>Unregistered</w:t>
              </w:r>
            </w:hyperlink>
          </w:p>
        </w:tc>
        <w:tc>
          <w:tcPr>
            <w:tcW w:w="8520" w:type="dxa"/>
            <w:vAlign w:val="bottom"/>
            <w:gridSpan w:val="19"/>
          </w:tcPr>
          <w:p>
            <w:pPr>
              <w:ind w:left="60"/>
              <w:spacing w:after="0" w:line="169" w:lineRule="exact"/>
              <w:rPr>
                <w:rFonts w:ascii="Arial" w:cs="Arial" w:eastAsia="Arial" w:hAnsi="Arial"/>
                <w:sz w:val="18"/>
                <w:szCs w:val="18"/>
                <w:color w:val="0563C1"/>
              </w:rPr>
            </w:pPr>
            <w:hyperlink w:anchor="page26">
              <w:r>
                <w:rPr>
                  <w:rFonts w:ascii="Arial" w:cs="Arial" w:eastAsia="Arial" w:hAnsi="Arial"/>
                  <w:sz w:val="18"/>
                  <w:szCs w:val="18"/>
                  <w:color w:val="0563C1"/>
                </w:rPr>
                <w:t>Sales of Equity Securities and Use of Proceeds</w:t>
              </w:r>
            </w:hyperlink>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tcBorders>
            <w:gridSpan w:val="18"/>
          </w:tcPr>
          <w:p>
            <w:pPr>
              <w:spacing w:after="0" w:line="169" w:lineRule="exact"/>
              <w:rPr>
                <w:rFonts w:ascii="Arial" w:cs="Arial" w:eastAsia="Arial" w:hAnsi="Arial"/>
                <w:sz w:val="18"/>
                <w:szCs w:val="18"/>
                <w:color w:val="0563C1"/>
              </w:rPr>
            </w:pPr>
            <w:hyperlink w:anchor="page27">
              <w:r>
                <w:rPr>
                  <w:rFonts w:ascii="Arial" w:cs="Arial" w:eastAsia="Arial" w:hAnsi="Arial"/>
                  <w:sz w:val="18"/>
                  <w:szCs w:val="18"/>
                  <w:color w:val="0563C1"/>
                </w:rPr>
                <w:t>Defaults Upon Senior Securities</w:t>
              </w:r>
            </w:hyperlink>
          </w:p>
        </w:tc>
        <w:tc>
          <w:tcPr>
            <w:tcW w:w="508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563C1"/>
            </w:tcBorders>
            <w:gridSpan w:val="11"/>
          </w:tcPr>
          <w:p>
            <w:pPr>
              <w:spacing w:after="0" w:line="169" w:lineRule="exact"/>
              <w:rPr>
                <w:rFonts w:ascii="Arial" w:cs="Arial" w:eastAsia="Arial" w:hAnsi="Arial"/>
                <w:sz w:val="18"/>
                <w:szCs w:val="18"/>
                <w:color w:val="0563C1"/>
              </w:rPr>
            </w:pPr>
            <w:hyperlink w:anchor="page27">
              <w:r>
                <w:rPr>
                  <w:rFonts w:ascii="Arial" w:cs="Arial" w:eastAsia="Arial" w:hAnsi="Arial"/>
                  <w:sz w:val="18"/>
                  <w:szCs w:val="18"/>
                  <w:color w:val="0563C1"/>
                </w:rPr>
                <w:t>Mine Safety Disclosures</w:t>
              </w:r>
            </w:hyperlink>
          </w:p>
        </w:tc>
        <w:tc>
          <w:tcPr>
            <w:tcW w:w="7100" w:type="dxa"/>
            <w:vAlign w:val="bottom"/>
            <w:gridSpan w:val="10"/>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5"/>
          </w:tcPr>
          <w:p>
            <w:pPr>
              <w:spacing w:after="0" w:line="169" w:lineRule="exact"/>
              <w:rPr>
                <w:rFonts w:ascii="Arial" w:cs="Arial" w:eastAsia="Arial" w:hAnsi="Arial"/>
                <w:sz w:val="18"/>
                <w:szCs w:val="18"/>
                <w:color w:val="0563C1"/>
              </w:rPr>
            </w:pPr>
            <w:hyperlink w:anchor="page27">
              <w:r>
                <w:rPr>
                  <w:rFonts w:ascii="Arial" w:cs="Arial" w:eastAsia="Arial" w:hAnsi="Arial"/>
                  <w:sz w:val="18"/>
                  <w:szCs w:val="18"/>
                  <w:color w:val="0563C1"/>
                </w:rPr>
                <w:t>Other Information</w:t>
              </w:r>
            </w:hyperlink>
          </w:p>
        </w:tc>
        <w:tc>
          <w:tcPr>
            <w:tcW w:w="7660" w:type="dxa"/>
            <w:vAlign w:val="bottom"/>
            <w:gridSpan w:val="16"/>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3"/>
          </w:tcPr>
          <w:p>
            <w:pPr>
              <w:spacing w:after="0" w:line="169" w:lineRule="exact"/>
              <w:rPr>
                <w:rFonts w:ascii="Arial" w:cs="Arial" w:eastAsia="Arial" w:hAnsi="Arial"/>
                <w:sz w:val="18"/>
                <w:szCs w:val="18"/>
                <w:color w:val="0563C1"/>
              </w:rPr>
            </w:pPr>
            <w:hyperlink w:anchor="page28">
              <w:r>
                <w:rPr>
                  <w:rFonts w:ascii="Arial" w:cs="Arial" w:eastAsia="Arial" w:hAnsi="Arial"/>
                  <w:sz w:val="18"/>
                  <w:szCs w:val="18"/>
                  <w:color w:val="0563C1"/>
                </w:rPr>
                <w:t>Exhibits</w:t>
              </w:r>
            </w:hyperlink>
          </w:p>
        </w:tc>
        <w:tc>
          <w:tcPr>
            <w:tcW w:w="8120" w:type="dxa"/>
            <w:vAlign w:val="bottom"/>
            <w:gridSpan w:val="18"/>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rFonts w:ascii="Arial" w:cs="Arial" w:eastAsia="Arial" w:hAnsi="Arial"/>
                <w:sz w:val="18"/>
                <w:szCs w:val="18"/>
                <w:color w:val="0563C1"/>
              </w:rPr>
            </w:pPr>
            <w:hyperlink w:anchor="page29">
              <w:r>
                <w:rPr>
                  <w:rFonts w:ascii="Arial" w:cs="Arial" w:eastAsia="Arial" w:hAnsi="Arial"/>
                  <w:sz w:val="18"/>
                  <w:szCs w:val="18"/>
                  <w:color w:val="0563C1"/>
                </w:rPr>
                <w:t>Signatures</w:t>
              </w:r>
            </w:hyperlink>
          </w:p>
        </w:tc>
        <w:tc>
          <w:tcPr>
            <w:tcW w:w="600" w:type="dxa"/>
            <w:vAlign w:val="bottom"/>
            <w:tcBorders>
              <w:top w:val="single" w:sz="8" w:color="0563C1"/>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72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563C1"/>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820" w:type="dxa"/>
            <w:vAlign w:val="bottom"/>
          </w:tcPr>
          <w:p>
            <w:pPr>
              <w:jc w:val="center"/>
              <w:ind w:left="333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820" w:type="dxa"/>
            <w:vAlign w:val="bottom"/>
          </w:tcPr>
          <w:p>
            <w:pPr>
              <w:jc w:val="center"/>
              <w:ind w:left="3330"/>
              <w:spacing w:after="0"/>
              <w:rPr>
                <w:sz w:val="20"/>
                <w:szCs w:val="20"/>
                <w:color w:val="auto"/>
              </w:rPr>
            </w:pPr>
            <w:r>
              <w:rPr>
                <w:rFonts w:ascii="Arial" w:cs="Arial" w:eastAsia="Arial" w:hAnsi="Arial"/>
                <w:sz w:val="18"/>
                <w:szCs w:val="18"/>
                <w:b w:val="1"/>
                <w:bCs w:val="1"/>
                <w:color w:val="auto"/>
                <w:w w:val="92"/>
              </w:rPr>
              <w:t>Outset Medical, Inc.</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820" w:type="dxa"/>
            <w:vAlign w:val="bottom"/>
          </w:tcPr>
          <w:p>
            <w:pPr>
              <w:jc w:val="center"/>
              <w:ind w:left="3330"/>
              <w:spacing w:after="0"/>
              <w:rPr>
                <w:sz w:val="20"/>
                <w:szCs w:val="20"/>
                <w:color w:val="auto"/>
              </w:rPr>
            </w:pPr>
            <w:r>
              <w:rPr>
                <w:rFonts w:ascii="Arial" w:cs="Arial" w:eastAsia="Arial" w:hAnsi="Arial"/>
                <w:sz w:val="18"/>
                <w:szCs w:val="18"/>
                <w:b w:val="1"/>
                <w:bCs w:val="1"/>
                <w:color w:val="auto"/>
                <w:w w:val="86"/>
              </w:rPr>
              <w:t>Condensed Balance Sheets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tcPr>
          <w:p>
            <w:pPr>
              <w:jc w:val="center"/>
              <w:ind w:left="333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1"/>
        </w:trPr>
        <w:tc>
          <w:tcPr>
            <w:tcW w:w="7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130"/>
              <w:spacing w:after="0"/>
              <w:rPr>
                <w:sz w:val="20"/>
                <w:szCs w:val="20"/>
                <w:color w:val="auto"/>
              </w:rPr>
            </w:pPr>
            <w:r>
              <w:rPr>
                <w:rFonts w:ascii="Arial" w:cs="Arial" w:eastAsia="Arial" w:hAnsi="Arial"/>
                <w:sz w:val="16"/>
                <w:szCs w:val="16"/>
                <w:b w:val="1"/>
                <w:bCs w:val="1"/>
                <w:color w:val="auto"/>
                <w:w w:val="94"/>
              </w:rPr>
              <w:t>(Unaudited)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75,497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182,348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186,565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157,140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24,627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53,689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39,185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5,399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345,777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409,802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33,311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15,245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6,687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2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401,236</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463,464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8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2,753</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 and related benefits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15,795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23,261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13,789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warranty liability</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3,444</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7,752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6,340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Term loan, current</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82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55,240</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51,695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Accrued interest, noncurrent</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960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 noncurrent</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6,261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Term loan, noncurrent</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28,806</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29,762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91,472</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89,383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6)</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1"/>
              </w:rPr>
              <w:t>Preferred stock, $0.001 par value; 5,000 shares authorized, and no shares issued and outstanding as of</w:t>
            </w:r>
          </w:p>
        </w:tc>
        <w:tc>
          <w:tcPr>
            <w:tcW w:w="240" w:type="dxa"/>
            <w:vAlign w:val="bottom"/>
            <w:shd w:val="clear" w:color="auto" w:fill="CFF0FC"/>
          </w:tcPr>
          <w:p>
            <w:pPr>
              <w:spacing w:after="0"/>
              <w:rPr>
                <w:sz w:val="14"/>
                <w:szCs w:val="14"/>
                <w:color w:val="auto"/>
              </w:rPr>
            </w:pPr>
          </w:p>
        </w:tc>
        <w:tc>
          <w:tcPr>
            <w:tcW w:w="15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June 30, 2022 and December 31, 2021</w:t>
            </w:r>
          </w:p>
        </w:tc>
        <w:tc>
          <w:tcPr>
            <w:tcW w:w="240" w:type="dxa"/>
            <w:vAlign w:val="bottom"/>
            <w:shd w:val="clear" w:color="auto" w:fill="CFF0FC"/>
          </w:tcPr>
          <w:p>
            <w:pPr>
              <w:spacing w:after="0"/>
              <w:rPr>
                <w:sz w:val="18"/>
                <w:szCs w:val="18"/>
                <w:color w:val="auto"/>
              </w:rPr>
            </w:pPr>
          </w:p>
        </w:tc>
        <w:tc>
          <w:tcPr>
            <w:tcW w:w="158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00"/>
              <w:spacing w:after="0" w:line="162" w:lineRule="exact"/>
              <w:rPr>
                <w:sz w:val="20"/>
                <w:szCs w:val="20"/>
                <w:color w:val="auto"/>
              </w:rPr>
            </w:pPr>
            <w:r>
              <w:rPr>
                <w:rFonts w:ascii="Arial" w:cs="Arial" w:eastAsia="Arial" w:hAnsi="Arial"/>
                <w:sz w:val="18"/>
                <w:szCs w:val="18"/>
                <w:color w:val="auto"/>
                <w:w w:val="94"/>
              </w:rPr>
              <w:t>Common stock, $0.001 par value; 300,000 shares authorized as of June 30, 2022 and December 31,</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tcPr>
          <w:p>
            <w:pPr>
              <w:ind w:left="200"/>
              <w:spacing w:after="0" w:line="176" w:lineRule="exact"/>
              <w:rPr>
                <w:sz w:val="20"/>
                <w:szCs w:val="20"/>
                <w:color w:val="auto"/>
              </w:rPr>
            </w:pPr>
            <w:r>
              <w:rPr>
                <w:rFonts w:ascii="Arial" w:cs="Arial" w:eastAsia="Arial" w:hAnsi="Arial"/>
                <w:sz w:val="18"/>
                <w:szCs w:val="18"/>
                <w:color w:val="auto"/>
                <w:w w:val="93"/>
              </w:rPr>
              <w:t>2021; 47,997 and 47,241 shares issued and outstanding as of June 30, 2022 and December 31, 2021,</w:t>
            </w: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1,017,396</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1,000,212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7"/>
                <w:szCs w:val="17"/>
                <w:color w:val="auto"/>
              </w:rPr>
            </w:pPr>
          </w:p>
        </w:tc>
        <w:tc>
          <w:tcPr>
            <w:tcW w:w="1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(955 )</w:t>
            </w:r>
          </w:p>
        </w:tc>
        <w:tc>
          <w:tcPr>
            <w:tcW w:w="16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(706,725 )</w:t>
            </w: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(625,994 )</w:t>
            </w:r>
          </w:p>
        </w:tc>
        <w:tc>
          <w:tcPr>
            <w:tcW w:w="0" w:type="dxa"/>
            <w:vAlign w:val="bottom"/>
          </w:tcPr>
          <w:p>
            <w:pPr>
              <w:spacing w:after="0"/>
              <w:rPr>
                <w:sz w:val="1"/>
                <w:szCs w:val="1"/>
                <w:color w:val="auto"/>
              </w:rPr>
            </w:pPr>
          </w:p>
        </w:tc>
      </w:tr>
      <w:tr>
        <w:trPr>
          <w:trHeight w:val="196"/>
        </w:trPr>
        <w:tc>
          <w:tcPr>
            <w:tcW w:w="7820" w:type="dxa"/>
            <w:vAlign w:val="bottom"/>
            <w:tcBorders>
              <w:top w:val="single" w:sz="8" w:color="CFF0FC"/>
            </w:tcBorders>
          </w:tcPr>
          <w:p>
            <w:pPr>
              <w:ind w:left="300"/>
              <w:spacing w:after="0" w:line="196"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309,764</w:t>
            </w: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374,081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2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401,236</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463,464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-4299585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-4299585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-3514090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-3496945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-1676400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-1676400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-296545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4"/>
          </w:tcPr>
          <w:p>
            <w:pPr>
              <w:ind w:left="4140"/>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7"/>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jc w:val="right"/>
              <w:ind w:right="621"/>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380" w:type="dxa"/>
            <w:vAlign w:val="bottom"/>
            <w:gridSpan w:val="5"/>
          </w:tcPr>
          <w:p>
            <w:pPr>
              <w:jc w:val="right"/>
              <w:ind w:right="561"/>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7"/>
                <w:szCs w:val="17"/>
                <w:color w:val="auto"/>
              </w:rPr>
            </w:pPr>
          </w:p>
        </w:tc>
      </w:tr>
      <w:tr>
        <w:trPr>
          <w:trHeight w:val="196"/>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0"/>
              <w:spacing w:after="0" w:line="202" w:lineRule="exact"/>
              <w:rPr>
                <w:sz w:val="20"/>
                <w:szCs w:val="20"/>
                <w:color w:val="auto"/>
              </w:rPr>
            </w:pPr>
            <w:r>
              <w:rPr>
                <w:rFonts w:ascii="Arial" w:cs="Arial" w:eastAsia="Arial" w:hAnsi="Arial"/>
                <w:sz w:val="18"/>
                <w:szCs w:val="18"/>
                <w:color w:val="auto"/>
              </w:rPr>
              <w:t>Product revenue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19,621</w:t>
            </w:r>
          </w:p>
        </w:tc>
        <w:tc>
          <w:tcPr>
            <w:tcW w:w="2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20,628</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45,285</w:t>
            </w:r>
          </w:p>
        </w:tc>
        <w:tc>
          <w:tcPr>
            <w:tcW w:w="24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38,838</w:t>
            </w:r>
          </w:p>
        </w:tc>
        <w:tc>
          <w:tcPr>
            <w:tcW w:w="100" w:type="dxa"/>
            <w:vAlign w:val="bottom"/>
          </w:tcPr>
          <w:p>
            <w:pPr>
              <w:spacing w:after="0"/>
              <w:rPr>
                <w:sz w:val="17"/>
                <w:szCs w:val="17"/>
                <w:color w:val="auto"/>
              </w:rPr>
            </w:pPr>
          </w:p>
        </w:tc>
      </w:tr>
      <w:tr>
        <w:trPr>
          <w:trHeight w:val="203"/>
        </w:trPr>
        <w:tc>
          <w:tcPr>
            <w:tcW w:w="5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 and other revenue</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5,436</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4,588</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10,322</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40" w:type="dxa"/>
            <w:vAlign w:val="bottom"/>
          </w:tcPr>
          <w:p>
            <w:pPr>
              <w:ind w:left="380"/>
              <w:spacing w:after="0" w:line="196" w:lineRule="exact"/>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25,057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25,216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55,607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48,132</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0"/>
              <w:spacing w:after="0" w:line="202" w:lineRule="exact"/>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17,718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22,077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40,828</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42,654</w:t>
            </w:r>
          </w:p>
        </w:tc>
        <w:tc>
          <w:tcPr>
            <w:tcW w:w="100" w:type="dxa"/>
            <w:vAlign w:val="bottom"/>
          </w:tcPr>
          <w:p>
            <w:pPr>
              <w:spacing w:after="0"/>
              <w:rPr>
                <w:sz w:val="17"/>
                <w:szCs w:val="17"/>
                <w:color w:val="auto"/>
              </w:rPr>
            </w:pPr>
          </w:p>
        </w:tc>
      </w:tr>
      <w:tr>
        <w:trPr>
          <w:trHeight w:val="203"/>
        </w:trPr>
        <w:tc>
          <w:tcPr>
            <w:tcW w:w="5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3,557</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2,087</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6,555</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40" w:type="dxa"/>
            <w:vAlign w:val="bottom"/>
          </w:tcPr>
          <w:p>
            <w:pPr>
              <w:ind w:left="380"/>
              <w:spacing w:after="0" w:line="196" w:lineRule="exact"/>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21,275</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24,164</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47,383</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46,791</w:t>
            </w:r>
          </w:p>
        </w:tc>
        <w:tc>
          <w:tcPr>
            <w:tcW w:w="100" w:type="dxa"/>
            <w:vAlign w:val="bottom"/>
          </w:tcPr>
          <w:p>
            <w:pPr>
              <w:spacing w:after="0"/>
              <w:rPr>
                <w:sz w:val="17"/>
                <w:szCs w:val="17"/>
                <w:color w:val="auto"/>
              </w:rPr>
            </w:pPr>
          </w:p>
        </w:tc>
      </w:tr>
      <w:tr>
        <w:trPr>
          <w:trHeight w:val="196"/>
        </w:trPr>
        <w:tc>
          <w:tcPr>
            <w:tcW w:w="5840" w:type="dxa"/>
            <w:vAlign w:val="bottom"/>
            <w:shd w:val="clear" w:color="auto" w:fill="CFF0FC"/>
          </w:tcPr>
          <w:p>
            <w:pPr>
              <w:ind w:left="48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3,782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8,224</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1,341</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13,521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8,032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24,352</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15,602</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23,198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13,204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43,575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26,353</w:t>
            </w:r>
          </w:p>
        </w:tc>
        <w:tc>
          <w:tcPr>
            <w:tcW w:w="100" w:type="dxa"/>
            <w:vAlign w:val="bottom"/>
          </w:tcPr>
          <w:p>
            <w:pPr>
              <w:spacing w:after="0"/>
              <w:rPr>
                <w:sz w:val="17"/>
                <w:szCs w:val="17"/>
                <w:color w:val="auto"/>
              </w:rPr>
            </w:pPr>
          </w:p>
        </w:tc>
      </w:tr>
      <w:tr>
        <w:trPr>
          <w:trHeight w:val="203"/>
        </w:trPr>
        <w:tc>
          <w:tcPr>
            <w:tcW w:w="5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10,784</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9,722</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20,493</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18,968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4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47,503</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30,958</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88,420</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60,923</w:t>
            </w:r>
          </w:p>
        </w:tc>
        <w:tc>
          <w:tcPr>
            <w:tcW w:w="100" w:type="dxa"/>
            <w:vAlign w:val="bottom"/>
          </w:tcPr>
          <w:p>
            <w:pPr>
              <w:spacing w:after="0"/>
              <w:rPr>
                <w:sz w:val="17"/>
                <w:szCs w:val="17"/>
                <w:color w:val="auto"/>
              </w:rPr>
            </w:pPr>
          </w:p>
        </w:tc>
      </w:tr>
      <w:tr>
        <w:trPr>
          <w:trHeight w:val="196"/>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(43,721</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(29,906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(80,196</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(59,582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8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and other income, net</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(481 )</w:t>
            </w: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(431 )</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(903 )</w:t>
            </w:r>
          </w:p>
        </w:tc>
        <w:tc>
          <w:tcPr>
            <w:tcW w:w="3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(853 )</w:t>
            </w:r>
          </w:p>
        </w:tc>
      </w:tr>
      <w:tr>
        <w:trPr>
          <w:trHeight w:val="196"/>
        </w:trPr>
        <w:tc>
          <w:tcPr>
            <w:tcW w:w="584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(43,743</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(30,173</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(80,520</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(60,159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211</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(43,839 )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(30,208 )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(80,731 )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(60,233 )</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r>
      <w:tr>
        <w:trPr>
          <w:trHeight w:val="24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(0.92 )</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(0.66 )</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(1.69 )</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(1.36 )</w:t>
            </w:r>
          </w:p>
        </w:tc>
      </w:tr>
      <w:tr>
        <w:trPr>
          <w:trHeight w:val="183"/>
        </w:trPr>
        <w:tc>
          <w:tcPr>
            <w:tcW w:w="58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Shares used in computing net loss per share, basic and diluted</w:t>
            </w: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47,882</w:t>
            </w:r>
          </w:p>
        </w:tc>
        <w:tc>
          <w:tcPr>
            <w:tcW w:w="26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45,680</w:t>
            </w:r>
          </w:p>
        </w:tc>
        <w:tc>
          <w:tcPr>
            <w:tcW w:w="24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47,686</w:t>
            </w:r>
          </w:p>
        </w:tc>
        <w:tc>
          <w:tcPr>
            <w:tcW w:w="24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44,228</w:t>
            </w:r>
          </w:p>
        </w:tc>
        <w:tc>
          <w:tcPr>
            <w:tcW w:w="100" w:type="dxa"/>
            <w:vAlign w:val="bottom"/>
            <w:tcBorders>
              <w:top w:val="single" w:sz="8" w:color="CFF0FC"/>
            </w:tcBorders>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-2705100</wp:posOffset>
            </wp:positionV>
            <wp:extent cx="768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-2705100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-2705100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-2705100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-2182495</wp:posOffset>
            </wp:positionV>
            <wp:extent cx="768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-2182495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-2182495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-1393825</wp:posOffset>
            </wp:positionV>
            <wp:extent cx="768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-1393825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-1393825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-1393825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-596265</wp:posOffset>
            </wp:positionV>
            <wp:extent cx="768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-596265</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-596265</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-596265</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-179705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-161925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-179705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-161925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-179705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-161925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5"/>
          </w:tcPr>
          <w:p>
            <w:pPr>
              <w:jc w:val="right"/>
              <w:ind w:right="601"/>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40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7"/>
                <w:szCs w:val="17"/>
                <w:color w:val="auto"/>
              </w:rPr>
            </w:pPr>
          </w:p>
        </w:tc>
      </w:tr>
      <w:tr>
        <w:trPr>
          <w:trHeight w:val="196"/>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(43,839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(30,208</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(80,731</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(60,233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loss on available-for-sale securities</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(306 )</w:t>
            </w:r>
          </w:p>
        </w:tc>
        <w:tc>
          <w:tcPr>
            <w:tcW w:w="3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(20 )</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(771 )</w:t>
            </w:r>
          </w:p>
        </w:tc>
        <w:tc>
          <w:tcPr>
            <w:tcW w:w="3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(29 )</w:t>
            </w:r>
          </w:p>
        </w:tc>
      </w:tr>
      <w:tr>
        <w:trPr>
          <w:trHeight w:val="20"/>
        </w:trPr>
        <w:tc>
          <w:tcPr>
            <w:tcW w:w="5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84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(44,145 )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(30,228 )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(81,502 )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(60,262 )</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-159385</wp:posOffset>
            </wp:positionV>
            <wp:extent cx="7747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-159385</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-159385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Additional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59"/>
              <w:spacing w:after="0" w:line="162" w:lineRule="exact"/>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960" w:type="dxa"/>
            <w:vAlign w:val="bottom"/>
            <w:gridSpan w:val="3"/>
            <w:vMerge w:val="restart"/>
          </w:tcPr>
          <w:p>
            <w:pPr>
              <w:jc w:val="right"/>
              <w:ind w:right="263"/>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center"/>
              <w:ind w:right="139"/>
              <w:spacing w:after="0" w:line="162" w:lineRule="exact"/>
              <w:rPr>
                <w:sz w:val="20"/>
                <w:szCs w:val="20"/>
                <w:color w:val="auto"/>
              </w:rPr>
            </w:pPr>
            <w:r>
              <w:rPr>
                <w:rFonts w:ascii="Arial" w:cs="Arial" w:eastAsia="Arial" w:hAnsi="Arial"/>
                <w:sz w:val="16"/>
                <w:szCs w:val="16"/>
                <w:b w:val="1"/>
                <w:bCs w:val="1"/>
                <w:color w:val="auto"/>
                <w:w w:val="89"/>
              </w:rPr>
              <w:t>Comprehensiv</w:t>
            </w: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Paid-in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9"/>
              </w:rPr>
              <w:t>e</w:t>
            </w:r>
          </w:p>
        </w:tc>
        <w:tc>
          <w:tcPr>
            <w:tcW w:w="1200" w:type="dxa"/>
            <w:vAlign w:val="bottom"/>
            <w:gridSpan w:val="3"/>
            <w:vMerge w:val="continue"/>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860" w:type="dxa"/>
            <w:vAlign w:val="bottom"/>
          </w:tcPr>
          <w:p>
            <w:pPr>
              <w:jc w:val="right"/>
              <w:ind w:right="119"/>
              <w:spacing w:after="0" w:line="183" w:lineRule="exact"/>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19"/>
              <w:spacing w:after="0" w:line="183" w:lineRule="exact"/>
              <w:rPr>
                <w:sz w:val="20"/>
                <w:szCs w:val="20"/>
                <w:color w:val="auto"/>
              </w:rPr>
            </w:pPr>
            <w:r>
              <w:rPr>
                <w:rFonts w:ascii="Arial" w:cs="Arial" w:eastAsia="Arial" w:hAnsi="Arial"/>
                <w:sz w:val="16"/>
                <w:szCs w:val="16"/>
                <w:b w:val="1"/>
                <w:bCs w:val="1"/>
                <w:color w:val="auto"/>
              </w:rPr>
              <w:t>Capital</w:t>
            </w:r>
          </w:p>
        </w:tc>
        <w:tc>
          <w:tcPr>
            <w:tcW w:w="240" w:type="dxa"/>
            <w:vAlign w:val="bottom"/>
          </w:tcPr>
          <w:p>
            <w:pPr>
              <w:spacing w:after="0"/>
              <w:rPr>
                <w:sz w:val="15"/>
                <w:szCs w:val="15"/>
                <w:color w:val="auto"/>
              </w:rPr>
            </w:pPr>
          </w:p>
        </w:tc>
        <w:tc>
          <w:tcPr>
            <w:tcW w:w="1300" w:type="dxa"/>
            <w:vAlign w:val="bottom"/>
            <w:gridSpan w:val="3"/>
          </w:tcPr>
          <w:p>
            <w:pPr>
              <w:jc w:val="center"/>
              <w:ind w:right="159"/>
              <w:spacing w:after="0" w:line="183" w:lineRule="exact"/>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5"/>
                <w:szCs w:val="15"/>
                <w:color w:val="auto"/>
              </w:rPr>
            </w:pPr>
          </w:p>
        </w:tc>
        <w:tc>
          <w:tcPr>
            <w:tcW w:w="1020" w:type="dxa"/>
            <w:vAlign w:val="bottom"/>
            <w:gridSpan w:val="2"/>
          </w:tcPr>
          <w:p>
            <w:pPr>
              <w:jc w:val="right"/>
              <w:ind w:right="399"/>
              <w:spacing w:after="0" w:line="183" w:lineRule="exact"/>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5"/>
                <w:szCs w:val="15"/>
                <w:color w:val="auto"/>
              </w:rPr>
            </w:pPr>
          </w:p>
        </w:tc>
        <w:tc>
          <w:tcPr>
            <w:tcW w:w="900" w:type="dxa"/>
            <w:vAlign w:val="bottom"/>
            <w:gridSpan w:val="2"/>
          </w:tcPr>
          <w:p>
            <w:pPr>
              <w:jc w:val="right"/>
              <w:ind w:right="360"/>
              <w:spacing w:after="0" w:line="183"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83"/>
        </w:trPr>
        <w:tc>
          <w:tcPr>
            <w:tcW w:w="40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as of December 31, 2021</w:t>
            </w: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47,241</w:t>
            </w:r>
          </w:p>
        </w:tc>
        <w:tc>
          <w:tcPr>
            <w:tcW w:w="26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68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w:t>
            </w:r>
          </w:p>
        </w:tc>
        <w:tc>
          <w:tcPr>
            <w:tcW w:w="2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1,000,212</w:t>
            </w: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(184</w:t>
            </w:r>
          </w:p>
        </w:tc>
        <w:tc>
          <w:tcPr>
            <w:tcW w:w="2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(625,994</w:t>
            </w:r>
          </w:p>
        </w:tc>
        <w:tc>
          <w:tcPr>
            <w:tcW w:w="24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374,081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80" w:type="dxa"/>
            <w:vAlign w:val="bottom"/>
          </w:tcPr>
          <w:p>
            <w:pPr>
              <w:ind w:left="200"/>
              <w:spacing w:after="0" w:line="152" w:lineRule="exact"/>
              <w:rPr>
                <w:sz w:val="20"/>
                <w:szCs w:val="20"/>
                <w:color w:val="auto"/>
              </w:rPr>
            </w:pPr>
            <w:r>
              <w:rPr>
                <w:rFonts w:ascii="Arial" w:cs="Arial" w:eastAsia="Arial" w:hAnsi="Arial"/>
                <w:sz w:val="16"/>
                <w:szCs w:val="16"/>
                <w:color w:val="auto"/>
              </w:rPr>
              <w:t>Issuance of common stock through employee stock</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2,063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080" w:type="dxa"/>
            <w:vAlign w:val="bottom"/>
          </w:tcPr>
          <w:p>
            <w:pPr>
              <w:ind w:left="280"/>
              <w:spacing w:after="0"/>
              <w:rPr>
                <w:sz w:val="20"/>
                <w:szCs w:val="20"/>
                <w:color w:val="auto"/>
              </w:rPr>
            </w:pPr>
            <w:r>
              <w:rPr>
                <w:rFonts w:ascii="Arial" w:cs="Arial" w:eastAsia="Arial" w:hAnsi="Arial"/>
                <w:sz w:val="16"/>
                <w:szCs w:val="16"/>
                <w:color w:val="auto"/>
              </w:rPr>
              <w:t>purchase plan</w:t>
            </w: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8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860" w:type="dxa"/>
            <w:vAlign w:val="bottom"/>
          </w:tcPr>
          <w:p>
            <w:pPr>
              <w:jc w:val="right"/>
              <w:spacing w:after="0"/>
              <w:rPr>
                <w:sz w:val="20"/>
                <w:szCs w:val="20"/>
                <w:color w:val="auto"/>
              </w:rPr>
            </w:pPr>
            <w:r>
              <w:rPr>
                <w:rFonts w:ascii="Arial" w:cs="Arial" w:eastAsia="Arial" w:hAnsi="Arial"/>
                <w:sz w:val="16"/>
                <w:szCs w:val="16"/>
                <w:color w:val="auto"/>
              </w:rPr>
              <w:t>328</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5,006</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(465 )</w:t>
            </w:r>
          </w:p>
        </w:tc>
        <w:tc>
          <w:tcPr>
            <w:tcW w:w="18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(465 )</w:t>
            </w:r>
          </w:p>
        </w:tc>
        <w:tc>
          <w:tcPr>
            <w:tcW w:w="0" w:type="dxa"/>
            <w:vAlign w:val="bottom"/>
          </w:tcPr>
          <w:p>
            <w:pPr>
              <w:spacing w:after="0"/>
              <w:rPr>
                <w:sz w:val="1"/>
                <w:szCs w:val="1"/>
                <w:color w:val="auto"/>
              </w:rPr>
            </w:pPr>
          </w:p>
        </w:tc>
      </w:tr>
      <w:tr>
        <w:trPr>
          <w:trHeight w:val="189"/>
        </w:trPr>
        <w:tc>
          <w:tcPr>
            <w:tcW w:w="4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(36,892 )</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(36,892 )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as of March 31, 2022</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47,712</w:t>
            </w:r>
          </w:p>
        </w:tc>
        <w:tc>
          <w:tcPr>
            <w:tcW w:w="260" w:type="dxa"/>
            <w:vAlign w:val="bottom"/>
          </w:tcPr>
          <w:p>
            <w:pPr>
              <w:spacing w:after="0"/>
              <w:rPr>
                <w:sz w:val="15"/>
                <w:szCs w:val="15"/>
                <w:color w:val="auto"/>
              </w:rPr>
            </w:pP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1,008,940</w:t>
            </w:r>
          </w:p>
        </w:tc>
        <w:tc>
          <w:tcPr>
            <w:tcW w:w="24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(649 )</w:t>
            </w:r>
          </w:p>
        </w:tc>
        <w:tc>
          <w:tcPr>
            <w:tcW w:w="18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(662,886 )</w:t>
            </w:r>
          </w:p>
        </w:tc>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345,453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8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860" w:type="dxa"/>
            <w:vAlign w:val="bottom"/>
          </w:tcPr>
          <w:p>
            <w:pPr>
              <w:jc w:val="right"/>
              <w:spacing w:after="0"/>
              <w:rPr>
                <w:sz w:val="20"/>
                <w:szCs w:val="20"/>
                <w:color w:val="auto"/>
              </w:rPr>
            </w:pPr>
            <w:r>
              <w:rPr>
                <w:rFonts w:ascii="Arial" w:cs="Arial" w:eastAsia="Arial" w:hAnsi="Arial"/>
                <w:sz w:val="16"/>
                <w:szCs w:val="16"/>
                <w:color w:val="auto"/>
              </w:rPr>
              <w:t>233</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7,414</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(306 )</w:t>
            </w:r>
          </w:p>
        </w:tc>
        <w:tc>
          <w:tcPr>
            <w:tcW w:w="18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(306 )</w:t>
            </w:r>
          </w:p>
        </w:tc>
        <w:tc>
          <w:tcPr>
            <w:tcW w:w="0" w:type="dxa"/>
            <w:vAlign w:val="bottom"/>
          </w:tcPr>
          <w:p>
            <w:pPr>
              <w:spacing w:after="0"/>
              <w:rPr>
                <w:sz w:val="1"/>
                <w:szCs w:val="1"/>
                <w:color w:val="auto"/>
              </w:rPr>
            </w:pPr>
          </w:p>
        </w:tc>
      </w:tr>
      <w:tr>
        <w:trPr>
          <w:trHeight w:val="189"/>
        </w:trPr>
        <w:tc>
          <w:tcPr>
            <w:tcW w:w="4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(43,839 )</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(43,839 )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as of June 30, 2022</w:t>
            </w:r>
          </w:p>
        </w:tc>
        <w:tc>
          <w:tcPr>
            <w:tcW w:w="8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47,997</w:t>
            </w:r>
          </w:p>
        </w:tc>
        <w:tc>
          <w:tcPr>
            <w:tcW w:w="260" w:type="dxa"/>
            <w:vAlign w:val="bottom"/>
          </w:tcPr>
          <w:p>
            <w:pPr>
              <w:spacing w:after="0"/>
              <w:rPr>
                <w:sz w:val="15"/>
                <w:szCs w:val="15"/>
                <w:color w:val="auto"/>
              </w:rPr>
            </w:pPr>
          </w:p>
        </w:tc>
        <w:tc>
          <w:tcPr>
            <w:tcW w:w="840" w:type="dxa"/>
            <w:vAlign w:val="bottom"/>
          </w:tcPr>
          <w:p>
            <w:pPr>
              <w:jc w:val="right"/>
              <w:ind w:right="683"/>
              <w:spacing w:after="0"/>
              <w:rPr>
                <w:sz w:val="20"/>
                <w:szCs w:val="20"/>
                <w:color w:val="auto"/>
              </w:rPr>
            </w:pPr>
            <w:r>
              <w:rPr>
                <w:rFonts w:ascii="Arial" w:cs="Arial" w:eastAsia="Arial" w:hAnsi="Arial"/>
                <w:sz w:val="15"/>
                <w:szCs w:val="15"/>
                <w:b w:val="1"/>
                <w:bCs w:val="1"/>
                <w:color w:val="auto"/>
                <w:w w:val="71"/>
              </w:rPr>
              <w:t>$</w:t>
            </w:r>
          </w:p>
        </w:tc>
        <w:tc>
          <w:tcPr>
            <w:tcW w:w="2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48</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1,017,396</w:t>
            </w:r>
          </w:p>
        </w:tc>
        <w:tc>
          <w:tcPr>
            <w:tcW w:w="24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gridSpan w:val="2"/>
          </w:tcPr>
          <w:p>
            <w:pPr>
              <w:jc w:val="right"/>
              <w:ind w:right="79"/>
              <w:spacing w:after="0" w:line="183" w:lineRule="exact"/>
              <w:rPr>
                <w:sz w:val="20"/>
                <w:szCs w:val="20"/>
                <w:color w:val="auto"/>
              </w:rPr>
            </w:pPr>
            <w:r>
              <w:rPr>
                <w:rFonts w:ascii="Arial" w:cs="Arial" w:eastAsia="Arial" w:hAnsi="Arial"/>
                <w:sz w:val="16"/>
                <w:szCs w:val="16"/>
                <w:b w:val="1"/>
                <w:bCs w:val="1"/>
                <w:color w:val="auto"/>
              </w:rPr>
              <w:t>(955 )</w:t>
            </w:r>
          </w:p>
        </w:tc>
        <w:tc>
          <w:tcPr>
            <w:tcW w:w="1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79"/>
              <w:spacing w:after="0" w:line="183" w:lineRule="exact"/>
              <w:rPr>
                <w:sz w:val="20"/>
                <w:szCs w:val="20"/>
                <w:color w:val="auto"/>
              </w:rPr>
            </w:pPr>
            <w:r>
              <w:rPr>
                <w:rFonts w:ascii="Arial" w:cs="Arial" w:eastAsia="Arial" w:hAnsi="Arial"/>
                <w:sz w:val="16"/>
                <w:szCs w:val="16"/>
                <w:b w:val="1"/>
                <w:bCs w:val="1"/>
                <w:color w:val="auto"/>
              </w:rPr>
              <w:t>(706,725 )</w:t>
            </w:r>
          </w:p>
        </w:tc>
        <w:tc>
          <w:tcPr>
            <w:tcW w:w="160" w:type="dxa"/>
            <w:vAlign w:val="bottom"/>
          </w:tcPr>
          <w:p>
            <w:pPr>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309,764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-879475</wp:posOffset>
            </wp:positionV>
            <wp:extent cx="7747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-879475</wp:posOffset>
            </wp:positionV>
            <wp:extent cx="7747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-879475</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-879475</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-879475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-879475</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-150495</wp:posOffset>
            </wp:positionV>
            <wp:extent cx="7747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-150495</wp:posOffset>
            </wp:positionV>
            <wp:extent cx="7747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-150495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-150495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-150495</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Additional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920" w:type="dxa"/>
            <w:vAlign w:val="bottom"/>
            <w:gridSpan w:val="3"/>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39"/>
              <w:spacing w:after="0" w:line="162" w:lineRule="exact"/>
              <w:rPr>
                <w:sz w:val="20"/>
                <w:szCs w:val="20"/>
                <w:color w:val="auto"/>
              </w:rPr>
            </w:pPr>
            <w:r>
              <w:rPr>
                <w:rFonts w:ascii="Arial" w:cs="Arial" w:eastAsia="Arial" w:hAnsi="Arial"/>
                <w:sz w:val="16"/>
                <w:szCs w:val="16"/>
                <w:b w:val="1"/>
                <w:bCs w:val="1"/>
                <w:color w:val="auto"/>
                <w:w w:val="98"/>
              </w:rPr>
              <w:t>Other</w:t>
            </w: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22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w:t>
            </w:r>
          </w:p>
        </w:tc>
        <w:tc>
          <w:tcPr>
            <w:tcW w:w="1200" w:type="dxa"/>
            <w:vAlign w:val="bottom"/>
            <w:gridSpan w:val="3"/>
            <w:vMerge w:val="continue"/>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83"/>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82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59"/>
              <w:spacing w:after="0" w:line="183" w:lineRule="exact"/>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5"/>
                <w:szCs w:val="15"/>
                <w:color w:val="auto"/>
              </w:rPr>
            </w:pPr>
          </w:p>
        </w:tc>
        <w:tc>
          <w:tcPr>
            <w:tcW w:w="1360" w:type="dxa"/>
            <w:vAlign w:val="bottom"/>
            <w:gridSpan w:val="3"/>
          </w:tcPr>
          <w:p>
            <w:pPr>
              <w:jc w:val="center"/>
              <w:ind w:right="139"/>
              <w:spacing w:after="0" w:line="183" w:lineRule="exact"/>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5"/>
                <w:szCs w:val="15"/>
                <w:color w:val="auto"/>
              </w:rPr>
            </w:pPr>
          </w:p>
        </w:tc>
        <w:tc>
          <w:tcPr>
            <w:tcW w:w="1020" w:type="dxa"/>
            <w:vAlign w:val="bottom"/>
            <w:gridSpan w:val="2"/>
          </w:tcPr>
          <w:p>
            <w:pPr>
              <w:jc w:val="right"/>
              <w:ind w:right="399"/>
              <w:spacing w:after="0" w:line="183" w:lineRule="exact"/>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5"/>
                <w:szCs w:val="15"/>
                <w:color w:val="auto"/>
              </w:rPr>
            </w:pPr>
          </w:p>
        </w:tc>
        <w:tc>
          <w:tcPr>
            <w:tcW w:w="900" w:type="dxa"/>
            <w:vAlign w:val="bottom"/>
            <w:gridSpan w:val="2"/>
          </w:tcPr>
          <w:p>
            <w:pPr>
              <w:jc w:val="right"/>
              <w:ind w:right="360"/>
              <w:spacing w:after="0" w:line="183"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83"/>
        </w:trPr>
        <w:tc>
          <w:tcPr>
            <w:tcW w:w="4040" w:type="dxa"/>
            <w:vAlign w:val="bottom"/>
            <w:vMerge w:val="continue"/>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42,722</w:t>
            </w:r>
          </w:p>
        </w:tc>
        <w:tc>
          <w:tcPr>
            <w:tcW w:w="260" w:type="dxa"/>
            <w:vAlign w:val="bottom"/>
          </w:tcPr>
          <w:p>
            <w:pPr>
              <w:spacing w:after="0"/>
              <w:rPr>
                <w:sz w:val="15"/>
                <w:szCs w:val="15"/>
                <w:color w:val="auto"/>
              </w:rPr>
            </w:pPr>
          </w:p>
        </w:tc>
        <w:tc>
          <w:tcPr>
            <w:tcW w:w="840" w:type="dxa"/>
            <w:vAlign w:val="bottom"/>
            <w:tcBorders>
              <w:top w:val="single" w:sz="8" w:color="auto"/>
            </w:tcBorders>
          </w:tcPr>
          <w:p>
            <w:pPr>
              <w:jc w:val="right"/>
              <w:ind w:right="659"/>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43</w:t>
            </w:r>
          </w:p>
        </w:tc>
        <w:tc>
          <w:tcPr>
            <w:tcW w:w="2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822,624</w:t>
            </w:r>
          </w:p>
        </w:tc>
        <w:tc>
          <w:tcPr>
            <w:tcW w:w="22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18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(494,059</w:t>
            </w:r>
          </w:p>
        </w:tc>
        <w:tc>
          <w:tcPr>
            <w:tcW w:w="2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328,609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4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Issuance of common stock through employee stock</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1,838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1,838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0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purchase plan</w:t>
            </w:r>
          </w:p>
        </w:tc>
        <w:tc>
          <w:tcPr>
            <w:tcW w:w="8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(9 )</w:t>
            </w:r>
          </w:p>
        </w:tc>
        <w:tc>
          <w:tcPr>
            <w:tcW w:w="18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(30,025 )</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(30,025 )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as of March 31, 2021</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42,888</w:t>
            </w:r>
          </w:p>
        </w:tc>
        <w:tc>
          <w:tcPr>
            <w:tcW w:w="260" w:type="dxa"/>
            <w:vAlign w:val="bottom"/>
          </w:tcPr>
          <w:p>
            <w:pPr>
              <w:spacing w:after="0"/>
              <w:rPr>
                <w:sz w:val="15"/>
                <w:szCs w:val="15"/>
                <w:color w:val="auto"/>
              </w:rPr>
            </w:pPr>
          </w:p>
        </w:tc>
        <w:tc>
          <w:tcPr>
            <w:tcW w:w="840" w:type="dxa"/>
            <w:vAlign w:val="bottom"/>
          </w:tcPr>
          <w:p>
            <w:pPr>
              <w:jc w:val="right"/>
              <w:ind w:right="659"/>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43</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830,694</w:t>
            </w:r>
          </w:p>
        </w:tc>
        <w:tc>
          <w:tcPr>
            <w:tcW w:w="2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(8 )</w:t>
            </w:r>
          </w:p>
        </w:tc>
        <w:tc>
          <w:tcPr>
            <w:tcW w:w="18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(524,084 )</w:t>
            </w:r>
          </w:p>
        </w:tc>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306,645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4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Issuance of common stock upon follow-on public</w:t>
            </w: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FF0FC"/>
          </w:tcPr>
          <w:p>
            <w:pPr>
              <w:ind w:left="200"/>
              <w:spacing w:after="0" w:line="162" w:lineRule="exact"/>
              <w:rPr>
                <w:sz w:val="20"/>
                <w:szCs w:val="20"/>
                <w:color w:val="auto"/>
              </w:rPr>
            </w:pPr>
            <w:r>
              <w:rPr>
                <w:rFonts w:ascii="Arial" w:cs="Arial" w:eastAsia="Arial" w:hAnsi="Arial"/>
                <w:sz w:val="16"/>
                <w:szCs w:val="16"/>
                <w:color w:val="auto"/>
              </w:rPr>
              <w:t>offering,</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2,946</w:t>
            </w: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149,082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149,085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net of issuance costs</w:t>
            </w:r>
          </w:p>
        </w:tc>
        <w:tc>
          <w:tcPr>
            <w:tcW w:w="8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(20 )</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89"/>
        </w:trPr>
        <w:tc>
          <w:tcPr>
            <w:tcW w:w="4040" w:type="dxa"/>
            <w:vAlign w:val="bottom"/>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(30,208 )</w:t>
            </w:r>
          </w:p>
        </w:tc>
        <w:tc>
          <w:tcPr>
            <w:tcW w:w="16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(30,208 )</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as of June 30, 2021</w:t>
            </w:r>
          </w:p>
        </w:tc>
        <w:tc>
          <w:tcPr>
            <w:tcW w:w="8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46,225</w:t>
            </w:r>
          </w:p>
        </w:tc>
        <w:tc>
          <w:tcPr>
            <w:tcW w:w="2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9"/>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985,436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w:t>
            </w:r>
          </w:p>
        </w:tc>
        <w:tc>
          <w:tcPr>
            <w:tcW w:w="22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(554,292</w:t>
            </w:r>
          </w:p>
        </w:tc>
        <w:tc>
          <w:tcPr>
            <w:tcW w:w="24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431,162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-1205230</wp:posOffset>
            </wp:positionV>
            <wp:extent cx="7747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-1205230</wp:posOffset>
            </wp:positionV>
            <wp:extent cx="768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-1205230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-1205230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-1205230</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-1205230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-25400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-25400</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96"/>
        </w:trPr>
        <w:tc>
          <w:tcPr>
            <w:tcW w:w="7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(80,731 )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(60,233 )</w:t>
            </w: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12,420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Accretion of discount on investments, net</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Provision for inventories</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non-cash items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(9,946 )</w:t>
            </w: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(15,311 )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(12,116 )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(2,509 )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payroll and related benefits</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(9,153 )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(1,538 )</w:t>
            </w: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8,366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warranty liability</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(260 )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(548 )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(360 )</w:t>
            </w: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2"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(76,910</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(69,457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(3,475 )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(1,766 )</w:t>
            </w:r>
          </w:p>
        </w:tc>
        <w:tc>
          <w:tcPr>
            <w:tcW w:w="0" w:type="dxa"/>
            <w:vAlign w:val="bottom"/>
          </w:tcPr>
          <w:p>
            <w:pPr>
              <w:spacing w:after="0"/>
              <w:rPr>
                <w:sz w:val="1"/>
                <w:szCs w:val="1"/>
                <w:color w:val="auto"/>
              </w:rPr>
            </w:pPr>
          </w:p>
        </w:tc>
      </w:tr>
      <w:tr>
        <w:trPr>
          <w:trHeight w:val="202"/>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investment securities</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(133,015 )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(122,401 )</w:t>
            </w: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tcPr>
          <w:p>
            <w:pPr>
              <w:ind w:left="200"/>
              <w:spacing w:after="0" w:line="202" w:lineRule="exact"/>
              <w:rPr>
                <w:sz w:val="20"/>
                <w:szCs w:val="20"/>
                <w:color w:val="auto"/>
              </w:rPr>
            </w:pPr>
            <w:r>
              <w:rPr>
                <w:rFonts w:ascii="Arial" w:cs="Arial" w:eastAsia="Arial" w:hAnsi="Arial"/>
                <w:sz w:val="18"/>
                <w:szCs w:val="18"/>
                <w:color w:val="auto"/>
              </w:rPr>
              <w:t>Sales and maturities of investment securities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101,784</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19,900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(34,706</w:t>
            </w:r>
          </w:p>
        </w:tc>
        <w:tc>
          <w:tcPr>
            <w:tcW w:w="1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(104,267</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stock option exercises and employee stock purchase plan purchases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200"/>
              <w:spacing w:after="0" w:line="162" w:lineRule="exact"/>
              <w:rPr>
                <w:sz w:val="20"/>
                <w:szCs w:val="20"/>
                <w:color w:val="auto"/>
              </w:rPr>
            </w:pPr>
            <w:r>
              <w:rPr>
                <w:rFonts w:ascii="Arial" w:cs="Arial" w:eastAsia="Arial" w:hAnsi="Arial"/>
                <w:sz w:val="18"/>
                <w:szCs w:val="18"/>
                <w:color w:val="auto"/>
              </w:rPr>
              <w:t>Proceeds from issuance of common stock upon follow-on public offerings,</w:t>
            </w:r>
          </w:p>
        </w:tc>
        <w:tc>
          <w:tcPr>
            <w:tcW w:w="360" w:type="dxa"/>
            <w:vAlign w:val="bottom"/>
          </w:tcPr>
          <w:p>
            <w:pPr>
              <w:spacing w:after="0"/>
              <w:rPr>
                <w:sz w:val="14"/>
                <w:szCs w:val="14"/>
                <w:color w:val="auto"/>
              </w:rPr>
            </w:pPr>
          </w:p>
        </w:tc>
        <w:tc>
          <w:tcPr>
            <w:tcW w:w="150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149,085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40"/>
              <w:spacing w:after="0"/>
              <w:rPr>
                <w:sz w:val="20"/>
                <w:szCs w:val="20"/>
                <w:color w:val="auto"/>
              </w:rPr>
            </w:pPr>
            <w:r>
              <w:rPr>
                <w:rFonts w:ascii="Arial" w:cs="Arial" w:eastAsia="Arial" w:hAnsi="Arial"/>
                <w:sz w:val="18"/>
                <w:szCs w:val="18"/>
                <w:color w:val="auto"/>
              </w:rPr>
              <w:t>net of issuance costs</w:t>
            </w:r>
          </w:p>
        </w:tc>
        <w:tc>
          <w:tcPr>
            <w:tcW w:w="36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700" w:type="dxa"/>
            <w:vAlign w:val="bottom"/>
            <w:tcBorders>
              <w:top w:val="single" w:sz="8" w:color="CFF0FC"/>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4,765</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153,026</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(106,851 )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(20,698 )</w:t>
            </w: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as of beginning of period</w:t>
            </w: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215,659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328,283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as of end of period</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108,808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paid for income taxes</w:t>
            </w:r>
          </w:p>
        </w:tc>
        <w:tc>
          <w:tcPr>
            <w:tcW w:w="360" w:type="dxa"/>
            <w:vAlign w:val="bottom"/>
            <w:tcBorders>
              <w:bottom w:val="single" w:sz="8" w:color="auto"/>
            </w:tcBorders>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Cash paid for amounts included in the measurement of operating lease liabilities</w:t>
            </w:r>
          </w:p>
        </w:tc>
        <w:tc>
          <w:tcPr>
            <w:tcW w:w="36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548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Supplemental non-cash investing and financing activities: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 expenditures included in accounts payable and accrued expenses</w:t>
            </w:r>
          </w:p>
        </w:tc>
        <w:tc>
          <w:tcPr>
            <w:tcW w:w="360" w:type="dxa"/>
            <w:vAlign w:val="bottom"/>
            <w:tcBorders>
              <w:bottom w:val="single" w:sz="8" w:color="auto"/>
            </w:tcBorders>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8"/>
                <w:szCs w:val="18"/>
                <w:color w:val="auto"/>
              </w:rPr>
              <w:t>Transfer of inventories to property and equipment</w:t>
            </w:r>
          </w:p>
        </w:tc>
        <w:tc>
          <w:tcPr>
            <w:tcW w:w="360" w:type="dxa"/>
            <w:vAlign w:val="bottom"/>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300"/>
              <w:spacing w:after="0" w:line="183"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3" w:lineRule="exact"/>
              <w:rPr>
                <w:sz w:val="20"/>
                <w:szCs w:val="20"/>
                <w:color w:val="auto"/>
              </w:rPr>
            </w:pPr>
            <w:r>
              <w:rPr>
                <w:rFonts w:ascii="Arial" w:cs="Arial" w:eastAsia="Arial" w:hAnsi="Arial"/>
                <w:sz w:val="18"/>
                <w:szCs w:val="18"/>
                <w:color w:val="auto"/>
              </w:rPr>
              <w:t>1,294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-3012440</wp:posOffset>
            </wp:positionV>
            <wp:extent cx="9398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-3012440</wp:posOffset>
            </wp:positionV>
            <wp:extent cx="9398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-2360930</wp:posOffset>
            </wp:positionV>
            <wp:extent cx="9398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-2360930</wp:posOffset>
            </wp:positionV>
            <wp:extent cx="9398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-1726565</wp:posOffset>
            </wp:positionV>
            <wp:extent cx="93980"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-1726565</wp:posOffset>
            </wp:positionV>
            <wp:extent cx="9398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-1316355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-1316355</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-770890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-753745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-445135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-179070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Outset Medical,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08" w:lineRule="exact"/>
        <w:rPr>
          <w:sz w:val="20"/>
          <w:szCs w:val="20"/>
          <w:color w:val="auto"/>
        </w:rPr>
      </w:pPr>
    </w:p>
    <w:p>
      <w:pPr>
        <w:ind w:firstLine="569"/>
        <w:spacing w:after="0" w:line="255" w:lineRule="auto"/>
        <w:rPr>
          <w:sz w:val="20"/>
          <w:szCs w:val="20"/>
          <w:color w:val="auto"/>
        </w:rPr>
      </w:pPr>
      <w:r>
        <w:rPr>
          <w:rFonts w:ascii="Arial" w:cs="Arial" w:eastAsia="Arial" w:hAnsi="Arial"/>
          <w:sz w:val="17"/>
          <w:szCs w:val="17"/>
          <w:color w:val="auto"/>
        </w:rPr>
        <w:t>Outset Medical, Inc. (the Company) is a medical technology company pioneering a first-of-its-kind technology to reduce the cost and complexity of dialysis. The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200" w:firstLine="569"/>
        <w:spacing w:after="0" w:line="248" w:lineRule="auto"/>
        <w:rPr>
          <w:sz w:val="20"/>
          <w:szCs w:val="20"/>
          <w:color w:val="auto"/>
        </w:rPr>
      </w:pPr>
      <w:r>
        <w:rPr>
          <w:rFonts w:ascii="Arial" w:cs="Arial" w:eastAsia="Arial" w:hAnsi="Arial"/>
          <w:sz w:val="18"/>
          <w:szCs w:val="18"/>
          <w:color w:val="auto"/>
        </w:rPr>
        <w:t>Since inception, the Company has incurred net losses and negative cash flows from operations. During the six months ended June 30, 2022 and 2021, the Company incurred a net loss of $80.7 million and $60.2 million, respectively. As of June 30, 2022, the Company had an accumulated deficit of $706.7 million.</w:t>
      </w:r>
    </w:p>
    <w:p>
      <w:pPr>
        <w:spacing w:after="0" w:line="74" w:lineRule="exact"/>
        <w:rPr>
          <w:sz w:val="20"/>
          <w:szCs w:val="20"/>
          <w:color w:val="auto"/>
        </w:rPr>
      </w:pPr>
    </w:p>
    <w:p>
      <w:pPr>
        <w:ind w:right="60" w:firstLine="569"/>
        <w:spacing w:after="0"/>
        <w:rPr>
          <w:sz w:val="20"/>
          <w:szCs w:val="20"/>
          <w:color w:val="auto"/>
        </w:rPr>
      </w:pPr>
      <w:r>
        <w:rPr>
          <w:rFonts w:ascii="Arial" w:cs="Arial" w:eastAsia="Arial" w:hAnsi="Arial"/>
          <w:sz w:val="18"/>
          <w:szCs w:val="18"/>
          <w:color w:val="auto"/>
        </w:rPr>
        <w:t>As of June 30, 2022, the Company had cash, cash equivalents and short-term investments of $262.1 million, which are available to fund future operations, and restricted cash of $33.3 million, for a total cash, cash equivalents, restricted cash and short-term investments balance of $295.4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short-term investments and cash generated from sales, will be sufficient to meet its anticipated needs for at least the next 12 months from the issuance date of the accompanying condensed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firstLine="569"/>
        <w:spacing w:after="0" w:line="274" w:lineRule="auto"/>
        <w:rPr>
          <w:sz w:val="20"/>
          <w:szCs w:val="20"/>
          <w:color w:val="auto"/>
        </w:rPr>
      </w:pPr>
      <w:r>
        <w:rPr>
          <w:rFonts w:ascii="Arial" w:cs="Arial" w:eastAsia="Arial" w:hAnsi="Arial"/>
          <w:sz w:val="16"/>
          <w:szCs w:val="16"/>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 and six-month periods are also unaudited. The results of operations for the three and six months ended June 30, 2022 are not necessarily indicative of the results of operations to be anticipated for any other future annual or interim period. The condensed balance sheet as of December 31, 2021 included herein was derived from the audited financial statements as of that date.</w:t>
      </w:r>
    </w:p>
    <w:p>
      <w:pPr>
        <w:spacing w:after="0" w:line="55" w:lineRule="exact"/>
        <w:rPr>
          <w:sz w:val="20"/>
          <w:szCs w:val="20"/>
          <w:color w:val="auto"/>
        </w:rPr>
      </w:pPr>
    </w:p>
    <w:p>
      <w:pPr>
        <w:jc w:val="both"/>
        <w:ind w:right="100" w:firstLine="569"/>
        <w:spacing w:after="0" w:line="248" w:lineRule="auto"/>
        <w:rPr>
          <w:sz w:val="20"/>
          <w:szCs w:val="20"/>
          <w:color w:val="auto"/>
        </w:rPr>
      </w:pPr>
      <w:r>
        <w:rPr>
          <w:rFonts w:ascii="Arial" w:cs="Arial" w:eastAsia="Arial" w:hAnsi="Arial"/>
          <w:sz w:val="18"/>
          <w:szCs w:val="18"/>
          <w:color w:val="auto"/>
        </w:rPr>
        <w:t>These unaudited condensed financial statements should be read in conjunction with the Company’s audited financial statements and related notes for the year ended December 31, 2021, which are included in the Annual Report on Form 10-K for the fiscal year ended December 31, 2021 filed with the Securities and Exchange Commission (SEC) on February 23, 2022 (2021 Annual Report).</w:t>
      </w:r>
    </w:p>
    <w:p>
      <w:pPr>
        <w:spacing w:after="0" w:line="7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share amounts disclosed in the notes to the condensed financial statements are rounded to the nearest thousand except for per share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8" w:lineRule="exact"/>
        <w:rPr>
          <w:sz w:val="20"/>
          <w:szCs w:val="20"/>
          <w:color w:val="auto"/>
        </w:rPr>
      </w:pPr>
    </w:p>
    <w:p>
      <w:pPr>
        <w:ind w:right="140" w:firstLine="569"/>
        <w:spacing w:after="0" w:line="291" w:lineRule="auto"/>
        <w:rPr>
          <w:sz w:val="20"/>
          <w:szCs w:val="20"/>
          <w:color w:val="auto"/>
        </w:rPr>
      </w:pPr>
      <w:r>
        <w:rPr>
          <w:rFonts w:ascii="Arial" w:cs="Arial" w:eastAsia="Arial" w:hAnsi="Arial"/>
          <w:sz w:val="17"/>
          <w:szCs w:val="17"/>
          <w:color w:val="auto"/>
        </w:rPr>
        <w:t>During the six months ended June 30, 2022, there have been no material changes to the Company’s significant accounting policies as described in its 2021 Annual Report that have had a material impact on the Company’s condensed financial statements and related notes.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04" w:lineRule="exact"/>
        <w:rPr>
          <w:sz w:val="20"/>
          <w:szCs w:val="20"/>
          <w:color w:val="auto"/>
        </w:rPr>
      </w:pPr>
    </w:p>
    <w:p>
      <w:pPr>
        <w:ind w:firstLine="562"/>
        <w:spacing w:after="0" w:line="253" w:lineRule="auto"/>
        <w:rPr>
          <w:sz w:val="20"/>
          <w:szCs w:val="20"/>
          <w:color w:val="auto"/>
        </w:rPr>
      </w:pPr>
      <w:r>
        <w:rPr>
          <w:rFonts w:ascii="Arial" w:cs="Arial" w:eastAsia="Arial" w:hAnsi="Arial"/>
          <w:sz w:val="17"/>
          <w:szCs w:val="17"/>
          <w:color w:val="auto"/>
        </w:rPr>
        <w:t xml:space="preserve">In June 2016, the Financial Accounting Standards Board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(ASU 2016-13), which requires an entity to utilize a new impairment model known as the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w:t>
      </w:r>
      <w:r>
        <w:rPr>
          <w:rFonts w:ascii="Arial" w:cs="Arial" w:eastAsia="Arial" w:hAnsi="Arial"/>
          <w:sz w:val="17"/>
          <w:szCs w:val="17"/>
          <w:i w:val="1"/>
          <w:iCs w:val="1"/>
          <w:color w:val="auto"/>
        </w:rPr>
        <w:t>Financial Instruments—Credit Losses (Topic 326), Derivatives and Hedging (Topic 815) and Leases (Topic 842): Effective</w:t>
      </w:r>
      <w:r>
        <w:rPr>
          <w:rFonts w:ascii="Arial" w:cs="Arial" w:eastAsia="Arial" w:hAnsi="Arial"/>
          <w:sz w:val="17"/>
          <w:szCs w:val="17"/>
          <w:color w:val="auto"/>
        </w:rPr>
        <w:t xml:space="preserve"> </w:t>
      </w:r>
      <w:r>
        <w:rPr>
          <w:rFonts w:ascii="Arial" w:cs="Arial" w:eastAsia="Arial" w:hAnsi="Arial"/>
          <w:sz w:val="17"/>
          <w:szCs w:val="17"/>
          <w:i w:val="1"/>
          <w:iCs w:val="1"/>
          <w:color w:val="auto"/>
        </w:rPr>
        <w:t>Dates</w:t>
      </w:r>
      <w:r>
        <w:rPr>
          <w:rFonts w:ascii="Arial" w:cs="Arial" w:eastAsia="Arial" w:hAnsi="Arial"/>
          <w:sz w:val="17"/>
          <w:szCs w:val="17"/>
          <w:color w:val="auto"/>
        </w:rPr>
        <w:t>, which defers the effective date of ASU 2016-13 to fiscal years beginning after December 15, 2022 for all entities except SEC reporting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smaller reporting companies. ASU 2016-13 will be effective for the Company beginning January 1, 2023. The Company is currently evaluating the impact of the adoption of ASU 2016-13 on its financial statements.</w:t>
      </w:r>
    </w:p>
    <w:p>
      <w:pPr>
        <w:spacing w:after="0" w:line="176" w:lineRule="exact"/>
        <w:rPr>
          <w:sz w:val="20"/>
          <w:szCs w:val="20"/>
          <w:color w:val="auto"/>
        </w:rPr>
      </w:pPr>
    </w:p>
    <w:p>
      <w:pPr>
        <w:ind w:right="8580" w:firstLine="8"/>
        <w:spacing w:after="0" w:line="407"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and Deferred Revenue </w:t>
      </w:r>
      <w:r>
        <w:rPr>
          <w:rFonts w:ascii="Arial" w:cs="Arial" w:eastAsia="Arial" w:hAnsi="Arial"/>
          <w:sz w:val="16"/>
          <w:szCs w:val="16"/>
          <w:b w:val="1"/>
          <w:bCs w:val="1"/>
          <w:i w:val="1"/>
          <w:iCs w:val="1"/>
          <w:color w:val="auto"/>
        </w:rPr>
        <w:t>Disaggregation of Revenue</w:t>
      </w:r>
    </w:p>
    <w:p>
      <w:pPr>
        <w:ind w:left="580"/>
        <w:spacing w:after="0"/>
        <w:rPr>
          <w:rFonts w:ascii="Arial" w:cs="Arial" w:eastAsia="Arial" w:hAnsi="Arial"/>
          <w:sz w:val="16"/>
          <w:szCs w:val="16"/>
          <w:b w:val="1"/>
          <w:bCs w:val="1"/>
          <w:color w:val="auto"/>
        </w:rPr>
      </w:pPr>
      <w:r>
        <w:rPr>
          <w:rFonts w:ascii="Arial" w:cs="Arial" w:eastAsia="Arial" w:hAnsi="Arial"/>
          <w:sz w:val="18"/>
          <w:szCs w:val="18"/>
          <w:color w:val="auto"/>
        </w:rPr>
        <w:t>Revenue by source consists of the following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160" w:type="dxa"/>
            <w:vAlign w:val="bottom"/>
          </w:tcPr>
          <w:p>
            <w:pPr>
              <w:spacing w:after="0"/>
              <w:rPr>
                <w:sz w:val="19"/>
                <w:szCs w:val="19"/>
                <w:color w:val="auto"/>
              </w:rPr>
            </w:pPr>
          </w:p>
        </w:tc>
        <w:tc>
          <w:tcPr>
            <w:tcW w:w="23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Three Months Ended June 30,</w:t>
            </w:r>
          </w:p>
        </w:tc>
        <w:tc>
          <w:tcPr>
            <w:tcW w:w="200" w:type="dxa"/>
            <w:vAlign w:val="bottom"/>
          </w:tcPr>
          <w:p>
            <w:pPr>
              <w:spacing w:after="0"/>
              <w:rPr>
                <w:sz w:val="19"/>
                <w:szCs w:val="19"/>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Six Months Ended June 30,</w:t>
            </w:r>
          </w:p>
        </w:tc>
        <w:tc>
          <w:tcPr>
            <w:tcW w:w="100" w:type="dxa"/>
            <w:vAlign w:val="bottom"/>
          </w:tcPr>
          <w:p>
            <w:pPr>
              <w:spacing w:after="0"/>
              <w:rPr>
                <w:sz w:val="19"/>
                <w:szCs w:val="19"/>
                <w:color w:val="auto"/>
              </w:rPr>
            </w:pPr>
          </w:p>
        </w:tc>
      </w:tr>
      <w:tr>
        <w:trPr>
          <w:trHeight w:val="196"/>
        </w:trPr>
        <w:tc>
          <w:tcPr>
            <w:tcW w:w="5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Consoles</w:t>
            </w:r>
          </w:p>
        </w:tc>
        <w:tc>
          <w:tcPr>
            <w:tcW w:w="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13,228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16,857</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31,279</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31,623</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Consumables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6,393</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14,006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7,215</w:t>
            </w:r>
          </w:p>
        </w:tc>
        <w:tc>
          <w:tcPr>
            <w:tcW w:w="100" w:type="dxa"/>
            <w:vAlign w:val="bottom"/>
          </w:tcPr>
          <w:p>
            <w:pPr>
              <w:spacing w:after="0"/>
              <w:rPr>
                <w:sz w:val="17"/>
                <w:szCs w:val="17"/>
                <w:color w:val="auto"/>
              </w:rPr>
            </w:pPr>
          </w:p>
        </w:tc>
      </w:tr>
      <w:tr>
        <w:trPr>
          <w:trHeight w:val="196"/>
        </w:trPr>
        <w:tc>
          <w:tcPr>
            <w:tcW w:w="51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product revenue</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19,621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20,628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45,285</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38,838</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Service and other revenue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5,436</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4,588</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10,322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9,294</w:t>
            </w:r>
          </w:p>
        </w:tc>
        <w:tc>
          <w:tcPr>
            <w:tcW w:w="100" w:type="dxa"/>
            <w:vAlign w:val="bottom"/>
          </w:tcPr>
          <w:p>
            <w:pPr>
              <w:spacing w:after="0"/>
              <w:rPr>
                <w:sz w:val="17"/>
                <w:szCs w:val="17"/>
                <w:color w:val="auto"/>
              </w:rPr>
            </w:pPr>
          </w:p>
        </w:tc>
      </w:tr>
      <w:tr>
        <w:trPr>
          <w:trHeight w:val="236"/>
        </w:trPr>
        <w:tc>
          <w:tcPr>
            <w:tcW w:w="51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25,057</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25,216</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55,607</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48,132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8" w:lineRule="exact"/>
        <w:rPr>
          <w:sz w:val="20"/>
          <w:szCs w:val="20"/>
          <w:color w:val="auto"/>
        </w:rPr>
      </w:pPr>
    </w:p>
    <w:p>
      <w:pPr>
        <w:ind w:right="860" w:firstLine="569"/>
        <w:spacing w:after="0" w:line="261" w:lineRule="auto"/>
        <w:rPr>
          <w:sz w:val="20"/>
          <w:szCs w:val="20"/>
          <w:color w:val="auto"/>
        </w:rPr>
      </w:pPr>
      <w:r>
        <w:rPr>
          <w:rFonts w:ascii="Arial" w:cs="Arial" w:eastAsia="Arial" w:hAnsi="Arial"/>
          <w:sz w:val="18"/>
          <w:szCs w:val="18"/>
          <w:color w:val="auto"/>
        </w:rPr>
        <w:t>For the three and six months ended June 30, 2022, $0.7 million and $1.4 million of consoles revenue were from console operating lease arrangements, compared to $1.3 million and $2.6 million for the three and six months ended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Contract Liabilities</w:t>
      </w:r>
    </w:p>
    <w:p>
      <w:pPr>
        <w:spacing w:after="0" w:line="104" w:lineRule="exact"/>
        <w:rPr>
          <w:sz w:val="20"/>
          <w:szCs w:val="20"/>
          <w:color w:val="auto"/>
        </w:rPr>
      </w:pPr>
    </w:p>
    <w:p>
      <w:pPr>
        <w:jc w:val="both"/>
        <w:ind w:right="120" w:firstLine="569"/>
        <w:spacing w:after="0" w:line="270" w:lineRule="auto"/>
        <w:rPr>
          <w:sz w:val="20"/>
          <w:szCs w:val="20"/>
          <w:color w:val="auto"/>
        </w:rPr>
      </w:pPr>
      <w:r>
        <w:rPr>
          <w:rFonts w:ascii="Arial" w:cs="Arial" w:eastAsia="Arial" w:hAnsi="Arial"/>
          <w:sz w:val="17"/>
          <w:szCs w:val="17"/>
          <w:color w:val="auto"/>
        </w:rPr>
        <w:t>As of June 30, 2022, the aggregate amount of the transaction price allocated to the remaining performance obligations related to customer service contracts that are unsatisfied or partially unsatisfied was $8.0 million, which is recorded as deferred revenue on the Company’s condensed balance sheets. Of that amount, $7.8 million will be recognized as revenue during the next 12 months and $0.2 million thereafter.</w:t>
      </w:r>
    </w:p>
    <w:p>
      <w:pPr>
        <w:spacing w:after="0" w:line="56" w:lineRule="exact"/>
        <w:rPr>
          <w:sz w:val="20"/>
          <w:szCs w:val="20"/>
          <w:color w:val="auto"/>
        </w:rPr>
      </w:pPr>
    </w:p>
    <w:p>
      <w:pPr>
        <w:ind w:right="100" w:firstLine="569"/>
        <w:spacing w:after="0" w:line="248" w:lineRule="auto"/>
        <w:rPr>
          <w:sz w:val="20"/>
          <w:szCs w:val="20"/>
          <w:color w:val="auto"/>
        </w:rPr>
      </w:pPr>
      <w:r>
        <w:rPr>
          <w:rFonts w:ascii="Arial" w:cs="Arial" w:eastAsia="Arial" w:hAnsi="Arial"/>
          <w:sz w:val="18"/>
          <w:szCs w:val="18"/>
          <w:color w:val="auto"/>
        </w:rPr>
        <w:t>The contract liabilities consist of deferred revenue which represents payments received in advance of revenue recognition. Revenue under these agreements is recognized over the related service period. During the three and six months ended June 30, 2022, the Company recognized $1.7 million and $4.2 million of previously deferred revenue.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Fair Value Measurements</w:t>
      </w:r>
    </w:p>
    <w:p>
      <w:pPr>
        <w:spacing w:after="0" w:line="108" w:lineRule="exact"/>
        <w:rPr>
          <w:sz w:val="20"/>
          <w:szCs w:val="20"/>
          <w:color w:val="auto"/>
        </w:rPr>
      </w:pPr>
    </w:p>
    <w:p>
      <w:pPr>
        <w:ind w:right="140" w:firstLine="569"/>
        <w:spacing w:after="0" w:line="261"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equivalents:</w:t>
      </w:r>
    </w:p>
    <w:p>
      <w:pPr>
        <w:ind w:left="200"/>
        <w:spacing w:after="0" w:line="234" w:lineRule="auto"/>
        <w:rPr>
          <w:sz w:val="20"/>
          <w:szCs w:val="20"/>
          <w:color w:val="auto"/>
        </w:rPr>
      </w:pPr>
      <w:r>
        <w:rPr>
          <w:rFonts w:ascii="Arial" w:cs="Arial" w:eastAsia="Arial" w:hAnsi="Arial"/>
          <w:sz w:val="18"/>
          <w:szCs w:val="18"/>
          <w:color w:val="auto"/>
        </w:rPr>
        <w:t>Money market funds</w:t>
      </w:r>
    </w:p>
    <w:p>
      <w:pPr>
        <w:ind w:left="20"/>
        <w:spacing w:after="0" w:line="235" w:lineRule="auto"/>
        <w:rPr>
          <w:sz w:val="20"/>
          <w:szCs w:val="20"/>
          <w:color w:val="auto"/>
        </w:rPr>
      </w:pPr>
      <w:r>
        <w:rPr>
          <w:rFonts w:ascii="Arial" w:cs="Arial" w:eastAsia="Arial" w:hAnsi="Arial"/>
          <w:sz w:val="18"/>
          <w:szCs w:val="18"/>
          <w:color w:val="auto"/>
        </w:rPr>
        <w:t>Short-term investments:</w:t>
      </w:r>
    </w:p>
    <w:p>
      <w:pPr>
        <w:ind w:left="200"/>
        <w:spacing w:after="0" w:line="235" w:lineRule="auto"/>
        <w:rPr>
          <w:sz w:val="20"/>
          <w:szCs w:val="20"/>
          <w:color w:val="auto"/>
        </w:rPr>
      </w:pPr>
      <w:r>
        <w:rPr>
          <w:rFonts w:ascii="Arial" w:cs="Arial" w:eastAsia="Arial" w:hAnsi="Arial"/>
          <w:sz w:val="18"/>
          <w:szCs w:val="18"/>
          <w:color w:val="auto"/>
        </w:rPr>
        <w:t>U.S. Treasury securities</w:t>
      </w:r>
    </w:p>
    <w:p>
      <w:pPr>
        <w:ind w:left="200"/>
        <w:spacing w:after="0" w:line="235" w:lineRule="auto"/>
        <w:rPr>
          <w:sz w:val="20"/>
          <w:szCs w:val="20"/>
          <w:color w:val="auto"/>
        </w:rPr>
      </w:pPr>
      <w:r>
        <w:rPr>
          <w:rFonts w:ascii="Arial" w:cs="Arial" w:eastAsia="Arial" w:hAnsi="Arial"/>
          <w:sz w:val="18"/>
          <w:szCs w:val="18"/>
          <w:color w:val="auto"/>
        </w:rPr>
        <w:t>Corporate debt</w:t>
      </w:r>
    </w:p>
    <w:p>
      <w:pPr>
        <w:ind w:left="200"/>
        <w:spacing w:after="0"/>
        <w:rPr>
          <w:sz w:val="20"/>
          <w:szCs w:val="20"/>
          <w:color w:val="auto"/>
        </w:rPr>
      </w:pPr>
      <w:r>
        <w:rPr>
          <w:rFonts w:ascii="Arial" w:cs="Arial" w:eastAsia="Arial" w:hAnsi="Arial"/>
          <w:sz w:val="18"/>
          <w:szCs w:val="18"/>
          <w:color w:val="auto"/>
        </w:rPr>
        <w:t>Commercial paper</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Total cash equivalents and</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equivalents:</w:t>
      </w:r>
    </w:p>
    <w:p>
      <w:pPr>
        <w:ind w:left="200"/>
        <w:spacing w:after="0" w:line="234" w:lineRule="auto"/>
        <w:rPr>
          <w:sz w:val="20"/>
          <w:szCs w:val="20"/>
          <w:color w:val="auto"/>
        </w:rPr>
      </w:pPr>
      <w:r>
        <w:rPr>
          <w:rFonts w:ascii="Arial" w:cs="Arial" w:eastAsia="Arial" w:hAnsi="Arial"/>
          <w:sz w:val="18"/>
          <w:szCs w:val="18"/>
          <w:color w:val="auto"/>
        </w:rPr>
        <w:t>Money market funds</w:t>
      </w:r>
    </w:p>
    <w:p>
      <w:pPr>
        <w:ind w:left="20"/>
        <w:spacing w:after="0" w:line="235" w:lineRule="auto"/>
        <w:rPr>
          <w:sz w:val="20"/>
          <w:szCs w:val="20"/>
          <w:color w:val="auto"/>
        </w:rPr>
      </w:pPr>
      <w:r>
        <w:rPr>
          <w:rFonts w:ascii="Arial" w:cs="Arial" w:eastAsia="Arial" w:hAnsi="Arial"/>
          <w:sz w:val="18"/>
          <w:szCs w:val="18"/>
          <w:color w:val="auto"/>
        </w:rPr>
        <w:t>Short-term investments:</w:t>
      </w:r>
    </w:p>
    <w:p>
      <w:pPr>
        <w:ind w:left="200"/>
        <w:spacing w:after="0" w:line="235" w:lineRule="auto"/>
        <w:rPr>
          <w:sz w:val="20"/>
          <w:szCs w:val="20"/>
          <w:color w:val="auto"/>
        </w:rPr>
      </w:pPr>
      <w:r>
        <w:rPr>
          <w:rFonts w:ascii="Arial" w:cs="Arial" w:eastAsia="Arial" w:hAnsi="Arial"/>
          <w:sz w:val="18"/>
          <w:szCs w:val="18"/>
          <w:color w:val="auto"/>
        </w:rPr>
        <w:t>U.S. Treasury securities</w:t>
      </w:r>
    </w:p>
    <w:p>
      <w:pPr>
        <w:ind w:left="200"/>
        <w:spacing w:after="0" w:line="235" w:lineRule="auto"/>
        <w:rPr>
          <w:sz w:val="20"/>
          <w:szCs w:val="20"/>
          <w:color w:val="auto"/>
        </w:rPr>
      </w:pPr>
      <w:r>
        <w:rPr>
          <w:rFonts w:ascii="Arial" w:cs="Arial" w:eastAsia="Arial" w:hAnsi="Arial"/>
          <w:sz w:val="18"/>
          <w:szCs w:val="18"/>
          <w:color w:val="auto"/>
        </w:rPr>
        <w:t>Corporate debt</w:t>
      </w:r>
    </w:p>
    <w:p>
      <w:pPr>
        <w:ind w:left="200"/>
        <w:spacing w:after="0"/>
        <w:rPr>
          <w:sz w:val="20"/>
          <w:szCs w:val="20"/>
          <w:color w:val="auto"/>
        </w:rPr>
      </w:pPr>
      <w:r>
        <w:rPr>
          <w:rFonts w:ascii="Arial" w:cs="Arial" w:eastAsia="Arial" w:hAnsi="Arial"/>
          <w:sz w:val="18"/>
          <w:szCs w:val="18"/>
          <w:color w:val="auto"/>
        </w:rPr>
        <w:t>Commercial paper</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Total cash equivalents and</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short-term investments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8"/>
          </w:tcPr>
          <w:p>
            <w:pPr>
              <w:jc w:val="right"/>
              <w:ind w:right="1060"/>
              <w:spacing w:after="0"/>
              <w:rPr>
                <w:sz w:val="20"/>
                <w:szCs w:val="20"/>
                <w:color w:val="auto"/>
              </w:rPr>
            </w:pPr>
            <w:r>
              <w:rPr>
                <w:rFonts w:ascii="Arial" w:cs="Arial" w:eastAsia="Arial" w:hAnsi="Arial"/>
                <w:sz w:val="18"/>
                <w:szCs w:val="18"/>
                <w:b w:val="1"/>
                <w:bCs w:val="1"/>
                <w:color w:val="auto"/>
              </w:rPr>
              <w:t>June 30, 2022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left="110"/>
              <w:spacing w:after="0" w:line="156"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400"/>
              <w:spacing w:after="0" w:line="156"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7"/>
              </w:rPr>
              <w:t>Amortized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4"/>
              </w:rPr>
              <w:t>Aggregate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left="90"/>
              <w:spacing w:after="0" w:line="176" w:lineRule="exact"/>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w w:val="92"/>
              </w:rPr>
              <w:t>Holding</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Hierarchy</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Costs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614"/>
        </w:trPr>
        <w:tc>
          <w:tcPr>
            <w:tcW w:w="4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2"/>
              </w:rPr>
              <w:t>Level 1</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31,353</w:t>
            </w:r>
          </w:p>
        </w:tc>
        <w:tc>
          <w:tcPr>
            <w:tcW w:w="1300" w:type="dxa"/>
            <w:vAlign w:val="bottom"/>
            <w:gridSpan w:val="3"/>
          </w:tcPr>
          <w:p>
            <w:pPr>
              <w:jc w:val="right"/>
              <w:ind w:right="850"/>
              <w:spacing w:after="0"/>
              <w:rPr>
                <w:sz w:val="20"/>
                <w:szCs w:val="20"/>
                <w:color w:val="auto"/>
              </w:rPr>
            </w:pPr>
            <w:r>
              <w:rPr>
                <w:rFonts w:ascii="Arial" w:cs="Arial" w:eastAsia="Arial" w:hAnsi="Arial"/>
                <w:sz w:val="18"/>
                <w:szCs w:val="18"/>
                <w:color w:val="auto"/>
              </w:rPr>
              <w:t>$</w:t>
            </w:r>
          </w:p>
        </w:tc>
        <w:tc>
          <w:tcPr>
            <w:tcW w:w="42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377"/>
        </w:trPr>
        <w:tc>
          <w:tcPr>
            <w:tcW w:w="4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2"/>
              </w:rPr>
              <w:t>Level 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76,950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(518 )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76,432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2"/>
              </w:rPr>
              <w:t>Level 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78,645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(437 )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78,208</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2"/>
              </w:rPr>
              <w:t>Level 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31,925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31,925</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218,873</w:t>
            </w:r>
          </w:p>
        </w:tc>
        <w:tc>
          <w:tcPr>
            <w:tcW w:w="260" w:type="dxa"/>
            <w:vAlign w:val="bottom"/>
            <w:gridSpan w:val="2"/>
          </w:tcPr>
          <w:p>
            <w:pPr>
              <w:spacing w:after="0"/>
              <w:rPr>
                <w:sz w:val="24"/>
                <w:szCs w:val="24"/>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(955 )</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217,918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8"/>
                <w:szCs w:val="18"/>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left="50"/>
              <w:spacing w:after="0" w:line="156"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360"/>
              <w:spacing w:after="0" w:line="156"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Valuation</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0"/>
              </w:rPr>
              <w:t>Amortized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left="3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4"/>
              </w:rPr>
              <w:t>Aggregate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left="50"/>
              <w:spacing w:after="0" w:line="176" w:lineRule="exact"/>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92"/>
              </w:rPr>
              <w:t>Holding</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Hierarchy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Costs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614"/>
        </w:trPr>
        <w:tc>
          <w:tcPr>
            <w:tcW w:w="4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60,844</w:t>
            </w:r>
          </w:p>
        </w:tc>
        <w:tc>
          <w:tcPr>
            <w:tcW w:w="80" w:type="dxa"/>
            <w:vAlign w:val="bottom"/>
          </w:tcPr>
          <w:p>
            <w:pPr>
              <w:spacing w:after="0"/>
              <w:rPr>
                <w:sz w:val="24"/>
                <w:szCs w:val="24"/>
                <w:color w:val="auto"/>
              </w:rPr>
            </w:pPr>
          </w:p>
        </w:tc>
        <w:tc>
          <w:tcPr>
            <w:tcW w:w="1300" w:type="dxa"/>
            <w:vAlign w:val="bottom"/>
            <w:gridSpan w:val="3"/>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60,844</w:t>
            </w:r>
          </w:p>
        </w:tc>
        <w:tc>
          <w:tcPr>
            <w:tcW w:w="0" w:type="dxa"/>
            <w:vAlign w:val="bottom"/>
          </w:tcPr>
          <w:p>
            <w:pPr>
              <w:spacing w:after="0"/>
              <w:rPr>
                <w:sz w:val="1"/>
                <w:szCs w:val="1"/>
                <w:color w:val="auto"/>
              </w:rPr>
            </w:pPr>
          </w:p>
        </w:tc>
      </w:tr>
      <w:tr>
        <w:trPr>
          <w:trHeight w:val="377"/>
        </w:trPr>
        <w:tc>
          <w:tcPr>
            <w:tcW w:w="4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(60 )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18,004</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2"/>
              </w:rPr>
              <w:t>Level 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124,178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(125 )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124,055</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15,081</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218,167</w:t>
            </w:r>
          </w:p>
        </w:tc>
        <w:tc>
          <w:tcPr>
            <w:tcW w:w="80" w:type="dxa"/>
            <w:vAlign w:val="bottom"/>
          </w:tcPr>
          <w:p>
            <w:pPr>
              <w:spacing w:after="0"/>
              <w:rPr>
                <w:sz w:val="24"/>
                <w:szCs w:val="24"/>
                <w:color w:val="auto"/>
              </w:rPr>
            </w:pPr>
          </w:p>
        </w:tc>
        <w:tc>
          <w:tcPr>
            <w:tcW w:w="1300" w:type="dxa"/>
            <w:vAlign w:val="bottom"/>
            <w:gridSpan w:val="3"/>
          </w:tcPr>
          <w:p>
            <w:pPr>
              <w:jc w:val="right"/>
              <w:ind w:right="9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(185 )</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217,984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-3034030</wp:posOffset>
            </wp:positionV>
            <wp:extent cx="71323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-2776855</wp:posOffset>
            </wp:positionV>
            <wp:extent cx="713232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-2519680</wp:posOffset>
            </wp:positionV>
            <wp:extent cx="713232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-2262505</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-1148080</wp:posOffset>
            </wp:positionV>
            <wp:extent cx="713232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-890905</wp:posOffset>
            </wp:positionV>
            <wp:extent cx="713232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-633730</wp:posOffset>
            </wp:positionV>
            <wp:extent cx="713232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-376555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540" w:right="339" w:bottom="1440" w:gutter="0" w:footer="0" w:header="0"/>
          <w:type w:val="continuous"/>
        </w:sectPr>
      </w:pPr>
    </w:p>
    <w:p>
      <w:pPr>
        <w:spacing w:after="0" w:line="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2022, the remaining contractual maturities for available-for-sale securities were one month to thirteen months.</w:t>
      </w:r>
    </w:p>
    <w:p>
      <w:pPr>
        <w:spacing w:after="0" w:line="104" w:lineRule="exact"/>
        <w:rPr>
          <w:sz w:val="20"/>
          <w:szCs w:val="20"/>
          <w:color w:val="auto"/>
        </w:rPr>
      </w:pPr>
    </w:p>
    <w:p>
      <w:pPr>
        <w:ind w:firstLine="569"/>
        <w:spacing w:after="0" w:line="253" w:lineRule="auto"/>
        <w:rPr>
          <w:sz w:val="20"/>
          <w:szCs w:val="20"/>
          <w:color w:val="auto"/>
        </w:rPr>
      </w:pPr>
      <w:r>
        <w:rPr>
          <w:rFonts w:ascii="Arial" w:cs="Arial" w:eastAsia="Arial" w:hAnsi="Arial"/>
          <w:sz w:val="17"/>
          <w:szCs w:val="17"/>
          <w:color w:val="auto"/>
        </w:rPr>
        <w:t>Impairment assessments are made at the individual security level at each reporting period. When the fair value of an available-for-sale security is less than its cost at the balance sheet date, a determination is made as to whether the impairment is other-than-temporary and, if it is other-than-temporary, an impairment loss is recognized in earnings equal to the difference between the investment’s amortized cost and fair value at such date. As of June 30, 2022, there were three securities with a total fair value of $18.0 million in an unrealized loss position for more than 12 months. The unrealized losses totaling $89,000 as of June 30, 2022 were caused by changes in market interest rates or the widening of market spreads subsequent to the initial purchase of these securities, and not related to the underlying credit of the issuers or the underlying collateral. These securities were issued by public reporting companies with an investment-grade rating by at least one bond credit rating agency. As a result, the Company did not consider these investments to be other-than-temporarily impaired as of June 30, 2022. During the three and six months ended June 30, 2022 and 2021, the Company did not recognize other-than-temporary impairment losses related to its investment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4" w:lineRule="exact"/>
        <w:rPr>
          <w:sz w:val="20"/>
          <w:szCs w:val="20"/>
          <w:color w:val="auto"/>
        </w:rPr>
      </w:pPr>
    </w:p>
    <w:p>
      <w:pPr>
        <w:ind w:right="40" w:firstLine="569"/>
        <w:spacing w:after="0" w:line="261" w:lineRule="auto"/>
        <w:rPr>
          <w:sz w:val="20"/>
          <w:szCs w:val="20"/>
          <w:color w:val="auto"/>
        </w:rPr>
      </w:pPr>
      <w:r>
        <w:rPr>
          <w:rFonts w:ascii="Arial" w:cs="Arial" w:eastAsia="Arial" w:hAnsi="Arial"/>
          <w:sz w:val="18"/>
          <w:szCs w:val="18"/>
          <w:color w:val="auto"/>
        </w:rPr>
        <w:t>As of June 30, 2022 and December 31, 2021, the restricted cash balance of $33.3 million primarily relates to contractual obligations under the SVB Loan and Security Agreement (see Note 7) and collateral for building leases in San Jose, CA and Tijuana Mexico.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1" w:name="page12"/>
    <w:bookmarkEnd w:id="11"/>
    <w:p>
      <w:pPr>
        <w:jc w:val="center"/>
        <w:ind w:right="60"/>
        <w:spacing w:after="0"/>
        <w:rPr>
          <w:sz w:val="20"/>
          <w:szCs w:val="20"/>
          <w:color w:val="auto"/>
        </w:rPr>
      </w:pPr>
      <w:r>
        <w:rPr>
          <w:rFonts w:ascii="Arial" w:cs="Arial" w:eastAsia="Arial" w:hAnsi="Arial"/>
          <w:sz w:val="18"/>
          <w:szCs w:val="18"/>
          <w:color w:val="auto"/>
        </w:rPr>
        <w:t>The following table provides a reconciliation of cash, cash equivalents and restricted cash that sum to the total of the amounts shown in the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accompanying condensed statements of cash flows (in thousands):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99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75,497</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274,274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33,311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0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108,808</w:t>
            </w:r>
          </w:p>
        </w:tc>
        <w:tc>
          <w:tcPr>
            <w:tcW w:w="1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307,585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180" w:type="dxa"/>
            <w:vAlign w:val="bottom"/>
            <w:gridSpan w:val="2"/>
          </w:tcPr>
          <w:p>
            <w:pPr>
              <w:ind w:left="580"/>
              <w:spacing w:after="0"/>
              <w:rPr>
                <w:sz w:val="20"/>
                <w:szCs w:val="20"/>
                <w:color w:val="auto"/>
              </w:rPr>
            </w:pPr>
            <w:r>
              <w:rPr>
                <w:rFonts w:ascii="Arial" w:cs="Arial" w:eastAsia="Arial" w:hAnsi="Arial"/>
                <w:sz w:val="18"/>
                <w:szCs w:val="18"/>
                <w:color w:val="auto"/>
              </w:rPr>
              <w:t>Inventories consist of the following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7"/>
              </w:rPr>
              <w:t>June 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Raw materials</w:t>
            </w:r>
          </w:p>
        </w:tc>
        <w:tc>
          <w:tcPr>
            <w:tcW w:w="240" w:type="dxa"/>
            <w:vAlign w:val="bottom"/>
            <w:gridSpan w:val="3"/>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20,731</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9,434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6,054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Finished goods</w:t>
            </w:r>
          </w:p>
        </w:tc>
        <w:tc>
          <w:tcPr>
            <w:tcW w:w="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23,524</w:t>
            </w:r>
          </w:p>
        </w:tc>
        <w:tc>
          <w:tcPr>
            <w:tcW w:w="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15,017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40" w:type="dxa"/>
            <w:vAlign w:val="bottom"/>
          </w:tcPr>
          <w:p>
            <w:pPr>
              <w:ind w:left="280"/>
              <w:spacing w:after="0" w:line="182" w:lineRule="exact"/>
              <w:rPr>
                <w:sz w:val="20"/>
                <w:szCs w:val="20"/>
                <w:color w:val="auto"/>
              </w:rPr>
            </w:pPr>
            <w:r>
              <w:rPr>
                <w:rFonts w:ascii="Arial" w:cs="Arial" w:eastAsia="Arial" w:hAnsi="Arial"/>
                <w:sz w:val="18"/>
                <w:szCs w:val="18"/>
                <w:color w:val="auto"/>
              </w:rPr>
              <w:t>Total inventories</w:t>
            </w:r>
          </w:p>
        </w:tc>
        <w:tc>
          <w:tcPr>
            <w:tcW w:w="240" w:type="dxa"/>
            <w:vAlign w:val="bottom"/>
            <w:gridSpan w:val="3"/>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53,689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39,185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180" w:type="dxa"/>
            <w:vAlign w:val="bottom"/>
            <w:gridSpan w:val="2"/>
          </w:tcPr>
          <w:p>
            <w:pPr>
              <w:ind w:left="580"/>
              <w:spacing w:after="0"/>
              <w:rPr>
                <w:sz w:val="20"/>
                <w:szCs w:val="20"/>
                <w:color w:val="auto"/>
              </w:rPr>
            </w:pPr>
            <w:r>
              <w:rPr>
                <w:rFonts w:ascii="Arial" w:cs="Arial" w:eastAsia="Arial" w:hAnsi="Arial"/>
                <w:sz w:val="18"/>
                <w:szCs w:val="18"/>
                <w:color w:val="auto"/>
                <w:w w:val="97"/>
              </w:rPr>
              <w:t>Accrued expenses and other current liabilities consist of the following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inventory</w:t>
            </w:r>
          </w:p>
        </w:tc>
        <w:tc>
          <w:tcPr>
            <w:tcW w:w="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9,904</w:t>
            </w:r>
          </w:p>
        </w:tc>
        <w:tc>
          <w:tcPr>
            <w:tcW w:w="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spacing w:after="0"/>
              <w:rPr>
                <w:sz w:val="17"/>
                <w:szCs w:val="17"/>
                <w:color w:val="auto"/>
              </w:rPr>
            </w:pPr>
          </w:p>
        </w:tc>
        <w:tc>
          <w:tcPr>
            <w:tcW w:w="1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1,745</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Accrued rebate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3,737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3,121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40" w:type="dxa"/>
            <w:vAlign w:val="bottom"/>
            <w:tcBorders>
              <w:bottom w:val="single" w:sz="8" w:color="CFF0FC"/>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Other</w:t>
            </w: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6,762</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4,017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40" w:type="dxa"/>
            <w:vAlign w:val="bottom"/>
          </w:tcPr>
          <w:p>
            <w:pPr>
              <w:ind w:left="280"/>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23,261</w:t>
            </w:r>
          </w:p>
        </w:tc>
        <w:tc>
          <w:tcPr>
            <w:tcW w:w="20" w:type="dxa"/>
            <w:vAlign w:val="bottom"/>
          </w:tcPr>
          <w:p>
            <w:pPr>
              <w:spacing w:after="0"/>
              <w:rPr>
                <w:sz w:val="17"/>
                <w:szCs w:val="17"/>
                <w:color w:val="auto"/>
              </w:rPr>
            </w:pPr>
          </w:p>
        </w:tc>
        <w:tc>
          <w:tcPr>
            <w:tcW w:w="32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13,789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-2973705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-2957195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-2973705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-2957195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-1762125</wp:posOffset>
            </wp:positionV>
            <wp:extent cx="6032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-1762125</wp:posOffset>
            </wp:positionV>
            <wp:extent cx="5143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-159385</wp:posOffset>
            </wp:positionV>
            <wp:extent cx="5969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72" w:lineRule="exact"/>
        <w:rPr>
          <w:sz w:val="20"/>
          <w:szCs w:val="20"/>
          <w:color w:val="auto"/>
        </w:rPr>
      </w:pPr>
    </w:p>
    <w:p>
      <w:pPr>
        <w:ind w:right="8480" w:firstLine="8"/>
        <w:spacing w:after="0" w:line="362"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40" w:firstLine="569"/>
        <w:spacing w:after="0" w:line="255" w:lineRule="auto"/>
        <w:rPr>
          <w:sz w:val="20"/>
          <w:szCs w:val="20"/>
          <w:color w:val="auto"/>
        </w:rPr>
      </w:pPr>
      <w:r>
        <w:rPr>
          <w:rFonts w:ascii="Arial" w:cs="Arial" w:eastAsia="Arial" w:hAnsi="Arial"/>
          <w:sz w:val="17"/>
          <w:szCs w:val="17"/>
          <w:color w:val="auto"/>
        </w:rPr>
        <w:t>On July 8, 2022, a purported stockholder class action lawsuit was filed in the U.S. District Court for the Northern District of California, naming the Company, its Chief Executive Officer, Chief Financial Officer, and former Chief Financial Officer as defendants. The complaint alleges that between September 15, 2020 and June 13, 2022, the defendants violated Sections 10(b) and 20(a) of the Securities Exchange Act of 1934, as amended (Exchange Act) by making false or misleading statements regarding the Company’s regulatory studies of the Tablo Hemodialysis System for at home use and the Company’s prospects related to the sale of the system for at home use. The Company intends to vigorously defend against this litigation. The case is at a very early stage and there can be no assurance that the Company will be successful in its defense. For this same reason, the Company cannot currently estimate the loss or the range of possible losses it may experience in connection with this litigation.</w:t>
      </w:r>
    </w:p>
    <w:p>
      <w:pPr>
        <w:spacing w:after="0" w:line="274" w:lineRule="exact"/>
        <w:rPr>
          <w:sz w:val="20"/>
          <w:szCs w:val="20"/>
          <w:color w:val="auto"/>
        </w:rPr>
      </w:pPr>
    </w:p>
    <w:p>
      <w:pPr>
        <w:ind w:right="400" w:firstLine="569"/>
        <w:spacing w:after="0" w:line="248" w:lineRule="auto"/>
        <w:rPr>
          <w:sz w:val="20"/>
          <w:szCs w:val="20"/>
          <w:color w:val="auto"/>
        </w:rPr>
      </w:pPr>
      <w:r>
        <w:rPr>
          <w:rFonts w:ascii="Arial" w:cs="Arial" w:eastAsia="Arial" w:hAnsi="Arial"/>
          <w:sz w:val="18"/>
          <w:szCs w:val="18"/>
          <w:color w:val="auto"/>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ind w:firstLine="569"/>
        <w:spacing w:after="0" w:line="239"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7. Term Loan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1"/>
        </w:trPr>
        <w:tc>
          <w:tcPr>
            <w:tcW w:w="7220" w:type="dxa"/>
            <w:vAlign w:val="bottom"/>
            <w:gridSpan w:val="2"/>
          </w:tcPr>
          <w:p>
            <w:pPr>
              <w:ind w:left="580"/>
              <w:spacing w:after="0"/>
              <w:rPr>
                <w:sz w:val="20"/>
                <w:szCs w:val="20"/>
                <w:color w:val="auto"/>
              </w:rPr>
            </w:pPr>
            <w:r>
              <w:rPr>
                <w:rFonts w:ascii="Arial" w:cs="Arial" w:eastAsia="Arial" w:hAnsi="Arial"/>
                <w:sz w:val="18"/>
                <w:szCs w:val="18"/>
                <w:color w:val="auto"/>
              </w:rPr>
              <w:t>Term loan consists of the following (in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9"/>
        </w:trPr>
        <w:tc>
          <w:tcPr>
            <w:tcW w:w="11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December 31,</w:t>
            </w:r>
          </w:p>
        </w:tc>
      </w:tr>
      <w:tr>
        <w:trPr>
          <w:trHeight w:val="221"/>
        </w:trPr>
        <w:tc>
          <w:tcPr>
            <w:tcW w:w="11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6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Principal of term loan</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30,000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(194 )</w:t>
            </w:r>
          </w:p>
        </w:tc>
        <w:tc>
          <w:tcPr>
            <w:tcW w:w="10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(238 )</w:t>
            </w:r>
          </w:p>
        </w:tc>
      </w:tr>
      <w:tr>
        <w:trPr>
          <w:trHeight w:val="196"/>
        </w:trPr>
        <w:tc>
          <w:tcPr>
            <w:tcW w:w="1140" w:type="dxa"/>
            <w:vAlign w:val="bottom"/>
          </w:tcPr>
          <w:p>
            <w:pPr>
              <w:spacing w:after="0"/>
              <w:rPr>
                <w:sz w:val="17"/>
                <w:szCs w:val="17"/>
                <w:color w:val="auto"/>
              </w:rPr>
            </w:pPr>
          </w:p>
        </w:tc>
        <w:tc>
          <w:tcPr>
            <w:tcW w:w="60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Term loan, current and noncurrent</w:t>
            </w:r>
          </w:p>
        </w:tc>
        <w:tc>
          <w:tcPr>
            <w:tcW w:w="2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29,806</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29,762</w:t>
            </w:r>
          </w:p>
        </w:tc>
        <w:tc>
          <w:tcPr>
            <w:tcW w:w="80" w:type="dxa"/>
            <w:vAlign w:val="bottom"/>
            <w:shd w:val="clear" w:color="auto" w:fill="CFF0FC"/>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Less: term loan, current</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(1,000 )</w:t>
            </w:r>
          </w:p>
        </w:tc>
        <w:tc>
          <w:tcPr>
            <w:tcW w:w="10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6"/>
        </w:trPr>
        <w:tc>
          <w:tcPr>
            <w:tcW w:w="1140" w:type="dxa"/>
            <w:vAlign w:val="bottom"/>
          </w:tcPr>
          <w:p>
            <w:pPr>
              <w:spacing w:after="0"/>
              <w:rPr>
                <w:sz w:val="20"/>
                <w:szCs w:val="20"/>
                <w:color w:val="auto"/>
              </w:rPr>
            </w:pPr>
          </w:p>
        </w:tc>
        <w:tc>
          <w:tcPr>
            <w:tcW w:w="60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term loan, noncurrent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28,806</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29,762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-25400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SVB Loan and Security Agreement</w:t>
      </w:r>
    </w:p>
    <w:p>
      <w:pPr>
        <w:spacing w:after="0" w:line="104" w:lineRule="exact"/>
        <w:rPr>
          <w:sz w:val="20"/>
          <w:szCs w:val="20"/>
          <w:color w:val="auto"/>
        </w:rPr>
      </w:pPr>
    </w:p>
    <w:p>
      <w:pPr>
        <w:ind w:right="620" w:firstLine="569"/>
        <w:spacing w:after="0" w:line="261" w:lineRule="auto"/>
        <w:rPr>
          <w:sz w:val="20"/>
          <w:szCs w:val="20"/>
          <w:color w:val="auto"/>
        </w:rPr>
      </w:pPr>
      <w:r>
        <w:rPr>
          <w:rFonts w:ascii="Arial" w:cs="Arial" w:eastAsia="Arial" w:hAnsi="Arial"/>
          <w:sz w:val="18"/>
          <w:szCs w:val="18"/>
          <w:color w:val="auto"/>
        </w:rPr>
        <w:t>On July 2, 2020, the Company entered into a senior secured term loan facility with Silicon Valley Bank (SVB) (the SVB Loan and Security Agreement), which provides for a $30.0 million term loan (the SVB Term Loan).</w:t>
      </w:r>
    </w:p>
    <w:p>
      <w:pPr>
        <w:spacing w:after="0" w:line="63" w:lineRule="exact"/>
        <w:rPr>
          <w:sz w:val="20"/>
          <w:szCs w:val="20"/>
          <w:color w:val="auto"/>
        </w:rPr>
      </w:pPr>
    </w:p>
    <w:p>
      <w:pPr>
        <w:ind w:firstLine="569"/>
        <w:spacing w:after="0" w:line="243" w:lineRule="auto"/>
        <w:rPr>
          <w:sz w:val="20"/>
          <w:szCs w:val="20"/>
          <w:color w:val="auto"/>
        </w:rPr>
      </w:pPr>
      <w:r>
        <w:rPr>
          <w:rFonts w:ascii="Arial" w:cs="Arial" w:eastAsia="Arial" w:hAnsi="Arial"/>
          <w:sz w:val="18"/>
          <w:szCs w:val="18"/>
          <w:color w:val="auto"/>
        </w:rPr>
        <w:t>The SVB Term Loan matures on November 1, 2025. Payments under the SVB Term Loan are for interest only through May 2023, and then 30 monthly principal and interest payments from June 2023 until maturity. The SVB Term Loan bears interest at the greater of (A) 0.5% above the Prime Rate as reported in the Wall Street Journal and (B) 3.75% (5.25% as of June 30, 2022). The Company is obligated to maintain a restricted cash balance greater or equal to the outstanding principal balance of $30.0 million of the SVB Term Loan.</w:t>
      </w:r>
    </w:p>
    <w:p>
      <w:pPr>
        <w:spacing w:after="0" w:line="184" w:lineRule="exact"/>
        <w:rPr>
          <w:sz w:val="20"/>
          <w:szCs w:val="20"/>
          <w:color w:val="auto"/>
        </w:rPr>
      </w:pPr>
    </w:p>
    <w:p>
      <w:pPr>
        <w:ind w:right="9380" w:firstLine="8"/>
        <w:spacing w:after="0" w:line="407"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Incentive Plan </w:t>
      </w:r>
      <w:r>
        <w:rPr>
          <w:rFonts w:ascii="Arial" w:cs="Arial" w:eastAsia="Arial" w:hAnsi="Arial"/>
          <w:sz w:val="16"/>
          <w:szCs w:val="16"/>
          <w:b w:val="1"/>
          <w:bCs w:val="1"/>
          <w:i w:val="1"/>
          <w:iCs w:val="1"/>
          <w:color w:val="auto"/>
        </w:rPr>
        <w:t>Equity Incentive Plans</w:t>
      </w:r>
    </w:p>
    <w:p>
      <w:pPr>
        <w:spacing w:after="0" w:line="1" w:lineRule="exact"/>
        <w:rPr>
          <w:sz w:val="20"/>
          <w:szCs w:val="20"/>
          <w:color w:val="auto"/>
        </w:rPr>
      </w:pPr>
    </w:p>
    <w:p>
      <w:pPr>
        <w:jc w:val="both"/>
        <w:ind w:right="200" w:firstLine="569"/>
        <w:spacing w:after="0" w:line="248" w:lineRule="auto"/>
        <w:rPr>
          <w:sz w:val="20"/>
          <w:szCs w:val="20"/>
          <w:color w:val="auto"/>
        </w:rPr>
      </w:pPr>
      <w:r>
        <w:rPr>
          <w:rFonts w:ascii="Arial" w:cs="Arial" w:eastAsia="Arial" w:hAnsi="Arial"/>
          <w:sz w:val="18"/>
          <w:szCs w:val="18"/>
          <w:color w:val="auto"/>
        </w:rPr>
        <w:t>On January 1, 2022, the number of shares of common stock reserved for the issuance of awards under the Company’s 2020 Equity Incentive Plan (the 2020 Plan) was increased by 1,890,000 shares as a result of the automatic increase pursuant to the 2020 Plan. As of June 30, 2022, 5,022,000 shares were reserved for future issuance under the 2020 Plan.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Share Purchase Plan (ESPP)</w:t>
      </w:r>
    </w:p>
    <w:p>
      <w:pPr>
        <w:spacing w:after="0" w:line="104" w:lineRule="exact"/>
        <w:rPr>
          <w:sz w:val="20"/>
          <w:szCs w:val="20"/>
          <w:color w:val="auto"/>
        </w:rPr>
      </w:pPr>
    </w:p>
    <w:p>
      <w:pPr>
        <w:ind w:right="20" w:firstLine="569"/>
        <w:spacing w:after="0" w:line="248" w:lineRule="auto"/>
        <w:rPr>
          <w:sz w:val="20"/>
          <w:szCs w:val="20"/>
          <w:color w:val="auto"/>
        </w:rPr>
      </w:pPr>
      <w:r>
        <w:rPr>
          <w:rFonts w:ascii="Arial" w:cs="Arial" w:eastAsia="Arial" w:hAnsi="Arial"/>
          <w:sz w:val="18"/>
          <w:szCs w:val="18"/>
          <w:color w:val="auto"/>
        </w:rPr>
        <w:t>On January 1, 2022, the number of shares of common stock reserved for purchase under the Company’s ESPP was increased by 472,000 shares as a result of the automatic increase pursuant to the ESPP. As of June 30, 2022, 1,416,000 shares of common stock were reserved for issuance in connection with the current and future offering periods under the ESPP.</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04" w:lineRule="exact"/>
        <w:rPr>
          <w:sz w:val="20"/>
          <w:szCs w:val="20"/>
          <w:color w:val="auto"/>
        </w:rPr>
      </w:pPr>
    </w:p>
    <w:p>
      <w:pPr>
        <w:ind w:right="160" w:firstLine="569"/>
        <w:spacing w:after="0" w:line="248" w:lineRule="auto"/>
        <w:rPr>
          <w:sz w:val="20"/>
          <w:szCs w:val="20"/>
          <w:color w:val="auto"/>
        </w:rPr>
      </w:pPr>
      <w:r>
        <w:rPr>
          <w:rFonts w:ascii="Arial" w:cs="Arial" w:eastAsia="Arial" w:hAnsi="Arial"/>
          <w:sz w:val="18"/>
          <w:szCs w:val="18"/>
          <w:color w:val="auto"/>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our common stock.</w:t>
      </w:r>
    </w:p>
    <w:p>
      <w:pPr>
        <w:spacing w:after="0" w:line="74" w:lineRule="exact"/>
        <w:rPr>
          <w:sz w:val="20"/>
          <w:szCs w:val="20"/>
          <w:color w:val="auto"/>
        </w:rPr>
      </w:pPr>
    </w:p>
    <w:p>
      <w:pPr>
        <w:ind w:right="140" w:firstLine="569"/>
        <w:spacing w:after="0" w:line="241" w:lineRule="auto"/>
        <w:rPr>
          <w:sz w:val="20"/>
          <w:szCs w:val="20"/>
          <w:color w:val="auto"/>
        </w:rPr>
      </w:pPr>
      <w:r>
        <w:rPr>
          <w:rFonts w:ascii="Arial" w:cs="Arial" w:eastAsia="Arial" w:hAnsi="Arial"/>
          <w:sz w:val="18"/>
          <w:szCs w:val="18"/>
          <w:color w:val="auto"/>
        </w:rPr>
        <w:t>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Prior to February 2022, RSUs with a service-based vesting condition granted to a grantee generally vest at a rate of 25% on the first anniversary of the original vesting date, with the balance vesting quarterly over the remaining three years.</w:t>
      </w:r>
    </w:p>
    <w:p>
      <w:pPr>
        <w:spacing w:after="0" w:line="81" w:lineRule="exact"/>
        <w:rPr>
          <w:sz w:val="20"/>
          <w:szCs w:val="20"/>
          <w:color w:val="auto"/>
        </w:rPr>
      </w:pPr>
    </w:p>
    <w:p>
      <w:pPr>
        <w:ind w:right="40" w:firstLine="569"/>
        <w:spacing w:after="0" w:line="255" w:lineRule="auto"/>
        <w:rPr>
          <w:sz w:val="20"/>
          <w:szCs w:val="20"/>
          <w:color w:val="auto"/>
        </w:rPr>
      </w:pPr>
      <w:r>
        <w:rPr>
          <w:rFonts w:ascii="Arial" w:cs="Arial" w:eastAsia="Arial" w:hAnsi="Arial"/>
          <w:sz w:val="17"/>
          <w:szCs w:val="17"/>
          <w:color w:val="auto"/>
        </w:rPr>
        <w:t>In 2022, the Company issued a mix of 50% PSUs and 50% RSUs to its CEO, and a mix of 20% PSUs and 80% RSUs to its other executive officers and certain other senior leaders. These PSUs are earned and vest over performance and vesting periods extending through 2024 based on achievement against two metrics: (1) an operational metric tied to the number of patients treating at home on Tablo as of the end of 2023, with 50% of earned units vesting after certification of the achievement level following the end of 2023 and the remaining 50% of earned units vesting at the end of 2024 (performance-based vesting conditions, referred to as the Home PSUs) and (2) the Company's relative total stockholder return (relative TSR) over a two-year performance period as compared to companies in a pre-determined index of medical device companies, with 100% of earned units vesting at the end of 2024 (market-based vesting conditions, referred to as the Relative TSR PSUs).</w:t>
      </w:r>
    </w:p>
    <w:p>
      <w:pPr>
        <w:spacing w:after="0" w:line="72" w:lineRule="exact"/>
        <w:rPr>
          <w:sz w:val="20"/>
          <w:szCs w:val="20"/>
          <w:color w:val="auto"/>
        </w:rPr>
      </w:pPr>
    </w:p>
    <w:p>
      <w:pPr>
        <w:ind w:right="80" w:firstLine="569"/>
        <w:spacing w:after="0" w:line="284" w:lineRule="auto"/>
        <w:rPr>
          <w:sz w:val="20"/>
          <w:szCs w:val="20"/>
          <w:color w:val="auto"/>
        </w:rPr>
      </w:pPr>
      <w:r>
        <w:rPr>
          <w:rFonts w:ascii="Arial" w:cs="Arial" w:eastAsia="Arial" w:hAnsi="Arial"/>
          <w:sz w:val="16"/>
          <w:szCs w:val="16"/>
          <w:color w:val="auto"/>
        </w:rPr>
        <w:t>The 2023 target for the Home PSUs is expected to be determined and approved by the Compensation Committee in late 2022 or early 2023. Given such target has not yet been established, the grant date for these Home PSUs will only be established when the Compensation Committee approves and the Company communicates the target to the award recipients, which will then trigger the service inception date, the fair value of the awards, and the associated expense recognition period. Therefore, no expense is expected to be recognized for these Home PSUs until the grant date is established.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stock-based compensation expense included in the accompanying condensed statements of operations (in thousands):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r>
      <w:tr>
        <w:trPr>
          <w:trHeight w:val="221"/>
        </w:trPr>
        <w:tc>
          <w:tcPr>
            <w:tcW w:w="5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7"/>
                <w:szCs w:val="17"/>
                <w:color w:val="auto"/>
              </w:rPr>
            </w:pPr>
          </w:p>
        </w:tc>
      </w:tr>
      <w:tr>
        <w:trPr>
          <w:trHeight w:val="196"/>
        </w:trPr>
        <w:tc>
          <w:tcPr>
            <w:tcW w:w="5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1,808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2,966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1,808</w:t>
            </w:r>
          </w:p>
        </w:tc>
        <w:tc>
          <w:tcPr>
            <w:tcW w:w="100" w:type="dxa"/>
            <w:vAlign w:val="bottom"/>
          </w:tcPr>
          <w:p>
            <w:pPr>
              <w:spacing w:after="0"/>
              <w:rPr>
                <w:sz w:val="17"/>
                <w:szCs w:val="17"/>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4,570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2,794</w:t>
            </w:r>
          </w:p>
        </w:tc>
        <w:tc>
          <w:tcPr>
            <w:tcW w:w="10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2,180</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4,601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5,050</w:t>
            </w:r>
          </w:p>
        </w:tc>
        <w:tc>
          <w:tcPr>
            <w:tcW w:w="100" w:type="dxa"/>
            <w:vAlign w:val="bottom"/>
          </w:tcPr>
          <w:p>
            <w:pPr>
              <w:spacing w:after="0"/>
              <w:rPr>
                <w:sz w:val="17"/>
                <w:szCs w:val="17"/>
                <w:color w:val="auto"/>
              </w:rPr>
            </w:pPr>
          </w:p>
        </w:tc>
      </w:tr>
      <w:tr>
        <w:trPr>
          <w:trHeight w:val="236"/>
        </w:trPr>
        <w:tc>
          <w:tcPr>
            <w:tcW w:w="52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7,414</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3,937</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12,420</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9,789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08" w:lineRule="exact"/>
        <w:rPr>
          <w:sz w:val="20"/>
          <w:szCs w:val="20"/>
          <w:color w:val="auto"/>
        </w:rPr>
      </w:pPr>
    </w:p>
    <w:p>
      <w:pPr>
        <w:ind w:right="180" w:firstLine="569"/>
        <w:spacing w:after="0" w:line="248" w:lineRule="auto"/>
        <w:rPr>
          <w:sz w:val="20"/>
          <w:szCs w:val="20"/>
          <w:color w:val="auto"/>
        </w:rPr>
      </w:pPr>
      <w:r>
        <w:rPr>
          <w:rFonts w:ascii="Arial" w:cs="Arial" w:eastAsia="Arial" w:hAnsi="Arial"/>
          <w:sz w:val="18"/>
          <w:szCs w:val="18"/>
          <w:color w:val="auto"/>
        </w:rPr>
        <w:t>For each of the three and six months ended June 30, 2022 and 2021, the Company incurred an income tax provision of an insignificant amount, which related to foreign income taxes. The U.S. federal and state net deferred tax assets have been fully offset by a valuation allowance, as the Company believes it is not more likely than not that the deferred tax assets will be realized.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08" w:lineRule="exact"/>
        <w:rPr>
          <w:sz w:val="20"/>
          <w:szCs w:val="20"/>
          <w:color w:val="auto"/>
        </w:rPr>
      </w:pPr>
    </w:p>
    <w:p>
      <w:pPr>
        <w:ind w:right="400" w:firstLine="569"/>
        <w:spacing w:after="0" w:line="261" w:lineRule="auto"/>
        <w:rPr>
          <w:sz w:val="20"/>
          <w:szCs w:val="20"/>
          <w:color w:val="auto"/>
        </w:rPr>
      </w:pPr>
      <w:r>
        <w:rPr>
          <w:rFonts w:ascii="Arial" w:cs="Arial" w:eastAsia="Arial" w:hAnsi="Arial"/>
          <w:sz w:val="18"/>
          <w:szCs w:val="18"/>
          <w:color w:val="auto"/>
        </w:rPr>
        <w:t>The following outstanding potentially dilutive shares were excluded from the calculation of diluted net loss per share due to their anti-dilutive effect (in thousands):</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180" w:type="dxa"/>
            <w:vAlign w:val="bottom"/>
          </w:tcPr>
          <w:p>
            <w:pPr>
              <w:spacing w:after="0"/>
              <w:rPr>
                <w:sz w:val="19"/>
                <w:szCs w:val="19"/>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200" w:type="dxa"/>
            <w:vAlign w:val="bottom"/>
          </w:tcPr>
          <w:p>
            <w:pPr>
              <w:spacing w:after="0"/>
              <w:rPr>
                <w:sz w:val="19"/>
                <w:szCs w:val="19"/>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Six Months Ended June 30,</w:t>
            </w:r>
          </w:p>
        </w:tc>
        <w:tc>
          <w:tcPr>
            <w:tcW w:w="100" w:type="dxa"/>
            <w:vAlign w:val="bottom"/>
          </w:tcPr>
          <w:p>
            <w:pPr>
              <w:spacing w:after="0"/>
              <w:rPr>
                <w:sz w:val="19"/>
                <w:szCs w:val="19"/>
                <w:color w:val="auto"/>
              </w:rPr>
            </w:pPr>
          </w:p>
        </w:tc>
      </w:tr>
      <w:tr>
        <w:trPr>
          <w:trHeight w:val="196"/>
        </w:trPr>
        <w:tc>
          <w:tcPr>
            <w:tcW w:w="5180" w:type="dxa"/>
            <w:vAlign w:val="bottom"/>
          </w:tcPr>
          <w:p>
            <w:pPr>
              <w:spacing w:after="0"/>
              <w:rPr>
                <w:sz w:val="17"/>
                <w:szCs w:val="17"/>
                <w:color w:val="auto"/>
              </w:rPr>
            </w:pPr>
          </w:p>
        </w:tc>
        <w:tc>
          <w:tcPr>
            <w:tcW w:w="106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1300" w:type="dxa"/>
            <w:vAlign w:val="bottom"/>
            <w:gridSpan w:val="2"/>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102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1240" w:type="dxa"/>
            <w:vAlign w:val="bottom"/>
            <w:gridSpan w:val="2"/>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5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2,900</w:t>
            </w:r>
          </w:p>
        </w:tc>
        <w:tc>
          <w:tcPr>
            <w:tcW w:w="2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4,653</w:t>
            </w:r>
          </w:p>
        </w:tc>
        <w:tc>
          <w:tcPr>
            <w:tcW w:w="20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2,900</w:t>
            </w:r>
          </w:p>
        </w:tc>
        <w:tc>
          <w:tcPr>
            <w:tcW w:w="20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4,653</w:t>
            </w:r>
          </w:p>
        </w:tc>
        <w:tc>
          <w:tcPr>
            <w:tcW w:w="10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473</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1,513</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473</w:t>
            </w:r>
          </w:p>
        </w:tc>
        <w:tc>
          <w:tcPr>
            <w:tcW w:w="100" w:type="dxa"/>
            <w:vAlign w:val="bottom"/>
          </w:tcPr>
          <w:p>
            <w:pPr>
              <w:spacing w:after="0"/>
              <w:rPr>
                <w:sz w:val="17"/>
                <w:szCs w:val="17"/>
                <w:color w:val="auto"/>
              </w:rPr>
            </w:pPr>
          </w:p>
        </w:tc>
      </w:tr>
      <w:tr>
        <w:trPr>
          <w:trHeight w:val="203"/>
        </w:trPr>
        <w:tc>
          <w:tcPr>
            <w:tcW w:w="5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Performance stock units</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Shares committed under ESPP</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r>
      <w:tr>
        <w:trPr>
          <w:trHeight w:val="203"/>
        </w:trPr>
        <w:tc>
          <w:tcPr>
            <w:tcW w:w="5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Warrant to purchase common stock</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7"/>
                <w:szCs w:val="17"/>
                <w:color w:val="auto"/>
              </w:rPr>
            </w:pPr>
          </w:p>
        </w:tc>
      </w:tr>
      <w:tr>
        <w:trPr>
          <w:trHeight w:val="196"/>
        </w:trPr>
        <w:tc>
          <w:tcPr>
            <w:tcW w:w="51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4,608</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5,216</w:t>
            </w:r>
          </w:p>
        </w:tc>
        <w:tc>
          <w:tcPr>
            <w:tcW w:w="2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4,608</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5,216</w:t>
            </w:r>
          </w:p>
        </w:tc>
        <w:tc>
          <w:tcPr>
            <w:tcW w:w="10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July 8, 2022, a purported stockholder class action lawsuit was filed against the Company, certain of its officers and a former officer (see Note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80" w:firstLine="569"/>
        <w:spacing w:after="0" w:line="284"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2021 Annual Report. As used in this Quarterly Report, references to the “Company,” “we,” “us,” “our,” or similar terms refer to Outset Medical, Inc.</w:t>
      </w:r>
    </w:p>
    <w:p>
      <w:pPr>
        <w:spacing w:after="0" w:line="47" w:lineRule="exact"/>
        <w:rPr>
          <w:sz w:val="20"/>
          <w:szCs w:val="20"/>
          <w:color w:val="auto"/>
        </w:rPr>
      </w:pPr>
    </w:p>
    <w:p>
      <w:pPr>
        <w:ind w:right="20" w:firstLine="569"/>
        <w:spacing w:after="0" w:line="252" w:lineRule="auto"/>
        <w:rPr>
          <w:sz w:val="20"/>
          <w:szCs w:val="20"/>
          <w:color w:val="auto"/>
        </w:rPr>
      </w:pPr>
      <w:r>
        <w:rPr>
          <w:rFonts w:ascii="Arial" w:cs="Arial" w:eastAsia="Arial" w:hAnsi="Arial"/>
          <w:sz w:val="17"/>
          <w:szCs w:val="17"/>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569"/>
        <w:spacing w:after="0" w:line="276" w:lineRule="auto"/>
        <w:rPr>
          <w:sz w:val="20"/>
          <w:szCs w:val="20"/>
          <w:color w:val="auto"/>
        </w:rPr>
      </w:pPr>
      <w:r>
        <w:rPr>
          <w:rFonts w:ascii="Arial" w:cs="Arial" w:eastAsia="Arial" w:hAnsi="Arial"/>
          <w:sz w:val="16"/>
          <w:szCs w:val="16"/>
          <w:color w:val="auto"/>
        </w:rPr>
        <w:t>Our technology is designed to elevate the dialysis experience for patients and help providers overcome traditional care delivery challenges. Requiring only an electrical outlet and tap water to operate, the Tablo® Hemodialysis System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Unlike existing hemodialysis machines, which have limited clinical versatility across care settings, Tablo can be used seamlessly across multiple care settings and a wide range of clinical applications.</w:t>
      </w:r>
    </w:p>
    <w:p>
      <w:pPr>
        <w:spacing w:after="0" w:line="53" w:lineRule="exact"/>
        <w:rPr>
          <w:sz w:val="20"/>
          <w:szCs w:val="20"/>
          <w:color w:val="auto"/>
        </w:rPr>
      </w:pPr>
    </w:p>
    <w:p>
      <w:pPr>
        <w:ind w:firstLine="569"/>
        <w:spacing w:after="0" w:line="241" w:lineRule="auto"/>
        <w:rPr>
          <w:sz w:val="20"/>
          <w:szCs w:val="20"/>
          <w:color w:val="auto"/>
        </w:rPr>
      </w:pPr>
      <w:r>
        <w:rPr>
          <w:rFonts w:ascii="Arial" w:cs="Arial" w:eastAsia="Arial" w:hAnsi="Arial"/>
          <w:sz w:val="18"/>
          <w:szCs w:val="18"/>
          <w:color w:val="auto"/>
        </w:rPr>
        <w:t>Tablo leverages cloud technology, making it possible for providers to monitor devices and treatments remotely, perform patient and population analytics, and automate clinical recordkeeping, while also enabling us to release features and enhancements through over-the-air updates. Tablo’s connectedness also allows it to continually stream more than 500,000 device performance data points after every treatment. We use this data, in conjunction with our diagnostic and predictive algorithms, to determine failure types and, in some instances, predict failures before they occur. In effect, this contributes to a reduction in service hours and an increase in device uptime.</w:t>
      </w:r>
    </w:p>
    <w:p>
      <w:pPr>
        <w:spacing w:after="0" w:line="81" w:lineRule="exact"/>
        <w:rPr>
          <w:sz w:val="20"/>
          <w:szCs w:val="20"/>
          <w:color w:val="auto"/>
        </w:rPr>
      </w:pPr>
    </w:p>
    <w:p>
      <w:pPr>
        <w:ind w:right="20" w:firstLine="569"/>
        <w:spacing w:after="0" w:line="262" w:lineRule="auto"/>
        <w:rPr>
          <w:sz w:val="20"/>
          <w:szCs w:val="20"/>
          <w:color w:val="auto"/>
        </w:rPr>
      </w:pPr>
      <w:r>
        <w:rPr>
          <w:rFonts w:ascii="Arial" w:cs="Arial" w:eastAsia="Arial" w:hAnsi="Arial"/>
          <w:sz w:val="17"/>
          <w:szCs w:val="17"/>
          <w:color w:val="auto"/>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we have conducted, patients have reported experiencing fewer symptoms and better quality sleep while on Tablo. We believe Tablo empowers patients, who have traditionally been passive recipients of care, to regain agency and ownership of their treatment.</w:t>
      </w:r>
    </w:p>
    <w:p>
      <w:pPr>
        <w:spacing w:after="0" w:line="64" w:lineRule="exact"/>
        <w:rPr>
          <w:sz w:val="20"/>
          <w:szCs w:val="20"/>
          <w:color w:val="auto"/>
        </w:rPr>
      </w:pPr>
    </w:p>
    <w:p>
      <w:pPr>
        <w:ind w:right="60" w:firstLine="569"/>
        <w:spacing w:after="0" w:line="241" w:lineRule="auto"/>
        <w:rPr>
          <w:sz w:val="20"/>
          <w:szCs w:val="20"/>
          <w:color w:val="auto"/>
        </w:rPr>
      </w:pPr>
      <w:r>
        <w:rPr>
          <w:rFonts w:ascii="Arial" w:cs="Arial" w:eastAsia="Arial" w:hAnsi="Arial"/>
          <w:sz w:val="18"/>
          <w:szCs w:val="18"/>
          <w:color w:val="auto"/>
        </w:rPr>
        <w:t>Tablo is cleared by the FDA for use in the hospital, clinic, or home setting. In May 2022, we implemented a shipment hold on the distribution and marketing of Tablo for use in the home environment pending the FDA’s review and clearance of a 510(k) application we submitted for changes made since the device’s original March 2020 clearance. During the hold, we continued to market and ship Tablo for use by healthcare professionals in chronic and acute care settings. In addition, the devices that were already distributed to home users at the time the hold was implemented were not removed and current users were able to continue working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 w:name="page16"/>
    <w:bookmarkEnd w:id="15"/>
    <w:p>
      <w:pPr>
        <w:ind w:right="40"/>
        <w:spacing w:after="0" w:line="261" w:lineRule="auto"/>
        <w:rPr>
          <w:sz w:val="20"/>
          <w:szCs w:val="20"/>
          <w:color w:val="auto"/>
        </w:rPr>
      </w:pPr>
      <w:r>
        <w:rPr>
          <w:rFonts w:ascii="Arial" w:cs="Arial" w:eastAsia="Arial" w:hAnsi="Arial"/>
          <w:sz w:val="18"/>
          <w:szCs w:val="18"/>
          <w:color w:val="auto"/>
        </w:rPr>
        <w:t>with their healthcare providers on appropriate treatment. In late July 2022, the FDA cleared our 510(k) application of Tablo for patient use in the home and we have resumed marketing and shipping Tablo for home use.</w:t>
      </w:r>
    </w:p>
    <w:p>
      <w:pPr>
        <w:spacing w:after="0" w:line="63" w:lineRule="exact"/>
        <w:rPr>
          <w:sz w:val="20"/>
          <w:szCs w:val="20"/>
          <w:color w:val="auto"/>
        </w:rPr>
      </w:pPr>
    </w:p>
    <w:p>
      <w:pPr>
        <w:ind w:right="20" w:firstLine="569"/>
        <w:spacing w:after="0" w:line="241" w:lineRule="auto"/>
        <w:rPr>
          <w:sz w:val="20"/>
          <w:szCs w:val="20"/>
          <w:color w:val="auto"/>
        </w:rPr>
      </w:pPr>
      <w:r>
        <w:rPr>
          <w:rFonts w:ascii="Arial" w:cs="Arial" w:eastAsia="Arial" w:hAnsi="Arial"/>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spacing w:after="0" w:line="81" w:lineRule="exact"/>
        <w:rPr>
          <w:sz w:val="20"/>
          <w:szCs w:val="20"/>
          <w:color w:val="auto"/>
        </w:rPr>
      </w:pPr>
    </w:p>
    <w:p>
      <w:pPr>
        <w:ind w:firstLine="569"/>
        <w:spacing w:after="0" w:line="239" w:lineRule="auto"/>
        <w:rPr>
          <w:sz w:val="20"/>
          <w:szCs w:val="20"/>
          <w:color w:val="auto"/>
        </w:rPr>
      </w:pPr>
      <w:r>
        <w:rPr>
          <w:rFonts w:ascii="Arial" w:cs="Arial" w:eastAsia="Arial" w:hAnsi="Arial"/>
          <w:sz w:val="18"/>
          <w:szCs w:val="18"/>
          <w:color w:val="auto"/>
        </w:rPr>
        <w:t>Tablo is also well suited for home-based dialysis. Our ability to reduce training time, patient dropout, and the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rapid scale. We are also working with providers, patients, and payors to increase awareness and adoption of transitional care units (TCUs) as a bridge to home-based therapy. To demonstrate the cost advantages of Tablo in the home setting, we are continuing to collect additional patient clinical experience and outcomes data.</w:t>
      </w:r>
    </w:p>
    <w:p>
      <w:pPr>
        <w:spacing w:after="0" w:line="83" w:lineRule="exact"/>
        <w:rPr>
          <w:sz w:val="20"/>
          <w:szCs w:val="20"/>
          <w:color w:val="auto"/>
        </w:rPr>
      </w:pPr>
    </w:p>
    <w:p>
      <w:pPr>
        <w:ind w:right="80" w:firstLine="569"/>
        <w:spacing w:after="0" w:line="257" w:lineRule="auto"/>
        <w:rPr>
          <w:sz w:val="20"/>
          <w:szCs w:val="20"/>
          <w:color w:val="auto"/>
        </w:rPr>
      </w:pPr>
      <w:r>
        <w:rPr>
          <w:rFonts w:ascii="Arial" w:cs="Arial" w:eastAsia="Arial" w:hAnsi="Arial"/>
          <w:sz w:val="17"/>
          <w:szCs w:val="17"/>
          <w:color w:val="auto"/>
        </w:rPr>
        <w:t>We sell our solutions through our direct sales organization, which covers most major metropolitan markets in the United States. As of June 30, 2022, our sales organization was comprised of 36 capital sales team members, responsible for generating new customer demand for Tablo, and 97 clinical sales team members, responsible for driving utilization and fleet expansion of Tablo consoles at existing customer sites. In addition, our field service team, comprised of 117 members, provides maintenance services and product support to Tablo customers. The same sales organization and field service team have driven Tablo penetration in both the acute and home care markets. We believe the ability to leverage one team to serve both markets will result in significant productivity and cost optimization as we continue to scale our business.</w:t>
      </w:r>
    </w:p>
    <w:p>
      <w:pPr>
        <w:spacing w:after="0" w:line="67" w:lineRule="exact"/>
        <w:rPr>
          <w:sz w:val="20"/>
          <w:szCs w:val="20"/>
          <w:color w:val="auto"/>
        </w:rPr>
      </w:pPr>
    </w:p>
    <w:p>
      <w:pPr>
        <w:ind w:firstLine="569"/>
        <w:spacing w:after="0" w:line="262" w:lineRule="auto"/>
        <w:rPr>
          <w:sz w:val="20"/>
          <w:szCs w:val="20"/>
          <w:color w:val="auto"/>
        </w:rPr>
      </w:pPr>
      <w:r>
        <w:rPr>
          <w:rFonts w:ascii="Arial" w:cs="Arial" w:eastAsia="Arial" w:hAnsi="Arial"/>
          <w:sz w:val="17"/>
          <w:szCs w:val="17"/>
          <w:color w:val="auto"/>
        </w:rPr>
        <w:t>We generate revenue primarily from the initial sale of Tablo consoles, and recurring sales of per-treatment consumables, including the Tablo cartridge, which generates significant total revenue over the life of the console. We generate additional recurring revenue via annual service contracts and revenue from shipping and handling charged to customers. Our total revenue was $25.1 million and $25.2 million for the three months ended June 30, 2022 and 2021, respectively, and $55.6 million and $48.1 million for the six months ended June 30, 2022 and 2021, respectively.</w:t>
      </w:r>
    </w:p>
    <w:p>
      <w:pPr>
        <w:spacing w:after="0" w:line="64" w:lineRule="exact"/>
        <w:rPr>
          <w:sz w:val="20"/>
          <w:szCs w:val="20"/>
          <w:color w:val="auto"/>
        </w:rPr>
      </w:pPr>
    </w:p>
    <w:p>
      <w:pPr>
        <w:ind w:right="60" w:firstLine="569"/>
        <w:spacing w:after="0" w:line="259" w:lineRule="auto"/>
        <w:rPr>
          <w:sz w:val="20"/>
          <w:szCs w:val="20"/>
          <w:color w:val="auto"/>
        </w:rPr>
      </w:pPr>
      <w:r>
        <w:rPr>
          <w:rFonts w:ascii="Arial" w:cs="Arial" w:eastAsia="Arial" w:hAnsi="Arial"/>
          <w:sz w:val="17"/>
          <w:szCs w:val="17"/>
          <w:color w:val="auto"/>
        </w:rPr>
        <w:t>Historically, we have financed our operations and capital expenditures primarily through sales of redeemable convertible preferred stock and common stock, revenue from sales, and debt financing. Since our inception, we have incurred net losses in each year. For the three months ended June 30, 2022 and 2021, we incurred net losses of $43.8 million and $30.2 million, respectively, and for the six months ended June 30, 2022 and 2021, we incurred net losses of $80.7 million and $60.2 million, respectively. As of June 30, 2022, we had an accumulated deficit of $706.7 million. We expect to continue to incur significant expenses for the foreseeable future and to incur operating losses in the near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8" w:lineRule="exact"/>
        <w:rPr>
          <w:sz w:val="20"/>
          <w:szCs w:val="20"/>
          <w:color w:val="auto"/>
        </w:rPr>
      </w:pPr>
    </w:p>
    <w:p>
      <w:pPr>
        <w:ind w:right="40" w:firstLine="569"/>
        <w:spacing w:after="0" w:line="243" w:lineRule="auto"/>
        <w:rPr>
          <w:sz w:val="20"/>
          <w:szCs w:val="20"/>
          <w:color w:val="auto"/>
        </w:rPr>
      </w:pPr>
      <w:r>
        <w:rPr>
          <w:rFonts w:ascii="Arial" w:cs="Arial" w:eastAsia="Arial" w:hAnsi="Arial"/>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Acceptance of Tablo in Acute Setting</w:t>
      </w:r>
    </w:p>
    <w:p>
      <w:pPr>
        <w:spacing w:after="0" w:line="104" w:lineRule="exact"/>
        <w:rPr>
          <w:sz w:val="20"/>
          <w:szCs w:val="20"/>
          <w:color w:val="auto"/>
        </w:rPr>
      </w:pPr>
    </w:p>
    <w:p>
      <w:pPr>
        <w:ind w:right="200" w:firstLine="569"/>
        <w:spacing w:after="0"/>
        <w:rPr>
          <w:sz w:val="20"/>
          <w:szCs w:val="20"/>
          <w:color w:val="auto"/>
        </w:rPr>
      </w:pPr>
      <w:r>
        <w:rPr>
          <w:rFonts w:ascii="Arial" w:cs="Arial" w:eastAsia="Arial" w:hAnsi="Arial"/>
          <w:sz w:val="18"/>
          <w:szCs w:val="18"/>
          <w:color w:val="auto"/>
        </w:rPr>
        <w:t>We plan to further broaden our installed base by continuing to target national and regional Integrated Delivery Networks (IDNs)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in part on the success of our efforts to further evolve our commercial infrastructure and sales processes to support the growth of our business in the acute care market.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Tablo within the Home Setting</w:t>
      </w:r>
    </w:p>
    <w:p>
      <w:pPr>
        <w:spacing w:after="0" w:line="104" w:lineRule="exact"/>
        <w:rPr>
          <w:sz w:val="20"/>
          <w:szCs w:val="20"/>
          <w:color w:val="auto"/>
        </w:rPr>
      </w:pPr>
    </w:p>
    <w:p>
      <w:pPr>
        <w:ind w:right="20" w:firstLine="569"/>
        <w:spacing w:after="0" w:line="241" w:lineRule="auto"/>
        <w:rPr>
          <w:sz w:val="20"/>
          <w:szCs w:val="20"/>
          <w:color w:val="auto"/>
        </w:rPr>
      </w:pPr>
      <w:r>
        <w:rPr>
          <w:rFonts w:ascii="Arial" w:cs="Arial" w:eastAsia="Arial" w:hAnsi="Arial"/>
          <w:sz w:val="18"/>
          <w:szCs w:val="18"/>
          <w:color w:val="auto"/>
        </w:rPr>
        <w:t>We believe that a significant growth opportunity exists within the home hemodialysis market. We are partnering with innovative dialysis clinic providers and health systems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6" w:name="page17"/>
    <w:bookmarkEnd w:id="16"/>
    <w:p>
      <w:pPr>
        <w:ind w:right="80"/>
        <w:spacing w:after="0" w:line="241" w:lineRule="auto"/>
        <w:rPr>
          <w:sz w:val="20"/>
          <w:szCs w:val="20"/>
          <w:color w:val="auto"/>
        </w:rPr>
      </w:pPr>
      <w:r>
        <w:rPr>
          <w:rFonts w:ascii="Arial" w:cs="Arial" w:eastAsia="Arial" w:hAnsi="Arial"/>
          <w:sz w:val="18"/>
          <w:szCs w:val="18"/>
          <w:color w:val="auto"/>
        </w:rPr>
        <w:t>the home market, help grow new home programs and increase our revenue generated from home-based dialysis on the timeline that we anticipate will depend on several factors. These factors include our ability to recover from the interruption to, and loss of momentum in, our home commercialization and marketing as we re-engage with our home provider customers, rebuild our patient pipeline and resume supporting new patients in the home following the release of our prior home shipment hold, as well as our ability to further evolve our commercial infrastructure and sales processes as we scale our business in the home market.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04" w:lineRule="exact"/>
        <w:rPr>
          <w:sz w:val="20"/>
          <w:szCs w:val="20"/>
          <w:color w:val="auto"/>
        </w:rPr>
      </w:pPr>
    </w:p>
    <w:p>
      <w:pPr>
        <w:ind w:right="120" w:firstLine="569"/>
        <w:spacing w:after="0" w:line="272" w:lineRule="auto"/>
        <w:rPr>
          <w:sz w:val="20"/>
          <w:szCs w:val="20"/>
          <w:color w:val="auto"/>
        </w:rPr>
      </w:pPr>
      <w:r>
        <w:rPr>
          <w:rFonts w:ascii="Arial" w:cs="Arial" w:eastAsia="Arial" w:hAnsi="Arial"/>
          <w:sz w:val="16"/>
          <w:szCs w:val="16"/>
          <w:color w:val="auto"/>
        </w:rPr>
        <w:t>We are continuing to execute a well-defined strategy designed to expand gross margins. First, in the first quarter of 2021, we successfully began production at our own console manufacturing facility in Tijuana, Mexico which we operate in collaboration with our outsourced business administration service provider, TACNA. Second, following our receipt of 510(k) clearance from the FDA for the new cartridge sterilization method in the fourth quarter of 2021, we have qualified a second source to increase Tablo cartridge production through a new manufacturing partner in Mexico, which we anticipate will result in cost reductions from lower freight costs. Third, we will continue to drive scale across our console platform to leverage our supply base and help improve our manufacturing efficiency. Fourth, we will continue to utilize our cloud-based data system, as well as enhanced product performance, to help drive down the cost of service. Our ability to grow our business will depend in part on these and other measures to control the costs of our products being successful. Likewise, it will be important that we effectively manage the costs of generating our service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the COVID-19 Pandemic and Other Macroeconomic Factors</w:t>
      </w:r>
    </w:p>
    <w:p>
      <w:pPr>
        <w:spacing w:after="0" w:line="108" w:lineRule="exact"/>
        <w:rPr>
          <w:sz w:val="20"/>
          <w:szCs w:val="20"/>
          <w:color w:val="auto"/>
        </w:rPr>
      </w:pPr>
    </w:p>
    <w:p>
      <w:pPr>
        <w:ind w:right="60" w:firstLine="569"/>
        <w:spacing w:after="0" w:line="254" w:lineRule="auto"/>
        <w:rPr>
          <w:sz w:val="20"/>
          <w:szCs w:val="20"/>
          <w:color w:val="auto"/>
        </w:rPr>
      </w:pPr>
      <w:r>
        <w:rPr>
          <w:rFonts w:ascii="Arial" w:cs="Arial" w:eastAsia="Arial" w:hAnsi="Arial"/>
          <w:sz w:val="17"/>
          <w:szCs w:val="17"/>
          <w:color w:val="auto"/>
        </w:rPr>
        <w:t>Our business may be impacted by an escalation or a continuation of the ongoing COVID-19 pandemic. While the operations at our contract manufacturing partners’ facilities and our outsourced business administration service provider, TACNA, for our facility in Tijuana, Mexico, have not yet experienced significant disruption as a result of the pandemic, the possibility that such disruption may occur remains. Additionally, the COVID-19 pandemic has at various times since its onset disrupted the operations of certain of our third-party suppliers, resulting in increased lead-times, higher component costs, and lower allocations for our purchase of some components (including certain critical components) and, in certain cases, requiring us to procure materials from alternative sources, procure higher quantities of materials when they become available, or incur higher logistical expenses. We have worked closely with our manufacturing partners and suppliers to enable us to source key components and maintain appropriate inventory levels to meet customer demand, and have not experienced material disruptions in our supply chain to date.</w:t>
      </w:r>
    </w:p>
    <w:p>
      <w:pPr>
        <w:spacing w:after="0" w:line="73" w:lineRule="exact"/>
        <w:rPr>
          <w:sz w:val="20"/>
          <w:szCs w:val="20"/>
          <w:color w:val="auto"/>
        </w:rPr>
      </w:pPr>
    </w:p>
    <w:p>
      <w:pPr>
        <w:ind w:firstLine="569"/>
        <w:spacing w:after="0" w:line="252" w:lineRule="auto"/>
        <w:rPr>
          <w:sz w:val="20"/>
          <w:szCs w:val="20"/>
          <w:color w:val="auto"/>
        </w:rPr>
      </w:pPr>
      <w:r>
        <w:rPr>
          <w:rFonts w:ascii="Arial" w:cs="Arial" w:eastAsia="Arial" w:hAnsi="Arial"/>
          <w:sz w:val="17"/>
          <w:szCs w:val="17"/>
          <w:color w:val="auto"/>
        </w:rPr>
        <w:t>Additionally, surges and shifts in consumer demand as the economy reopens, further exacerbated by COVID-19 outbreaks and protocols, have strained the global freight network and placed significant stress on air, ocean, and ground freight carriers. This has resulted in labor shortages, container and chassis shortages, reduced carrier capacity, carrier delays and longer lead times, shipment receiving and unloading backlogs at many U.S. ports, and escalating freight costs. During the fourth quarter of 2021, these supply chain disruptions escalated, and we are facing increased supply chain constraints, notably with the transportation of Tablo cartridges from our contract manufacturing partner in Southeast Asia. As a result, we have faced, and may continue to face, increased transportation and related costs associated with delivering adequate supply of Tablo treatments to our customers. In the fourth quarter of 2021, we qualified a second source to increase Tablo cartridge production through a new manufacturing partner in Mexico. While we anticipate that this second source will help mitigate supply chain challenges and reduce the need for costly and capacity-constrained air freight delivery of the cartridges, there is no assurance that we will not continue to face supply chain constraints. Continued escalation of these supply chain disruptions and a sustained rise in freight costs could negatively impact our ability to meet customer demand on a timely basis, result in customer dissatisfaction and adversely impact our operating margins and results of operations.</w:t>
      </w:r>
    </w:p>
    <w:p>
      <w:pPr>
        <w:spacing w:after="0" w:line="78" w:lineRule="exact"/>
        <w:rPr>
          <w:sz w:val="20"/>
          <w:szCs w:val="20"/>
          <w:color w:val="auto"/>
        </w:rPr>
      </w:pPr>
    </w:p>
    <w:p>
      <w:pPr>
        <w:ind w:right="200" w:firstLine="569"/>
        <w:spacing w:after="0" w:line="272" w:lineRule="auto"/>
        <w:rPr>
          <w:sz w:val="20"/>
          <w:szCs w:val="20"/>
          <w:color w:val="auto"/>
        </w:rPr>
      </w:pPr>
      <w:r>
        <w:rPr>
          <w:rFonts w:ascii="Arial" w:cs="Arial" w:eastAsia="Arial" w:hAnsi="Arial"/>
          <w:sz w:val="16"/>
          <w:szCs w:val="16"/>
          <w:color w:val="auto"/>
        </w:rPr>
        <w:t>The extent, duration and full impacts of the pandemic remain uncertain and depend on ongoing developments, including but not limited to any resurgences of the virus including emerging variant strains, actions taken to contain or mitigate its impact, as well as the direct and indirect economic effects of the pandemic and related containment measures. Additionally, the duration and severity of disruptions in the global supply chain also remains uncertain, and depend on various factors, including the effectiveness of government actions intended to mitigate these disruptions. As a result, we cannot predict what effect the pandemic, the associated containment measures, and the current supply chain disruptions will ultimately have on our business and results of operations, on our customers, or on our suppliers and vendors. There is no assurance that we will not experience more significant disruptions in our supply chain in the future, particularly if the operations of our contract manufacturing partners, our critical single-source component providers, or the facility we operate in Tijuana, Mexico in collaboration with TACNA, are more severely impacted by the pandemic and associated containment measures.</w:t>
      </w:r>
    </w:p>
    <w:p>
      <w:pPr>
        <w:spacing w:after="0" w:line="60" w:lineRule="exact"/>
        <w:rPr>
          <w:sz w:val="20"/>
          <w:szCs w:val="20"/>
          <w:color w:val="auto"/>
        </w:rPr>
      </w:pPr>
    </w:p>
    <w:p>
      <w:pPr>
        <w:ind w:right="140" w:firstLine="569"/>
        <w:spacing w:after="0"/>
        <w:rPr>
          <w:sz w:val="20"/>
          <w:szCs w:val="20"/>
          <w:color w:val="auto"/>
        </w:rPr>
      </w:pPr>
      <w:r>
        <w:rPr>
          <w:rFonts w:ascii="Arial" w:cs="Arial" w:eastAsia="Arial" w:hAnsi="Arial"/>
          <w:sz w:val="18"/>
          <w:szCs w:val="18"/>
          <w:color w:val="auto"/>
        </w:rPr>
        <w:t>Moreover, healthcare providers (including our existing and prospective customers) are facing a nationwide shortage of qualified nurses and other clinical personnel due to long-term trends that have been exacerbated by the COVID-19 pandemic. As competition for these healthcare professionals has intensified,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resulting from the pandemic. We believe Tablo offers automation and ease-of-use benefits over traditional machines that can enhance our existing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line="270" w:lineRule="auto"/>
        <w:rPr>
          <w:sz w:val="20"/>
          <w:szCs w:val="20"/>
          <w:color w:val="auto"/>
        </w:rPr>
      </w:pPr>
      <w:r>
        <w:rPr>
          <w:rFonts w:ascii="Arial" w:cs="Arial" w:eastAsia="Arial" w:hAnsi="Arial"/>
          <w:sz w:val="16"/>
          <w:szCs w:val="16"/>
          <w:color w:val="auto"/>
        </w:rPr>
        <w:t>potential customers’ ability to support their patient populations despite staffing shortages. However, there is also a risk that the increased costs and other disruptions caused by the shortage of dialysis nurses, technicians, other staff and implementation resources could cause existing or prospective customers to delay continued investment in or adoption of new technologies and postpone purchasing decisions. For example, during the second quarter of 2022, our existing and potential customers began to face increasing staffing shortages and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Toward the end of the quarter, we began to see early indications of the impact these factors had across our customer base on pipeline development and installation schedules, which, in turn, negatively impacted our bookings, delayed our shipments and adversely impacted our revenues for the second quarter of 2022. If our customers continue to face prolonged staffing shortages, volatility, uncertainty, rising costs and financial pressures, whether due to the pandemic, general macroeconomic conditions or otherwise, it could ultimately adversely impact our ability to expand existing customer relationships or attract new customers of Tablo, and have a material adverse effect on our bookings, revenues, results of operations, and, ultimately, our future growth and profitability.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gridSpan w:val="2"/>
          </w:tcPr>
          <w:p>
            <w:pPr>
              <w:ind w:left="560"/>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280" w:type="dxa"/>
            <w:vAlign w:val="bottom"/>
            <w:gridSpan w:val="31"/>
          </w:tcPr>
          <w:p>
            <w:pPr>
              <w:ind w:left="560"/>
              <w:spacing w:after="0"/>
              <w:rPr>
                <w:sz w:val="20"/>
                <w:szCs w:val="20"/>
                <w:color w:val="auto"/>
              </w:rPr>
            </w:pPr>
            <w:r>
              <w:rPr>
                <w:rFonts w:ascii="Arial" w:cs="Arial" w:eastAsia="Arial" w:hAnsi="Arial"/>
                <w:sz w:val="18"/>
                <w:szCs w:val="18"/>
                <w:color w:val="auto"/>
                <w:w w:val="91"/>
              </w:rPr>
              <w:t>The following table summarizes our results of operations for the three and six months ended June 30, 2022 and 2021 (in thousands):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9"/>
          </w:tcPr>
          <w:p>
            <w:pPr>
              <w:jc w:val="right"/>
              <w:ind w:right="460"/>
              <w:spacing w:after="0"/>
              <w:rPr>
                <w:sz w:val="20"/>
                <w:szCs w:val="20"/>
                <w:color w:val="auto"/>
              </w:rPr>
            </w:pPr>
            <w:r>
              <w:rPr>
                <w:rFonts w:ascii="Arial" w:cs="Arial" w:eastAsia="Arial" w:hAnsi="Arial"/>
                <w:sz w:val="18"/>
                <w:szCs w:val="18"/>
                <w:b w:val="1"/>
                <w:bCs w:val="1"/>
                <w:color w:val="auto"/>
                <w:w w:val="93"/>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8"/>
          </w:tcPr>
          <w:p>
            <w:pPr>
              <w:jc w:val="center"/>
              <w:ind w:right="6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auto"/>
            </w:tcBorders>
            <w:gridSpan w:val="4"/>
          </w:tcPr>
          <w:p>
            <w:pPr>
              <w:jc w:val="right"/>
              <w:ind w:right="275"/>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9"/>
              </w:rPr>
              <w:t>2022</w:t>
            </w:r>
          </w:p>
        </w:tc>
        <w:tc>
          <w:tcPr>
            <w:tcW w:w="2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line="196" w:lineRule="exact"/>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19,621</w:t>
            </w:r>
          </w:p>
        </w:tc>
        <w:tc>
          <w:tcPr>
            <w:tcW w:w="120" w:type="dxa"/>
            <w:vAlign w:val="bottom"/>
          </w:tcPr>
          <w:p>
            <w:pPr>
              <w:spacing w:after="0"/>
              <w:rPr>
                <w:sz w:val="17"/>
                <w:szCs w:val="17"/>
                <w:color w:val="auto"/>
              </w:rPr>
            </w:pPr>
          </w:p>
        </w:tc>
        <w:tc>
          <w:tcPr>
            <w:tcW w:w="4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20,628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45,285</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38,838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336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Service and other revenue</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5,436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4,588</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10,322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9,294</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25,057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25,216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55,607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48,132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17,718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22,077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40,828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42,654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336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Cost of service and other revenue</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3,557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2,087</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6,555</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4,137</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cost of revenue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21,275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24,164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4"/>
              </w:rPr>
              <w:t>47,383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46,791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360" w:type="dxa"/>
            <w:vAlign w:val="bottom"/>
            <w:gridSpan w:val="2"/>
            <w:shd w:val="clear" w:color="auto" w:fill="CFF0FC"/>
          </w:tcPr>
          <w:p>
            <w:pPr>
              <w:ind w:left="46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3,782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1,052</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8,224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1,341</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3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13,521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8,032</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24,352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15,602</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43,575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26,353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336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10,784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9,722</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20,493</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18,968</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47,503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30,958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4"/>
              </w:rPr>
              <w:t>88,420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60,923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(43,721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(29,906</w:t>
            </w:r>
          </w:p>
        </w:tc>
        <w:tc>
          <w:tcPr>
            <w:tcW w:w="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(80,196</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(59,582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Interest income and other income, net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3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(481 )</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4"/>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(431 )</w:t>
            </w: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(903 )</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(853 )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(43,743</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(30,173</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(80,520</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(60,159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211</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ind w:right="135"/>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9"/>
              </w:rPr>
              <w:t>(43,839 )</w:t>
            </w:r>
          </w:p>
        </w:tc>
        <w:tc>
          <w:tcPr>
            <w:tcW w:w="42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4"/>
          </w:tcPr>
          <w:p>
            <w:pPr>
              <w:jc w:val="right"/>
              <w:ind w:right="140"/>
              <w:spacing w:after="0" w:line="196" w:lineRule="exact"/>
              <w:rPr>
                <w:sz w:val="20"/>
                <w:szCs w:val="20"/>
                <w:color w:val="auto"/>
              </w:rPr>
            </w:pPr>
            <w:r>
              <w:rPr>
                <w:rFonts w:ascii="Arial" w:cs="Arial" w:eastAsia="Arial" w:hAnsi="Arial"/>
                <w:sz w:val="18"/>
                <w:szCs w:val="18"/>
                <w:color w:val="auto"/>
              </w:rPr>
              <w:t>(30,208 )</w:t>
            </w:r>
          </w:p>
        </w:tc>
        <w:tc>
          <w:tcPr>
            <w:tcW w:w="3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70"/>
              <w:spacing w:after="0" w:line="196" w:lineRule="exact"/>
              <w:rPr>
                <w:sz w:val="20"/>
                <w:szCs w:val="20"/>
                <w:color w:val="auto"/>
              </w:rPr>
            </w:pPr>
            <w:r>
              <w:rPr>
                <w:rFonts w:ascii="Arial" w:cs="Arial" w:eastAsia="Arial" w:hAnsi="Arial"/>
                <w:sz w:val="18"/>
                <w:szCs w:val="18"/>
                <w:color w:val="auto"/>
              </w:rPr>
              <w:t>(80,731 )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(60,233 )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gridSpan w:val="9"/>
            <w:vMerge w:val="restart"/>
          </w:tcPr>
          <w:p>
            <w:pPr>
              <w:spacing w:after="0"/>
              <w:rPr>
                <w:sz w:val="20"/>
                <w:szCs w:val="20"/>
                <w:color w:val="auto"/>
              </w:rPr>
            </w:pPr>
            <w:r>
              <w:rPr>
                <w:rFonts w:ascii="Arial" w:cs="Arial" w:eastAsia="Arial" w:hAnsi="Arial"/>
                <w:sz w:val="18"/>
                <w:szCs w:val="18"/>
                <w:b w:val="1"/>
                <w:bCs w:val="1"/>
                <w:i w:val="1"/>
                <w:iCs w:val="1"/>
                <w:color w:val="auto"/>
                <w:w w:val="88"/>
              </w:rPr>
              <w:t>Comparison of the Three and Six Months Ended June 30, 2022 and 2021</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40" w:type="dxa"/>
            <w:vAlign w:val="bottom"/>
            <w:gridSpan w:val="9"/>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5"/>
            <w:vMerge w:val="restart"/>
          </w:tcPr>
          <w:p>
            <w:pPr>
              <w:jc w:val="right"/>
              <w:ind w:right="33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w w:val="96"/>
              </w:rPr>
              <w:t>Six Months Ended</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5"/>
            <w:vMerge w:val="restart"/>
          </w:tcPr>
          <w:p>
            <w:pPr>
              <w:jc w:val="right"/>
              <w:ind w:right="7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i w:val="1"/>
                <w:iCs w:val="1"/>
                <w:color w:val="auto"/>
                <w:w w:val="92"/>
              </w:rPr>
              <w:t>(dollars in thousands)</w:t>
            </w:r>
          </w:p>
        </w:tc>
        <w:tc>
          <w:tcPr>
            <w:tcW w:w="19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19"/>
              <w:spacing w:after="0" w:line="169" w:lineRule="exact"/>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39"/>
              <w:spacing w:after="0" w:line="169" w:lineRule="exact"/>
              <w:rPr>
                <w:sz w:val="20"/>
                <w:szCs w:val="20"/>
                <w:color w:val="auto"/>
              </w:rPr>
            </w:pPr>
            <w:r>
              <w:rPr>
                <w:rFonts w:ascii="Arial" w:cs="Arial" w:eastAsia="Arial" w:hAnsi="Arial"/>
                <w:sz w:val="16"/>
                <w:szCs w:val="16"/>
                <w:b w:val="1"/>
                <w:bCs w:val="1"/>
                <w:color w:val="auto"/>
                <w:w w:val="95"/>
              </w:rPr>
              <w:t>2021</w:t>
            </w:r>
          </w:p>
        </w:tc>
        <w:tc>
          <w:tcPr>
            <w:tcW w:w="2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gridSpan w:val="2"/>
          </w:tcPr>
          <w:p>
            <w:pPr>
              <w:jc w:val="right"/>
              <w:ind w:right="235"/>
              <w:spacing w:after="0" w:line="169" w:lineRule="exact"/>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92"/>
              <w:spacing w:after="0" w:line="169"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gridSpan w:val="2"/>
          </w:tcPr>
          <w:p>
            <w:pPr>
              <w:jc w:val="right"/>
              <w:ind w:right="20"/>
              <w:spacing w:after="0" w:line="169" w:lineRule="exact"/>
              <w:rPr>
                <w:sz w:val="20"/>
                <w:szCs w:val="20"/>
                <w:color w:val="auto"/>
              </w:rPr>
            </w:pPr>
            <w:r>
              <w:rPr>
                <w:rFonts w:ascii="Arial" w:cs="Arial" w:eastAsia="Arial" w:hAnsi="Arial"/>
                <w:sz w:val="16"/>
                <w:szCs w:val="16"/>
                <w:b w:val="1"/>
                <w:bCs w:val="1"/>
                <w:color w:val="auto"/>
                <w:w w:val="89"/>
              </w:rPr>
              <w:t>2021</w:t>
            </w:r>
          </w:p>
        </w:tc>
        <w:tc>
          <w:tcPr>
            <w:tcW w:w="180" w:type="dxa"/>
            <w:vAlign w:val="bottom"/>
            <w:tcBorders>
              <w:top w:val="single" w:sz="8" w:color="auto"/>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top w:val="single" w:sz="8" w:color="auto"/>
              <w:bottom w:val="single" w:sz="8" w:color="auto"/>
            </w:tcBorders>
            <w:gridSpan w:val="2"/>
          </w:tcPr>
          <w:p>
            <w:pPr>
              <w:jc w:val="right"/>
              <w:ind w:right="30"/>
              <w:spacing w:after="0" w:line="169" w:lineRule="exact"/>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52"/>
              <w:spacing w:after="0" w:line="169"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2"/>
          </w:tcPr>
          <w:p>
            <w:pPr>
              <w:ind w:left="180"/>
              <w:spacing w:after="0"/>
              <w:rPr>
                <w:sz w:val="20"/>
                <w:szCs w:val="20"/>
                <w:color w:val="auto"/>
              </w:rPr>
            </w:pPr>
            <w:r>
              <w:rPr>
                <w:rFonts w:ascii="Arial" w:cs="Arial" w:eastAsia="Arial" w:hAnsi="Arial"/>
                <w:sz w:val="16"/>
                <w:szCs w:val="16"/>
                <w:color w:val="auto"/>
              </w:rPr>
              <w:t>Product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19,621</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20,628</w:t>
            </w:r>
          </w:p>
        </w:tc>
        <w:tc>
          <w:tcPr>
            <w:tcW w:w="28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gridSpan w:val="3"/>
          </w:tcPr>
          <w:p>
            <w:pPr>
              <w:jc w:val="right"/>
              <w:ind w:right="40"/>
              <w:spacing w:after="0"/>
              <w:rPr>
                <w:sz w:val="20"/>
                <w:szCs w:val="20"/>
                <w:color w:val="auto"/>
              </w:rPr>
            </w:pPr>
            <w:r>
              <w:rPr>
                <w:rFonts w:ascii="Arial" w:cs="Arial" w:eastAsia="Arial" w:hAnsi="Arial"/>
                <w:sz w:val="16"/>
                <w:szCs w:val="16"/>
                <w:color w:val="auto"/>
              </w:rPr>
              <w:t>(1,007 )</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6"/>
                <w:szCs w:val="16"/>
                <w:color w:val="auto"/>
                <w:w w:val="96"/>
              </w:rPr>
              <w:t>(5 )% $</w:t>
            </w:r>
          </w:p>
        </w:tc>
        <w:tc>
          <w:tcPr>
            <w:tcW w:w="560" w:type="dxa"/>
            <w:vAlign w:val="bottom"/>
          </w:tcPr>
          <w:p>
            <w:pPr>
              <w:jc w:val="right"/>
              <w:spacing w:after="0"/>
              <w:rPr>
                <w:sz w:val="20"/>
                <w:szCs w:val="20"/>
                <w:color w:val="auto"/>
              </w:rPr>
            </w:pPr>
            <w:r>
              <w:rPr>
                <w:rFonts w:ascii="Arial" w:cs="Arial" w:eastAsia="Arial" w:hAnsi="Arial"/>
                <w:sz w:val="16"/>
                <w:szCs w:val="16"/>
                <w:color w:val="auto"/>
              </w:rPr>
              <w:t>45,285</w:t>
            </w:r>
          </w:p>
        </w:tc>
        <w:tc>
          <w:tcPr>
            <w:tcW w:w="260" w:type="dxa"/>
            <w:vAlign w:val="bottom"/>
          </w:tcPr>
          <w:p>
            <w:pPr>
              <w:spacing w:after="0"/>
              <w:rPr>
                <w:sz w:val="16"/>
                <w:szCs w:val="16"/>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38,838</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   6,447</w:t>
            </w:r>
          </w:p>
        </w:tc>
        <w:tc>
          <w:tcPr>
            <w:tcW w:w="2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2"/>
          </w:tcPr>
          <w:p>
            <w:pPr>
              <w:ind w:left="180"/>
              <w:spacing w:after="0"/>
              <w:rPr>
                <w:sz w:val="20"/>
                <w:szCs w:val="20"/>
                <w:color w:val="auto"/>
              </w:rPr>
            </w:pPr>
            <w:r>
              <w:rPr>
                <w:rFonts w:ascii="Arial" w:cs="Arial" w:eastAsia="Arial" w:hAnsi="Arial"/>
                <w:sz w:val="16"/>
                <w:szCs w:val="16"/>
                <w:color w:val="auto"/>
              </w:rPr>
              <w:t>Service and other revenue</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5,436</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4,588</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w w:val="93"/>
              </w:rPr>
              <w:t>18 %</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10,322</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9,294</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1,028</w:t>
            </w:r>
          </w:p>
        </w:tc>
        <w:tc>
          <w:tcPr>
            <w:tcW w:w="2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gridSpan w:val="2"/>
          </w:tcPr>
          <w:p>
            <w:pPr>
              <w:ind w:left="360"/>
              <w:spacing w:after="0" w:line="169" w:lineRule="exact"/>
              <w:rPr>
                <w:sz w:val="20"/>
                <w:szCs w:val="20"/>
                <w:color w:val="auto"/>
              </w:rPr>
            </w:pPr>
            <w:r>
              <w:rPr>
                <w:rFonts w:ascii="Arial" w:cs="Arial" w:eastAsia="Arial" w:hAnsi="Arial"/>
                <w:sz w:val="16"/>
                <w:szCs w:val="16"/>
                <w:color w:val="auto"/>
              </w:rPr>
              <w:t>Total revenue</w:t>
            </w: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25,057</w:t>
            </w:r>
          </w:p>
        </w:tc>
        <w:tc>
          <w:tcPr>
            <w:tcW w:w="48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6"/>
                <w:szCs w:val="16"/>
                <w:color w:val="auto"/>
              </w:rPr>
              <w:t>25,216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jc w:val="right"/>
              <w:ind w:right="40"/>
              <w:spacing w:after="0" w:line="169" w:lineRule="exact"/>
              <w:rPr>
                <w:sz w:val="20"/>
                <w:szCs w:val="20"/>
                <w:color w:val="auto"/>
              </w:rPr>
            </w:pPr>
            <w:r>
              <w:rPr>
                <w:rFonts w:ascii="Arial" w:cs="Arial" w:eastAsia="Arial" w:hAnsi="Arial"/>
                <w:sz w:val="16"/>
                <w:szCs w:val="16"/>
                <w:color w:val="auto"/>
              </w:rPr>
              <w:t>(159 )</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4"/>
          </w:tcPr>
          <w:p>
            <w:pPr>
              <w:jc w:val="right"/>
              <w:ind w:right="20"/>
              <w:spacing w:after="0" w:line="169" w:lineRule="exact"/>
              <w:rPr>
                <w:sz w:val="20"/>
                <w:szCs w:val="20"/>
                <w:color w:val="auto"/>
              </w:rPr>
            </w:pPr>
            <w:r>
              <w:rPr>
                <w:rFonts w:ascii="Arial" w:cs="Arial" w:eastAsia="Arial" w:hAnsi="Arial"/>
                <w:sz w:val="12"/>
                <w:szCs w:val="12"/>
                <w:color w:val="auto"/>
              </w:rPr>
              <w:t xml:space="preserve">(1 )% </w:t>
            </w:r>
            <w:r>
              <w:rPr>
                <w:rFonts w:ascii="Arial" w:cs="Arial" w:eastAsia="Arial" w:hAnsi="Arial"/>
                <w:sz w:val="19"/>
                <w:szCs w:val="19"/>
                <w:color w:val="auto"/>
                <w:vertAlign w:val="superscript"/>
              </w:rPr>
              <w:t>$</w:t>
            </w:r>
          </w:p>
        </w:tc>
        <w:tc>
          <w:tcPr>
            <w:tcW w:w="560" w:type="dxa"/>
            <w:vAlign w:val="bottom"/>
          </w:tcPr>
          <w:p>
            <w:pPr>
              <w:jc w:val="right"/>
              <w:spacing w:after="0" w:line="169" w:lineRule="exact"/>
              <w:rPr>
                <w:sz w:val="20"/>
                <w:szCs w:val="20"/>
                <w:color w:val="auto"/>
              </w:rPr>
            </w:pPr>
            <w:r>
              <w:rPr>
                <w:rFonts w:ascii="Arial" w:cs="Arial" w:eastAsia="Arial" w:hAnsi="Arial"/>
                <w:sz w:val="16"/>
                <w:szCs w:val="16"/>
                <w:color w:val="auto"/>
              </w:rPr>
              <w:t>55,607</w:t>
            </w:r>
          </w:p>
        </w:tc>
        <w:tc>
          <w:tcPr>
            <w:tcW w:w="260" w:type="dxa"/>
            <w:vAlign w:val="bottom"/>
          </w:tcPr>
          <w:p>
            <w:pPr>
              <w:spacing w:after="0"/>
              <w:rPr>
                <w:sz w:val="15"/>
                <w:szCs w:val="15"/>
                <w:color w:val="auto"/>
              </w:rPr>
            </w:pPr>
          </w:p>
        </w:tc>
        <w:tc>
          <w:tcPr>
            <w:tcW w:w="2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48,132</w:t>
            </w:r>
          </w:p>
        </w:tc>
        <w:tc>
          <w:tcPr>
            <w:tcW w:w="96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7,475</w:t>
            </w:r>
          </w:p>
        </w:tc>
        <w:tc>
          <w:tcPr>
            <w:tcW w:w="200" w:type="dxa"/>
            <w:vAlign w:val="bottom"/>
          </w:tcPr>
          <w:p>
            <w:pPr>
              <w:spacing w:after="0"/>
              <w:rPr>
                <w:sz w:val="15"/>
                <w:szCs w:val="15"/>
                <w:color w:val="auto"/>
              </w:rPr>
            </w:pPr>
          </w:p>
        </w:tc>
        <w:tc>
          <w:tcPr>
            <w:tcW w:w="98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-3605530</wp:posOffset>
            </wp:positionV>
            <wp:extent cx="768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-3605530</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-3605530</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-3605530</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-3082290</wp:posOffset>
            </wp:positionV>
            <wp:extent cx="768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-3082290</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-3082290</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-3082290</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-2293620</wp:posOffset>
            </wp:positionV>
            <wp:extent cx="768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-2293620</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-2293620</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-2293620</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-1496695</wp:posOffset>
            </wp:positionV>
            <wp:extent cx="768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-1496695</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-1496695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-1496695</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4" w:lineRule="exact"/>
        <w:rPr>
          <w:sz w:val="20"/>
          <w:szCs w:val="20"/>
          <w:color w:val="auto"/>
        </w:rPr>
      </w:pPr>
    </w:p>
    <w:p>
      <w:pPr>
        <w:ind w:right="60" w:firstLine="569"/>
        <w:spacing w:after="0" w:line="259" w:lineRule="auto"/>
        <w:rPr>
          <w:sz w:val="20"/>
          <w:szCs w:val="20"/>
          <w:color w:val="auto"/>
        </w:rPr>
      </w:pPr>
      <w:r>
        <w:rPr>
          <w:rFonts w:ascii="Arial" w:cs="Arial" w:eastAsia="Arial" w:hAnsi="Arial"/>
          <w:sz w:val="17"/>
          <w:szCs w:val="17"/>
          <w:color w:val="auto"/>
        </w:rPr>
        <w:t>Product revenue decreased by $1.0 million, or 5% for the three months ended June 30, 2022 as compared to the same quarter in the prior year. This decrease was driven by a $3.6 million decrease in consoles revenue primarily due to the lengthening of sales and installation cycles in the acute care market as a result of staffing challenges and, potentially, other macroeconomic factors highlighted above, impacting our customers, as well as disruption from the home shipment hold due in part to customer uncertainty around the hold, and a $0.6 million decrease in console leasing revenue. This decrease was partially offset by a $2.6 million increase in consumables revenue driven by the growth in our console installed base.</w:t>
      </w:r>
    </w:p>
    <w:p>
      <w:pPr>
        <w:spacing w:after="0" w:line="66" w:lineRule="exact"/>
        <w:rPr>
          <w:sz w:val="20"/>
          <w:szCs w:val="20"/>
          <w:color w:val="auto"/>
        </w:rPr>
      </w:pPr>
    </w:p>
    <w:p>
      <w:pPr>
        <w:ind w:right="60" w:firstLine="569"/>
        <w:spacing w:after="0" w:line="262" w:lineRule="auto"/>
        <w:rPr>
          <w:sz w:val="20"/>
          <w:szCs w:val="20"/>
          <w:color w:val="auto"/>
        </w:rPr>
      </w:pPr>
      <w:r>
        <w:rPr>
          <w:rFonts w:ascii="Arial" w:cs="Arial" w:eastAsia="Arial" w:hAnsi="Arial"/>
          <w:sz w:val="17"/>
          <w:szCs w:val="17"/>
          <w:color w:val="auto"/>
        </w:rPr>
        <w:t>Product revenue increased by $6.4 million, or 17% for the six months ended June 30, 2022 as compared to the same period in the prior year, driven by a $6.8 million increase in consumables revenue attributable to the growth in our console installed base and higher average selling price for consumables. This increase was partially offset by a net $0.3 million decrease in consoles revenue which, in turn, was comprised of a $1.2 million decrease in console leasing revenue, offset by a $0.9 million increase resulting from a higher volume of consoles sold at higher average selling price.</w:t>
      </w:r>
    </w:p>
    <w:p>
      <w:pPr>
        <w:spacing w:after="0" w:line="64" w:lineRule="exact"/>
        <w:rPr>
          <w:sz w:val="20"/>
          <w:szCs w:val="20"/>
          <w:color w:val="auto"/>
        </w:rPr>
      </w:pPr>
    </w:p>
    <w:p>
      <w:pPr>
        <w:ind w:right="400" w:firstLine="569"/>
        <w:spacing w:after="0" w:line="248" w:lineRule="auto"/>
        <w:rPr>
          <w:sz w:val="20"/>
          <w:szCs w:val="20"/>
          <w:color w:val="auto"/>
        </w:rPr>
      </w:pPr>
      <w:r>
        <w:rPr>
          <w:rFonts w:ascii="Arial" w:cs="Arial" w:eastAsia="Arial" w:hAnsi="Arial"/>
          <w:sz w:val="18"/>
          <w:szCs w:val="18"/>
          <w:color w:val="auto"/>
        </w:rPr>
        <w:t>Service and other revenue increased for the three and six months ended June 30, 2022 as compared to the same periods in the prior year. The increase was primarily due to services associated with the growth in our console installed base, which was offset by a decrease in service revenue from leased consoles.</w:t>
      </w:r>
    </w:p>
    <w:p>
      <w:pPr>
        <w:spacing w:after="0" w:line="74" w:lineRule="exact"/>
        <w:rPr>
          <w:sz w:val="20"/>
          <w:szCs w:val="20"/>
          <w:color w:val="auto"/>
        </w:rPr>
      </w:pPr>
    </w:p>
    <w:p>
      <w:pPr>
        <w:ind w:right="80" w:firstLine="569"/>
        <w:spacing w:after="0" w:line="241" w:lineRule="auto"/>
        <w:rPr>
          <w:sz w:val="20"/>
          <w:szCs w:val="20"/>
          <w:color w:val="auto"/>
        </w:rPr>
      </w:pPr>
      <w:r>
        <w:rPr>
          <w:rFonts w:ascii="Arial" w:cs="Arial" w:eastAsia="Arial" w:hAnsi="Arial"/>
          <w:sz w:val="18"/>
          <w:szCs w:val="18"/>
          <w:color w:val="auto"/>
        </w:rPr>
        <w:t>In May 2022, we implemented a shipment hold on the distribution and marketing of Tablo for use in the home environment pending the FDA’s review and clearance of a 510(k) application we submitted for changes made since the device’s original March 2020 clearance. In late July 2022, the FDA cleared this 510(k) application of Tablo for patient use in the home and we have resumed marketing and shipping Tablo for home use. The shipment hold on Tablo for home use had a significant negative impact on our bookings and revenue for the second quarter of 2022, as well as on our pipeline of potential new deals. While we have resumed</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32" w:right="299" w:bottom="1440" w:gutter="0" w:footer="0" w:header="0"/>
        </w:sectPr>
      </w:pPr>
    </w:p>
    <w:bookmarkStart w:id="19" w:name="page20"/>
    <w:bookmarkEnd w:id="19"/>
    <w:p>
      <w:pPr>
        <w:ind w:right="100"/>
        <w:spacing w:after="0" w:line="257" w:lineRule="auto"/>
        <w:rPr>
          <w:sz w:val="20"/>
          <w:szCs w:val="20"/>
          <w:color w:val="auto"/>
        </w:rPr>
      </w:pPr>
      <w:r>
        <w:rPr>
          <w:rFonts w:ascii="Arial" w:cs="Arial" w:eastAsia="Arial" w:hAnsi="Arial"/>
          <w:sz w:val="17"/>
          <w:szCs w:val="17"/>
          <w:color w:val="auto"/>
        </w:rPr>
        <w:t>marketing and shipping Tablo for home use, we may continue to experience disruptions to our home and acute business and operations that could materially and adversely impact our revenue as we recover from the interruption to, and loss of momentum in, our home commercialization and marketing, as well as related disruptions to our acute business due in part to customer uncertainty around the hold. In addition, we anticipate that our revenues may continue to be negatively impacted by the staffing challenges and, potentially, other macroeconomic factors highlighted above, affecting our customers. While we plan to take steps to further evolve our commercial infrastructure and sales processes to support our future growth in both the home and acute markets, we expect these factors may continue to moderate our revenue growth over the next several quarters.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60" w:type="dxa"/>
            <w:vAlign w:val="bottom"/>
            <w:gridSpan w:val="4"/>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160" w:type="dxa"/>
            <w:vAlign w:val="bottom"/>
            <w:gridSpan w:val="3"/>
            <w:vMerge w:val="restart"/>
          </w:tcPr>
          <w:p>
            <w:pPr>
              <w:ind w:left="560"/>
              <w:spacing w:after="0"/>
              <w:rPr>
                <w:sz w:val="20"/>
                <w:szCs w:val="20"/>
                <w:color w:val="auto"/>
              </w:rPr>
            </w:pPr>
            <w:r>
              <w:rPr>
                <w:rFonts w:ascii="Arial" w:cs="Arial" w:eastAsia="Arial" w:hAnsi="Arial"/>
                <w:sz w:val="16"/>
                <w:szCs w:val="16"/>
                <w:b w:val="1"/>
                <w:bCs w:val="1"/>
                <w:color w:val="auto"/>
                <w:w w:val="98"/>
              </w:rPr>
              <w:t>Change</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280" w:type="dxa"/>
            <w:vAlign w:val="bottom"/>
          </w:tcPr>
          <w:p>
            <w:pPr>
              <w:spacing w:after="0"/>
              <w:rPr>
                <w:sz w:val="16"/>
                <w:szCs w:val="16"/>
                <w:color w:val="auto"/>
              </w:rPr>
            </w:pPr>
          </w:p>
        </w:tc>
        <w:tc>
          <w:tcPr>
            <w:tcW w:w="1120" w:type="dxa"/>
            <w:vAlign w:val="bottom"/>
            <w:gridSpan w:val="3"/>
            <w:vMerge w:val="restart"/>
          </w:tcPr>
          <w:p>
            <w:pPr>
              <w:ind w:left="540"/>
              <w:spacing w:after="0"/>
              <w:rPr>
                <w:sz w:val="20"/>
                <w:szCs w:val="20"/>
                <w:color w:val="auto"/>
              </w:rPr>
            </w:pPr>
            <w:r>
              <w:rPr>
                <w:rFonts w:ascii="Arial" w:cs="Arial" w:eastAsia="Arial" w:hAnsi="Arial"/>
                <w:sz w:val="16"/>
                <w:szCs w:val="16"/>
                <w:b w:val="1"/>
                <w:bCs w:val="1"/>
                <w:color w:val="auto"/>
                <w:w w:val="95"/>
              </w:rPr>
              <w:t>Change</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2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93"/>
              </w:rPr>
              <w:t>June 30,</w:t>
            </w:r>
          </w:p>
        </w:tc>
        <w:tc>
          <w:tcPr>
            <w:tcW w:w="6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6"/>
                <w:szCs w:val="16"/>
                <w:b w:val="1"/>
                <w:bCs w:val="1"/>
                <w:color w:val="auto"/>
                <w:w w:val="90"/>
              </w:rPr>
              <w:t>June 30,</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Borders>
              <w:bottom w:val="single" w:sz="8" w:color="auto"/>
            </w:tcBorders>
            <w:gridSpan w:val="3"/>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i w:val="1"/>
                <w:iCs w:val="1"/>
                <w:color w:val="auto"/>
                <w:w w:val="92"/>
              </w:rPr>
              <w:t>(dollars in thousands)</w:t>
            </w:r>
          </w:p>
        </w:tc>
        <w:tc>
          <w:tcPr>
            <w:tcW w:w="1820" w:type="dxa"/>
            <w:vAlign w:val="bottom"/>
          </w:tcPr>
          <w:p>
            <w:pPr>
              <w:spacing w:after="0"/>
              <w:rPr>
                <w:sz w:val="16"/>
                <w:szCs w:val="16"/>
                <w:color w:val="auto"/>
              </w:rPr>
            </w:pPr>
          </w:p>
        </w:tc>
        <w:tc>
          <w:tcPr>
            <w:tcW w:w="800" w:type="dxa"/>
            <w:vAlign w:val="bottom"/>
            <w:tcBorders>
              <w:bottom w:val="single" w:sz="8" w:color="auto"/>
            </w:tcBorders>
          </w:tcPr>
          <w:p>
            <w:pPr>
              <w:ind w:left="240"/>
              <w:spacing w:after="0" w:line="169" w:lineRule="exact"/>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6"/>
                <w:szCs w:val="16"/>
                <w:color w:val="auto"/>
              </w:rPr>
            </w:pPr>
          </w:p>
        </w:tc>
        <w:tc>
          <w:tcPr>
            <w:tcW w:w="720" w:type="dxa"/>
            <w:vAlign w:val="bottom"/>
            <w:tcBorders>
              <w:bottom w:val="single" w:sz="8" w:color="auto"/>
            </w:tcBorders>
          </w:tcPr>
          <w:p>
            <w:pPr>
              <w:ind w:left="320"/>
              <w:spacing w:after="0" w:line="16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78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b w:val="1"/>
                <w:bCs w:val="1"/>
                <w:color w:val="auto"/>
                <w:w w:val="95"/>
              </w:rPr>
              <w:t>2021</w:t>
            </w:r>
          </w:p>
        </w:tc>
        <w:tc>
          <w:tcPr>
            <w:tcW w:w="280" w:type="dxa"/>
            <w:vAlign w:val="bottom"/>
          </w:tcPr>
          <w:p>
            <w:pPr>
              <w:spacing w:after="0"/>
              <w:rPr>
                <w:sz w:val="16"/>
                <w:szCs w:val="16"/>
                <w:color w:val="auto"/>
              </w:rPr>
            </w:pPr>
          </w:p>
        </w:tc>
        <w:tc>
          <w:tcPr>
            <w:tcW w:w="680" w:type="dxa"/>
            <w:vAlign w:val="bottom"/>
            <w:tcBorders>
              <w:bottom w:val="single" w:sz="8" w:color="auto"/>
            </w:tcBorders>
          </w:tcPr>
          <w:p>
            <w:pPr>
              <w:ind w:left="300"/>
              <w:spacing w:after="0" w:line="169"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Gross profit</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3,782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1,052</w:t>
            </w:r>
          </w:p>
        </w:tc>
        <w:tc>
          <w:tcPr>
            <w:tcW w:w="300" w:type="dxa"/>
            <w:vAlign w:val="bottom"/>
          </w:tcPr>
          <w:p>
            <w:pPr>
              <w:spacing w:after="0"/>
              <w:rPr>
                <w:sz w:val="15"/>
                <w:szCs w:val="15"/>
                <w:color w:val="auto"/>
              </w:rPr>
            </w:pPr>
          </w:p>
        </w:tc>
        <w:tc>
          <w:tcPr>
            <w:tcW w:w="720" w:type="dxa"/>
            <w:vAlign w:val="bottom"/>
          </w:tcPr>
          <w:p>
            <w:pPr>
              <w:ind w:left="340"/>
              <w:spacing w:after="0" w:line="176" w:lineRule="exact"/>
              <w:rPr>
                <w:sz w:val="20"/>
                <w:szCs w:val="20"/>
                <w:color w:val="auto"/>
              </w:rPr>
            </w:pPr>
            <w:r>
              <w:rPr>
                <w:rFonts w:ascii="Arial" w:cs="Arial" w:eastAsia="Arial" w:hAnsi="Arial"/>
                <w:sz w:val="16"/>
                <w:szCs w:val="16"/>
                <w:color w:val="auto"/>
                <w:w w:val="89"/>
              </w:rPr>
              <w:t>2,730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260</w:t>
            </w:r>
          </w:p>
        </w:tc>
        <w:tc>
          <w:tcPr>
            <w:tcW w:w="220" w:type="dxa"/>
            <w:vAlign w:val="bottom"/>
          </w:tcPr>
          <w:p>
            <w:pPr>
              <w:jc w:val="right"/>
              <w:spacing w:after="0" w:line="176" w:lineRule="exact"/>
              <w:rPr>
                <w:sz w:val="20"/>
                <w:szCs w:val="20"/>
                <w:color w:val="auto"/>
              </w:rPr>
            </w:pPr>
            <w:r>
              <w:rPr>
                <w:rFonts w:ascii="Arial" w:cs="Arial" w:eastAsia="Arial" w:hAnsi="Arial"/>
                <w:sz w:val="16"/>
                <w:szCs w:val="16"/>
                <w:color w:val="auto"/>
                <w:w w:val="98"/>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8,224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1,341</w:t>
            </w:r>
          </w:p>
        </w:tc>
        <w:tc>
          <w:tcPr>
            <w:tcW w:w="280" w:type="dxa"/>
            <w:vAlign w:val="bottom"/>
          </w:tcPr>
          <w:p>
            <w:pPr>
              <w:spacing w:after="0"/>
              <w:rPr>
                <w:sz w:val="15"/>
                <w:szCs w:val="15"/>
                <w:color w:val="auto"/>
              </w:rPr>
            </w:pPr>
          </w:p>
        </w:tc>
        <w:tc>
          <w:tcPr>
            <w:tcW w:w="680" w:type="dxa"/>
            <w:vAlign w:val="bottom"/>
          </w:tcPr>
          <w:p>
            <w:pPr>
              <w:ind w:left="300"/>
              <w:spacing w:after="0" w:line="176" w:lineRule="exact"/>
              <w:rPr>
                <w:sz w:val="20"/>
                <w:szCs w:val="20"/>
                <w:color w:val="auto"/>
              </w:rPr>
            </w:pPr>
            <w:r>
              <w:rPr>
                <w:rFonts w:ascii="Arial" w:cs="Arial" w:eastAsia="Arial" w:hAnsi="Arial"/>
                <w:sz w:val="16"/>
                <w:szCs w:val="16"/>
                <w:color w:val="auto"/>
                <w:w w:val="89"/>
              </w:rPr>
              <w:t>6,883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513</w:t>
            </w:r>
          </w:p>
        </w:tc>
        <w:tc>
          <w:tcPr>
            <w:tcW w:w="140" w:type="dxa"/>
            <w:vAlign w:val="bottom"/>
          </w:tcPr>
          <w:p>
            <w:pPr>
              <w:jc w:val="right"/>
              <w:spacing w:after="0" w:line="176"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gridSpan w:val="2"/>
          </w:tcPr>
          <w:p>
            <w:pPr>
              <w:ind w:left="180"/>
              <w:spacing w:after="0"/>
              <w:rPr>
                <w:sz w:val="20"/>
                <w:szCs w:val="20"/>
                <w:color w:val="auto"/>
              </w:rPr>
            </w:pPr>
            <w:r>
              <w:rPr>
                <w:rFonts w:ascii="Arial" w:cs="Arial" w:eastAsia="Arial" w:hAnsi="Arial"/>
                <w:sz w:val="16"/>
                <w:szCs w:val="16"/>
                <w:color w:val="auto"/>
              </w:rPr>
              <w:t>Gross margin</w:t>
            </w: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15.1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4.2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i w:val="1"/>
                <w:iCs w:val="1"/>
                <w:color w:val="auto"/>
              </w:rPr>
              <w:t xml:space="preserve">14.8  </w:t>
            </w: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auto"/>
              </w:rPr>
              <w:t>2.8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56" w:lineRule="exact"/>
        <w:rPr>
          <w:sz w:val="20"/>
          <w:szCs w:val="20"/>
          <w:color w:val="auto"/>
        </w:rPr>
      </w:pPr>
    </w:p>
    <w:p>
      <w:pPr>
        <w:ind w:right="160" w:firstLine="569"/>
        <w:spacing w:after="0" w:line="241" w:lineRule="auto"/>
        <w:rPr>
          <w:sz w:val="20"/>
          <w:szCs w:val="20"/>
          <w:color w:val="auto"/>
        </w:rPr>
      </w:pPr>
      <w:r>
        <w:rPr>
          <w:rFonts w:ascii="Arial" w:cs="Arial" w:eastAsia="Arial" w:hAnsi="Arial"/>
          <w:sz w:val="18"/>
          <w:szCs w:val="18"/>
          <w:color w:val="auto"/>
        </w:rPr>
        <w:t>Gross profit increased by $2.7 million, or 260% for the three months ended June 30, 2022 as compared to the same quarter in the prior year. The gross margin percentage improved by 10.9 percentage points for the three months ended June 30, 2022, as compared to the same quarter in the prior year. This improvement in gross profit and gross margin was primarily driven by the impact of our cost reduction activities and the product revenue mix. Such improvement was partially offset by the lower gross margin of service and other revenue due to the planned expiration of a component of a customer lease agreement.</w:t>
      </w:r>
    </w:p>
    <w:p>
      <w:pPr>
        <w:spacing w:after="0" w:line="81" w:lineRule="exact"/>
        <w:rPr>
          <w:sz w:val="20"/>
          <w:szCs w:val="20"/>
          <w:color w:val="auto"/>
        </w:rPr>
      </w:pPr>
    </w:p>
    <w:p>
      <w:pPr>
        <w:ind w:right="80" w:firstLine="569"/>
        <w:spacing w:after="0" w:line="241" w:lineRule="auto"/>
        <w:rPr>
          <w:sz w:val="20"/>
          <w:szCs w:val="20"/>
          <w:color w:val="auto"/>
        </w:rPr>
      </w:pPr>
      <w:r>
        <w:rPr>
          <w:rFonts w:ascii="Arial" w:cs="Arial" w:eastAsia="Arial" w:hAnsi="Arial"/>
          <w:sz w:val="18"/>
          <w:szCs w:val="18"/>
          <w:color w:val="auto"/>
        </w:rPr>
        <w:t>Gross profit increased by $6.9 million, or 513% for the six months ended June 30, 2022 as compared to the same period in the prior year. The gross margin percentage improved by 12.0 percentage points for the six months ended June 30, 2022, as compared to the same period in the prior year. This improvement in gross profit and gross margin was primarily driven by the impact of our cost reduction activities and the product revenue mix and. Such improvement was partially offset by the lower gross margin of service and other revenue due to the planned expiration of a component of a customer lease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6"/>
                <w:szCs w:val="16"/>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6"/>
                <w:szCs w:val="16"/>
                <w:b w:val="1"/>
                <w:bCs w:val="1"/>
                <w:color w:val="auto"/>
                <w:w w:val="98"/>
              </w:rPr>
              <w:t>Change</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5"/>
              </w:rPr>
              <w:t>Six Months Ended</w:t>
            </w:r>
          </w:p>
        </w:tc>
        <w:tc>
          <w:tcPr>
            <w:tcW w:w="280" w:type="dxa"/>
            <w:vAlign w:val="bottom"/>
          </w:tcPr>
          <w:p>
            <w:pPr>
              <w:spacing w:after="0"/>
              <w:rPr>
                <w:sz w:val="16"/>
                <w:szCs w:val="16"/>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6"/>
                <w:szCs w:val="16"/>
                <w:b w:val="1"/>
                <w:bCs w:val="1"/>
                <w:color w:val="auto"/>
                <w:w w:val="95"/>
              </w:rPr>
              <w:t>Change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Borders>
              <w:bottom w:val="single" w:sz="8" w:color="auto"/>
            </w:tcBorders>
            <w:gridSpan w:val="3"/>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i w:val="1"/>
                <w:iCs w:val="1"/>
                <w:color w:val="auto"/>
                <w:w w:val="92"/>
              </w:rPr>
              <w:t>(dollars in thousands)</w:t>
            </w:r>
          </w:p>
        </w:tc>
        <w:tc>
          <w:tcPr>
            <w:tcW w:w="1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b w:val="1"/>
                <w:bCs w:val="1"/>
                <w:color w:val="auto"/>
                <w:w w:val="95"/>
              </w:rPr>
              <w:t>2021</w:t>
            </w:r>
          </w:p>
        </w:tc>
        <w:tc>
          <w:tcPr>
            <w:tcW w:w="280" w:type="dxa"/>
            <w:vAlign w:val="bottom"/>
          </w:tcPr>
          <w:p>
            <w:pPr>
              <w:spacing w:after="0"/>
              <w:rPr>
                <w:sz w:val="15"/>
                <w:szCs w:val="15"/>
                <w:color w:val="auto"/>
              </w:rPr>
            </w:pPr>
          </w:p>
        </w:tc>
        <w:tc>
          <w:tcPr>
            <w:tcW w:w="72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2022</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b w:val="1"/>
                <w:bCs w:val="1"/>
                <w:color w:val="auto"/>
                <w:w w:val="89"/>
              </w:rPr>
              <w:t>2021</w:t>
            </w:r>
          </w:p>
        </w:tc>
        <w:tc>
          <w:tcPr>
            <w:tcW w:w="280" w:type="dxa"/>
            <w:vAlign w:val="bottom"/>
          </w:tcPr>
          <w:p>
            <w:pPr>
              <w:spacing w:after="0"/>
              <w:rPr>
                <w:sz w:val="15"/>
                <w:szCs w:val="15"/>
                <w:color w:val="auto"/>
              </w:rPr>
            </w:pPr>
          </w:p>
        </w:tc>
        <w:tc>
          <w:tcPr>
            <w:tcW w:w="680" w:type="dxa"/>
            <w:vAlign w:val="bottom"/>
            <w:tcBorders>
              <w:bottom w:val="single" w:sz="8" w:color="auto"/>
            </w:tcBorders>
          </w:tcPr>
          <w:p>
            <w:pPr>
              <w:jc w:val="right"/>
              <w:ind w:right="219"/>
              <w:spacing w:after="0" w:line="169"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2"/>
          </w:tcPr>
          <w:p>
            <w:pPr>
              <w:ind w:left="18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13,521</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8,032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5,489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68 % $</w:t>
            </w:r>
          </w:p>
        </w:tc>
        <w:tc>
          <w:tcPr>
            <w:tcW w:w="540" w:type="dxa"/>
            <w:vAlign w:val="bottom"/>
          </w:tcPr>
          <w:p>
            <w:pPr>
              <w:jc w:val="right"/>
              <w:spacing w:after="0"/>
              <w:rPr>
                <w:sz w:val="20"/>
                <w:szCs w:val="20"/>
                <w:color w:val="auto"/>
              </w:rPr>
            </w:pPr>
            <w:r>
              <w:rPr>
                <w:rFonts w:ascii="Arial" w:cs="Arial" w:eastAsia="Arial" w:hAnsi="Arial"/>
                <w:sz w:val="16"/>
                <w:szCs w:val="16"/>
                <w:color w:val="auto"/>
              </w:rPr>
              <w:t>24,352</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15,602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8,750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2"/>
          </w:tcPr>
          <w:p>
            <w:pPr>
              <w:ind w:left="18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23,198</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13,204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9,994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76 %</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43,575</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26,353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17,222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2"/>
          </w:tcPr>
          <w:p>
            <w:pPr>
              <w:ind w:left="18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10,784</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1,062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1,525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gridSpan w:val="2"/>
          </w:tcPr>
          <w:p>
            <w:pPr>
              <w:ind w:left="360"/>
              <w:spacing w:after="0" w:line="169" w:lineRule="exact"/>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47,503</w:t>
            </w:r>
          </w:p>
        </w:tc>
        <w:tc>
          <w:tcPr>
            <w:tcW w:w="3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30,958</w:t>
            </w:r>
          </w:p>
        </w:tc>
        <w:tc>
          <w:tcPr>
            <w:tcW w:w="100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16,545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53 %</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88,420</w:t>
            </w:r>
          </w:p>
        </w:tc>
        <w:tc>
          <w:tcPr>
            <w:tcW w:w="28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60,923</w:t>
            </w:r>
          </w:p>
        </w:tc>
        <w:tc>
          <w:tcPr>
            <w:tcW w:w="9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27,497</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4" w:lineRule="exact"/>
        <w:rPr>
          <w:sz w:val="20"/>
          <w:szCs w:val="20"/>
          <w:color w:val="auto"/>
        </w:rPr>
      </w:pPr>
    </w:p>
    <w:p>
      <w:pPr>
        <w:ind w:right="60" w:firstLine="569"/>
        <w:spacing w:after="0" w:line="243" w:lineRule="auto"/>
        <w:rPr>
          <w:sz w:val="20"/>
          <w:szCs w:val="20"/>
          <w:color w:val="auto"/>
        </w:rPr>
      </w:pPr>
      <w:r>
        <w:rPr>
          <w:rFonts w:ascii="Arial" w:cs="Arial" w:eastAsia="Arial" w:hAnsi="Arial"/>
          <w:sz w:val="18"/>
          <w:szCs w:val="18"/>
          <w:color w:val="auto"/>
        </w:rPr>
        <w:t>Research and development expenses increased by $5.5 million, or 68% for the three months ended June 30, 2022, and by $8.8 million or 56% for the six months ended June 30, 2022, in each case, as compared to the same periods in the prior year. These increases were primarily due to higher headcount and higher consulting services to support our product development activities. In addition, there were increased infrastructure costs to support our growth.</w:t>
      </w:r>
    </w:p>
    <w:p>
      <w:pPr>
        <w:spacing w:after="0" w:line="80" w:lineRule="exact"/>
        <w:rPr>
          <w:sz w:val="20"/>
          <w:szCs w:val="20"/>
          <w:color w:val="auto"/>
        </w:rPr>
      </w:pPr>
    </w:p>
    <w:p>
      <w:pPr>
        <w:ind w:right="120" w:firstLine="569"/>
        <w:spacing w:after="0" w:line="243" w:lineRule="auto"/>
        <w:rPr>
          <w:sz w:val="20"/>
          <w:szCs w:val="20"/>
          <w:color w:val="auto"/>
        </w:rPr>
      </w:pPr>
      <w:r>
        <w:rPr>
          <w:rFonts w:ascii="Arial" w:cs="Arial" w:eastAsia="Arial" w:hAnsi="Arial"/>
          <w:sz w:val="18"/>
          <w:szCs w:val="18"/>
          <w:color w:val="auto"/>
        </w:rPr>
        <w:t>Sales and marketing expenses increased by $10.0 million, or 76% for the three months ended June 30, 2022 as compared to the same quarter in the prior year. The increase was primarily driven by higher headcount and increased infrastructure costs to support our growth. In addition, there were higher travel and freight expenses for the three months ended June 30, 2022, as compared with the same quarter in the prior year. This increase was slightly offset by lower consulting expenses.</w:t>
      </w:r>
    </w:p>
    <w:p>
      <w:pPr>
        <w:spacing w:after="0" w:line="80" w:lineRule="exact"/>
        <w:rPr>
          <w:sz w:val="20"/>
          <w:szCs w:val="20"/>
          <w:color w:val="auto"/>
        </w:rPr>
      </w:pPr>
    </w:p>
    <w:p>
      <w:pPr>
        <w:ind w:right="40" w:firstLine="569"/>
        <w:spacing w:after="0" w:line="243" w:lineRule="auto"/>
        <w:rPr>
          <w:sz w:val="20"/>
          <w:szCs w:val="20"/>
          <w:color w:val="auto"/>
        </w:rPr>
      </w:pPr>
      <w:r>
        <w:rPr>
          <w:rFonts w:ascii="Arial" w:cs="Arial" w:eastAsia="Arial" w:hAnsi="Arial"/>
          <w:sz w:val="18"/>
          <w:szCs w:val="18"/>
          <w:color w:val="auto"/>
        </w:rPr>
        <w:t>Sales and marketing expenses increased by $17.2 million or 65% for the six months ended June 30, 2022 as compared to the same period in the prior year. The increase was primarily driven by higher headcount, higher commissions due to higher sales, and increased infrastructure costs to support our growth. In addition, there were higher travel and freight expenses for the six months ended June 30, 2022, as compared with the same quarter in the prior year. This increase was partially offset by lower consulting expenses.</w:t>
      </w:r>
    </w:p>
    <w:p>
      <w:pPr>
        <w:spacing w:after="0" w:line="80" w:lineRule="exact"/>
        <w:rPr>
          <w:sz w:val="20"/>
          <w:szCs w:val="20"/>
          <w:color w:val="auto"/>
        </w:rPr>
      </w:pPr>
    </w:p>
    <w:p>
      <w:pPr>
        <w:ind w:right="40" w:firstLine="569"/>
        <w:spacing w:after="0" w:line="248" w:lineRule="auto"/>
        <w:rPr>
          <w:sz w:val="20"/>
          <w:szCs w:val="20"/>
          <w:color w:val="auto"/>
        </w:rPr>
      </w:pPr>
      <w:r>
        <w:rPr>
          <w:rFonts w:ascii="Arial" w:cs="Arial" w:eastAsia="Arial" w:hAnsi="Arial"/>
          <w:sz w:val="18"/>
          <w:szCs w:val="18"/>
          <w:color w:val="auto"/>
        </w:rPr>
        <w:t>General and administrative expenses increased by $1.1 million or 11% for the three months ended June 30, 2022 as compared to the same quarter in the prior year. The increase was primarily driven by higher headcount and higher travel expenses to support our growth. The increase was partially offset by a decrease in outside services costs.</w:t>
      </w:r>
    </w:p>
    <w:p>
      <w:pPr>
        <w:spacing w:after="0" w:line="74" w:lineRule="exact"/>
        <w:rPr>
          <w:sz w:val="20"/>
          <w:szCs w:val="20"/>
          <w:color w:val="auto"/>
        </w:rPr>
      </w:pPr>
    </w:p>
    <w:p>
      <w:pPr>
        <w:ind w:right="60" w:firstLine="569"/>
        <w:spacing w:after="0" w:line="243" w:lineRule="auto"/>
        <w:rPr>
          <w:sz w:val="20"/>
          <w:szCs w:val="20"/>
          <w:color w:val="auto"/>
        </w:rPr>
      </w:pPr>
      <w:r>
        <w:rPr>
          <w:rFonts w:ascii="Arial" w:cs="Arial" w:eastAsia="Arial" w:hAnsi="Arial"/>
          <w:sz w:val="18"/>
          <w:szCs w:val="18"/>
          <w:color w:val="auto"/>
        </w:rPr>
        <w:t>General and administrative expenses increased by $1.5 million or 8% for the six months ended June 30, 2022 as compared to the same period in the prior year. The increase was primarily driven by higher headcount and increased infrastructure costs to support our growth. In addition, there were higher travel and insurance expenses for the six months ended June 30, 2022 as compared with the same quarter in the prior year. The increase was partially offset by a decrease in outside services costs and a decrease in stock-based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36" w:right="299" w:bottom="1440" w:gutter="0" w:footer="0" w:header="0"/>
        </w:sectPr>
      </w:pPr>
    </w:p>
    <w:bookmarkStart w:id="20" w:name="page21"/>
    <w:bookmarkEnd w:id="20"/>
    <w:p>
      <w:pPr>
        <w:ind w:right="780"/>
        <w:spacing w:after="0" w:line="261" w:lineRule="auto"/>
        <w:rPr>
          <w:sz w:val="20"/>
          <w:szCs w:val="20"/>
          <w:color w:val="auto"/>
        </w:rPr>
      </w:pPr>
      <w:r>
        <w:rPr>
          <w:rFonts w:ascii="Arial" w:cs="Arial" w:eastAsia="Arial" w:hAnsi="Arial"/>
          <w:sz w:val="18"/>
          <w:szCs w:val="18"/>
          <w:color w:val="auto"/>
        </w:rPr>
        <w:t>compensation expense due to the expense related to stock options with performance and market-based vesting conditions in 2020, which was fully recognized as of the end of the third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5"/>
          </w:tcPr>
          <w:p>
            <w:pPr>
              <w:jc w:val="right"/>
              <w:ind w:right="359"/>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6"/>
                <w:szCs w:val="16"/>
                <w:color w:val="auto"/>
              </w:rPr>
            </w:pPr>
          </w:p>
        </w:tc>
        <w:tc>
          <w:tcPr>
            <w:tcW w:w="1000" w:type="dxa"/>
            <w:vAlign w:val="bottom"/>
            <w:gridSpan w:val="3"/>
            <w:vMerge w:val="restart"/>
          </w:tcPr>
          <w:p>
            <w:pPr>
              <w:ind w:left="400"/>
              <w:spacing w:after="0"/>
              <w:rPr>
                <w:sz w:val="20"/>
                <w:szCs w:val="20"/>
                <w:color w:val="auto"/>
              </w:rPr>
            </w:pPr>
            <w:r>
              <w:rPr>
                <w:rFonts w:ascii="Arial" w:cs="Arial" w:eastAsia="Arial" w:hAnsi="Arial"/>
                <w:sz w:val="16"/>
                <w:szCs w:val="16"/>
                <w:b w:val="1"/>
                <w:bCs w:val="1"/>
                <w:color w:val="auto"/>
                <w:w w:val="98"/>
              </w:rPr>
              <w:t>Change</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w w:val="95"/>
              </w:rPr>
              <w:t>Six Months Ended</w:t>
            </w:r>
          </w:p>
        </w:tc>
        <w:tc>
          <w:tcPr>
            <w:tcW w:w="200" w:type="dxa"/>
            <w:vAlign w:val="bottom"/>
          </w:tcPr>
          <w:p>
            <w:pPr>
              <w:spacing w:after="0"/>
              <w:rPr>
                <w:sz w:val="16"/>
                <w:szCs w:val="16"/>
                <w:color w:val="auto"/>
              </w:rPr>
            </w:pPr>
          </w:p>
        </w:tc>
        <w:tc>
          <w:tcPr>
            <w:tcW w:w="960" w:type="dxa"/>
            <w:vAlign w:val="bottom"/>
            <w:gridSpan w:val="3"/>
            <w:vMerge w:val="restart"/>
          </w:tcPr>
          <w:p>
            <w:pPr>
              <w:ind w:left="380"/>
              <w:spacing w:after="0"/>
              <w:rPr>
                <w:sz w:val="20"/>
                <w:szCs w:val="20"/>
                <w:color w:val="auto"/>
              </w:rPr>
            </w:pPr>
            <w:r>
              <w:rPr>
                <w:rFonts w:ascii="Arial" w:cs="Arial" w:eastAsia="Arial" w:hAnsi="Arial"/>
                <w:sz w:val="16"/>
                <w:szCs w:val="16"/>
                <w:b w:val="1"/>
                <w:bCs w:val="1"/>
                <w:color w:val="auto"/>
                <w:w w:val="95"/>
              </w:rPr>
              <w:t>Change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i w:val="1"/>
                <w:iCs w:val="1"/>
                <w:color w:val="auto"/>
                <w:w w:val="92"/>
              </w:rPr>
              <w:t>(dollars in thousands)</w:t>
            </w:r>
          </w:p>
        </w:tc>
        <w:tc>
          <w:tcPr>
            <w:tcW w:w="1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b w:val="1"/>
                <w:bCs w:val="1"/>
                <w:color w:val="auto"/>
                <w:w w:val="89"/>
              </w:rPr>
              <w:t>2021</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2022</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2021</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19"/>
              <w:spacing w:after="0" w:line="16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income (expenses),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gridSpan w:val="3"/>
          </w:tcPr>
          <w:p>
            <w:pPr>
              <w:ind w:left="20"/>
              <w:spacing w:after="0"/>
              <w:rPr>
                <w:sz w:val="20"/>
                <w:szCs w:val="20"/>
                <w:color w:val="auto"/>
              </w:rPr>
            </w:pPr>
            <w:r>
              <w:rPr>
                <w:rFonts w:ascii="Arial" w:cs="Arial" w:eastAsia="Arial" w:hAnsi="Arial"/>
                <w:sz w:val="16"/>
                <w:szCs w:val="16"/>
                <w:color w:val="auto"/>
              </w:rPr>
              <w:t>Interest income and other income,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459</w:t>
            </w:r>
          </w:p>
        </w:tc>
        <w:tc>
          <w:tcPr>
            <w:tcW w:w="3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164</w:t>
            </w:r>
          </w:p>
        </w:tc>
        <w:tc>
          <w:tcPr>
            <w:tcW w:w="3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180 % $</w:t>
            </w:r>
          </w:p>
        </w:tc>
        <w:tc>
          <w:tcPr>
            <w:tcW w:w="540" w:type="dxa"/>
            <w:vAlign w:val="bottom"/>
          </w:tcPr>
          <w:p>
            <w:pPr>
              <w:jc w:val="right"/>
              <w:spacing w:after="0"/>
              <w:rPr>
                <w:sz w:val="20"/>
                <w:szCs w:val="20"/>
                <w:color w:val="auto"/>
              </w:rPr>
            </w:pPr>
            <w:r>
              <w:rPr>
                <w:rFonts w:ascii="Arial" w:cs="Arial" w:eastAsia="Arial" w:hAnsi="Arial"/>
                <w:sz w:val="16"/>
                <w:szCs w:val="16"/>
                <w:color w:val="auto"/>
              </w:rPr>
              <w:t>579</w:t>
            </w:r>
          </w:p>
        </w:tc>
        <w:tc>
          <w:tcPr>
            <w:tcW w:w="3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276</w:t>
            </w:r>
          </w:p>
        </w:tc>
        <w:tc>
          <w:tcPr>
            <w:tcW w:w="30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303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189"/>
        </w:trPr>
        <w:tc>
          <w:tcPr>
            <w:tcW w:w="3400" w:type="dxa"/>
            <w:vAlign w:val="bottom"/>
            <w:gridSpan w:val="3"/>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6"/>
                <w:szCs w:val="16"/>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color w:val="auto"/>
              </w:rPr>
              <w:t>(481 )</w:t>
            </w:r>
          </w:p>
        </w:tc>
        <w:tc>
          <w:tcPr>
            <w:tcW w:w="180" w:type="dxa"/>
            <w:vAlign w:val="bottom"/>
          </w:tcPr>
          <w:p>
            <w:pPr>
              <w:spacing w:after="0"/>
              <w:rPr>
                <w:sz w:val="16"/>
                <w:szCs w:val="16"/>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(431 )</w:t>
            </w: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(50 )</w:t>
            </w:r>
          </w:p>
        </w:tc>
        <w:tc>
          <w:tcPr>
            <w:tcW w:w="26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12 %</w:t>
            </w:r>
          </w:p>
        </w:tc>
        <w:tc>
          <w:tcPr>
            <w:tcW w:w="140" w:type="dxa"/>
            <w:vAlign w:val="bottom"/>
          </w:tcPr>
          <w:p>
            <w:pPr>
              <w:spacing w:after="0"/>
              <w:rPr>
                <w:sz w:val="16"/>
                <w:szCs w:val="16"/>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color w:val="auto"/>
              </w:rPr>
              <w:t>(903 )</w:t>
            </w:r>
          </w:p>
        </w:tc>
        <w:tc>
          <w:tcPr>
            <w:tcW w:w="160" w:type="dxa"/>
            <w:vAlign w:val="bottom"/>
          </w:tcPr>
          <w:p>
            <w:pPr>
              <w:spacing w:after="0"/>
              <w:rPr>
                <w:sz w:val="16"/>
                <w:szCs w:val="16"/>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color w:val="auto"/>
              </w:rPr>
              <w:t>(853 )</w:t>
            </w:r>
          </w:p>
        </w:tc>
        <w:tc>
          <w:tcPr>
            <w:tcW w:w="2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(50 )</w:t>
            </w:r>
          </w:p>
        </w:tc>
        <w:tc>
          <w:tcPr>
            <w:tcW w:w="260" w:type="dxa"/>
            <w:vAlign w:val="bottom"/>
          </w:tcPr>
          <w:p>
            <w:pPr>
              <w:spacing w:after="0"/>
              <w:rPr>
                <w:sz w:val="16"/>
                <w:szCs w:val="16"/>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Total other expenses, net</w:t>
            </w: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(22</w:t>
            </w:r>
          </w:p>
        </w:tc>
        <w:tc>
          <w:tcPr>
            <w:tcW w:w="32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(267</w:t>
            </w:r>
          </w:p>
        </w:tc>
        <w:tc>
          <w:tcPr>
            <w:tcW w:w="300" w:type="dxa"/>
            <w:vAlign w:val="bottom"/>
          </w:tcPr>
          <w:p>
            <w:pPr>
              <w:jc w:val="right"/>
              <w:ind w:right="159"/>
              <w:spacing w:after="0" w:line="162" w:lineRule="exact"/>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5"/>
                <w:szCs w:val="15"/>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245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(92 )%</w:t>
            </w: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(324</w:t>
            </w:r>
          </w:p>
        </w:tc>
        <w:tc>
          <w:tcPr>
            <w:tcW w:w="30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(577</w:t>
            </w:r>
          </w:p>
        </w:tc>
        <w:tc>
          <w:tcPr>
            <w:tcW w:w="30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rPr>
              <w:t>253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63" w:lineRule="exact"/>
        <w:rPr>
          <w:sz w:val="20"/>
          <w:szCs w:val="20"/>
          <w:color w:val="auto"/>
        </w:rPr>
      </w:pPr>
    </w:p>
    <w:p>
      <w:pPr>
        <w:ind w:right="480" w:firstLine="569"/>
        <w:spacing w:after="0" w:line="261" w:lineRule="auto"/>
        <w:rPr>
          <w:sz w:val="20"/>
          <w:szCs w:val="20"/>
          <w:color w:val="auto"/>
        </w:rPr>
      </w:pPr>
      <w:r>
        <w:rPr>
          <w:rFonts w:ascii="Arial" w:cs="Arial" w:eastAsia="Arial" w:hAnsi="Arial"/>
          <w:sz w:val="18"/>
          <w:szCs w:val="18"/>
          <w:color w:val="auto"/>
        </w:rPr>
        <w:t>The increase in interest income and other income, net for the three and six months ended June 30, 2022 as compared to the same periods in the prior year was driven by higher interest rates.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Interest expense for the three and six months ended June 30, 2022 were relatively consistent with the amounts for the same periods in the prior year.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100" w:firstLine="569"/>
        <w:spacing w:after="0" w:line="324" w:lineRule="auto"/>
        <w:rPr>
          <w:sz w:val="20"/>
          <w:szCs w:val="20"/>
          <w:color w:val="auto"/>
        </w:rPr>
      </w:pPr>
      <w:r>
        <w:rPr>
          <w:rFonts w:ascii="Arial" w:cs="Arial" w:eastAsia="Arial" w:hAnsi="Arial"/>
          <w:sz w:val="16"/>
          <w:szCs w:val="16"/>
          <w:color w:val="auto"/>
        </w:rPr>
        <w:t>As of June 30, 2022, we had cash, cash equivalents and short-term investments of $262.1 million, which are available to fund future operations, and restricted cash of $33.3 million, for a total cash, cash equivalents, restricted cash and short-term investments balance of $295.4 million.</w:t>
      </w:r>
    </w:p>
    <w:p>
      <w:pPr>
        <w:spacing w:after="0" w:line="16" w:lineRule="exact"/>
        <w:rPr>
          <w:sz w:val="20"/>
          <w:szCs w:val="20"/>
          <w:color w:val="auto"/>
        </w:rPr>
      </w:pPr>
    </w:p>
    <w:p>
      <w:pPr>
        <w:ind w:right="180" w:firstLine="569"/>
        <w:spacing w:after="0" w:line="248" w:lineRule="auto"/>
        <w:rPr>
          <w:sz w:val="20"/>
          <w:szCs w:val="20"/>
          <w:color w:val="auto"/>
        </w:rPr>
      </w:pPr>
      <w:r>
        <w:rPr>
          <w:rFonts w:ascii="Arial" w:cs="Arial" w:eastAsia="Arial" w:hAnsi="Arial"/>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debt financings, and proceeds from stock option exercises and employee stock purchases.</w:t>
      </w:r>
    </w:p>
    <w:p>
      <w:pPr>
        <w:spacing w:after="0" w:line="74" w:lineRule="exact"/>
        <w:rPr>
          <w:sz w:val="20"/>
          <w:szCs w:val="20"/>
          <w:color w:val="auto"/>
        </w:rPr>
      </w:pPr>
    </w:p>
    <w:p>
      <w:pPr>
        <w:ind w:right="240" w:firstLine="569"/>
        <w:spacing w:after="0" w:line="253" w:lineRule="auto"/>
        <w:rPr>
          <w:sz w:val="20"/>
          <w:szCs w:val="20"/>
          <w:color w:val="auto"/>
        </w:rPr>
      </w:pPr>
      <w:r>
        <w:rPr>
          <w:rFonts w:ascii="Arial" w:cs="Arial" w:eastAsia="Arial" w:hAnsi="Arial"/>
          <w:sz w:val="17"/>
          <w:szCs w:val="17"/>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including through refinancing our existing debt,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We believe that our existing cash, cash equivalents and short-term investments, and cash generated from sales of our products and services, will be sufficient to meet our anticipated needs for at least the next 12 months from the issuance date of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cash flows for each of the periods indicated (in thousands):</w:t>
      </w:r>
    </w:p>
    <w:p>
      <w:pPr>
        <w:spacing w:after="0" w:line="104"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3"/>
        </w:trPr>
        <w:tc>
          <w:tcPr>
            <w:tcW w:w="716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7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(used in) provided by:</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160" w:type="dxa"/>
            <w:vAlign w:val="bottom"/>
          </w:tcPr>
          <w:p>
            <w:pPr>
              <w:ind w:left="200"/>
              <w:spacing w:after="0"/>
              <w:rPr>
                <w:sz w:val="20"/>
                <w:szCs w:val="20"/>
                <w:color w:val="auto"/>
              </w:rPr>
            </w:pPr>
            <w:r>
              <w:rPr>
                <w:rFonts w:ascii="Arial" w:cs="Arial" w:eastAsia="Arial" w:hAnsi="Arial"/>
                <w:sz w:val="16"/>
                <w:szCs w:val="16"/>
                <w:color w:val="auto"/>
              </w:rPr>
              <w:t>Operating activities</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39"/>
              <w:spacing w:after="0"/>
              <w:rPr>
                <w:sz w:val="20"/>
                <w:szCs w:val="20"/>
                <w:color w:val="auto"/>
              </w:rPr>
            </w:pPr>
            <w:r>
              <w:rPr>
                <w:rFonts w:ascii="Arial" w:cs="Arial" w:eastAsia="Arial" w:hAnsi="Arial"/>
                <w:sz w:val="16"/>
                <w:szCs w:val="16"/>
                <w:color w:val="auto"/>
              </w:rPr>
              <w:t>(76,910 )</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(69,457 )</w:t>
            </w:r>
          </w:p>
        </w:tc>
      </w:tr>
      <w:tr>
        <w:trPr>
          <w:trHeight w:val="189"/>
        </w:trPr>
        <w:tc>
          <w:tcPr>
            <w:tcW w:w="7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Investing activities</w:t>
            </w:r>
          </w:p>
        </w:tc>
        <w:tc>
          <w:tcPr>
            <w:tcW w:w="9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(34,706 )</w:t>
            </w:r>
          </w:p>
        </w:tc>
        <w:tc>
          <w:tcPr>
            <w:tcW w:w="9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0"/>
              </w:rPr>
              <w:t>(104,267 )</w:t>
            </w:r>
          </w:p>
        </w:tc>
      </w:tr>
      <w:tr>
        <w:trPr>
          <w:trHeight w:val="189"/>
        </w:trPr>
        <w:tc>
          <w:tcPr>
            <w:tcW w:w="7160" w:type="dxa"/>
            <w:vAlign w:val="bottom"/>
          </w:tcPr>
          <w:p>
            <w:pPr>
              <w:ind w:left="200"/>
              <w:spacing w:after="0"/>
              <w:rPr>
                <w:sz w:val="20"/>
                <w:szCs w:val="20"/>
                <w:color w:val="auto"/>
              </w:rPr>
            </w:pPr>
            <w:r>
              <w:rPr>
                <w:rFonts w:ascii="Arial" w:cs="Arial" w:eastAsia="Arial" w:hAnsi="Arial"/>
                <w:sz w:val="16"/>
                <w:szCs w:val="16"/>
                <w:color w:val="auto"/>
              </w:rPr>
              <w:t>Financing activities</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4,765</w:t>
            </w:r>
          </w:p>
        </w:tc>
        <w:tc>
          <w:tcPr>
            <w:tcW w:w="4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153,026</w:t>
            </w:r>
          </w:p>
        </w:tc>
        <w:tc>
          <w:tcPr>
            <w:tcW w:w="120" w:type="dxa"/>
            <w:vAlign w:val="bottom"/>
          </w:tcPr>
          <w:p>
            <w:pPr>
              <w:spacing w:after="0"/>
              <w:rPr>
                <w:sz w:val="16"/>
                <w:szCs w:val="16"/>
                <w:color w:val="auto"/>
              </w:rPr>
            </w:pPr>
          </w:p>
        </w:tc>
      </w:tr>
      <w:tr>
        <w:trPr>
          <w:trHeight w:val="223"/>
        </w:trPr>
        <w:tc>
          <w:tcPr>
            <w:tcW w:w="71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decrease in cash, cash equivalents and restricted cash</w:t>
            </w:r>
          </w:p>
        </w:tc>
        <w:tc>
          <w:tcPr>
            <w:tcW w:w="960" w:type="dxa"/>
            <w:vAlign w:val="bottom"/>
            <w:tcBorders>
              <w:bottom w:val="single" w:sz="8" w:color="auto"/>
            </w:tcBorders>
            <w:shd w:val="clear" w:color="auto" w:fill="CFF0FC"/>
          </w:tcPr>
          <w:p>
            <w:pPr>
              <w:jc w:val="right"/>
              <w:ind w:right="80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1"/>
              </w:rPr>
              <w:t>(106,851</w:t>
            </w:r>
          </w:p>
        </w:tc>
        <w:tc>
          <w:tcPr>
            <w:tcW w:w="480" w:type="dxa"/>
            <w:vAlign w:val="bottom"/>
            <w:tcBorders>
              <w:bottom w:val="single" w:sz="8" w:color="CFF0FC"/>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w w:val="74"/>
              </w:rPr>
              <w:t>)</w:t>
            </w:r>
          </w:p>
        </w:tc>
        <w:tc>
          <w:tcPr>
            <w:tcW w:w="960" w:type="dxa"/>
            <w:vAlign w:val="bottom"/>
            <w:tcBorders>
              <w:bottom w:val="single" w:sz="8" w:color="auto"/>
            </w:tcBorders>
            <w:shd w:val="clear" w:color="auto" w:fill="CFF0FC"/>
          </w:tcPr>
          <w:p>
            <w:pPr>
              <w:jc w:val="right"/>
              <w:ind w:right="8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(20,698</w:t>
            </w:r>
          </w:p>
        </w:tc>
        <w:tc>
          <w:tcPr>
            <w:tcW w:w="1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36" w:right="239" w:bottom="1440" w:gutter="0" w:footer="0" w:header="0"/>
        </w:sectPr>
      </w:pPr>
    </w:p>
    <w:bookmarkStart w:id="21" w:name="page22"/>
    <w:bookmarkEnd w:id="21"/>
    <w:p>
      <w:pPr>
        <w:ind w:firstLine="569"/>
        <w:spacing w:after="0" w:line="271" w:lineRule="auto"/>
        <w:rPr>
          <w:sz w:val="20"/>
          <w:szCs w:val="20"/>
          <w:color w:val="auto"/>
        </w:rPr>
      </w:pPr>
      <w:r>
        <w:rPr>
          <w:rFonts w:ascii="Arial" w:cs="Arial" w:eastAsia="Arial" w:hAnsi="Arial"/>
          <w:sz w:val="16"/>
          <w:szCs w:val="16"/>
          <w:color w:val="auto"/>
        </w:rPr>
        <w:t>The net cash used in operating activities of $76.9 million for the six months ended June 30, 2022 was due to a net loss of $80.7 million and a net cash outflow from the change in our operating assets and liabilities of $13.9 million, which were partially offset by adjustments for stock-based compensation expense of $12.4 million, depreciation and amortization of $2.6 million, accretion of discount on investments of $1.0 million, provision for inventories of $0.8 million, non-cash lease expense of $0.5 million, and non-cash interest expense of $0.3 million. The net cash outflow from operating assets and liabilities was primarily driven by an increase in inventories as a result of the timing of inventory purchases including advance purchases of inventory due to anticipated demand and to mitigate supply chain disruptions, a decrease in accrued payroll and related benefits, a decrease in operating lease liabilities and accrued warranty liability. The net cash outflow from operating assets and liabilities was partially offset by an increase in accounts payable and accrued expenses and other current liabilities due to timing of vendor payments, an increase in deferred revenue as a result of the growth of our business, a decrease in accounts receivable resulting from the timing of collections, and a decrease in prepaid expenses and other assets.</w:t>
      </w:r>
    </w:p>
    <w:p>
      <w:pPr>
        <w:spacing w:after="0" w:line="61" w:lineRule="exact"/>
        <w:rPr>
          <w:sz w:val="20"/>
          <w:szCs w:val="20"/>
          <w:color w:val="auto"/>
        </w:rPr>
      </w:pPr>
    </w:p>
    <w:p>
      <w:pPr>
        <w:ind w:right="40" w:firstLine="569"/>
        <w:spacing w:after="0" w:line="253" w:lineRule="auto"/>
        <w:rPr>
          <w:sz w:val="20"/>
          <w:szCs w:val="20"/>
          <w:color w:val="auto"/>
        </w:rPr>
      </w:pPr>
      <w:r>
        <w:rPr>
          <w:rFonts w:ascii="Arial" w:cs="Arial" w:eastAsia="Arial" w:hAnsi="Arial"/>
          <w:sz w:val="17"/>
          <w:szCs w:val="17"/>
          <w:color w:val="auto"/>
        </w:rPr>
        <w:t>The net cash used in operating activities of $69.5 million for the six months ended June 30, 2021 was due to a net loss of $60.2 million and a net cash outflow from the change in our operating assets and liabilities of $23.1 million, which were partially offset by adjustments for stock-based compensation expense of $9.8 million, depreciation and amortization of $2.6 million, non-cash lease expense of $0.5 million, accretion of discount on investments of $0.4 million, non-cash interest expense of $0.3 million, and provision for inventories of $0.3 million. The net cash outflow from operating assets and liabilities was primarily driven by an increase in inventories as a result of the timing of inventory purchases including advance purchases of inventory for the transition to our own manufacturing facility, anticipated demand and to mitigate supply chain disruptions, which partially related to COVID-19, an increase in accounts receivable due to timing of collections, a net decrease in account payable, accrued expenses and other current liabilities resulting from the timing of vendor payments and a decrease in accrued payroll and related benefits, and a decrease in operating lease liabilities. The net cash outflow from operating assets and liabilities was partially offset by an increase in deferred revenue as a result of the growth of our business, an increase in prepaid expenses and other assets, and an increase in accrued warranty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firstLine="569"/>
        <w:spacing w:after="0" w:line="248" w:lineRule="auto"/>
        <w:rPr>
          <w:sz w:val="20"/>
          <w:szCs w:val="20"/>
          <w:color w:val="auto"/>
        </w:rPr>
      </w:pPr>
      <w:r>
        <w:rPr>
          <w:rFonts w:ascii="Arial" w:cs="Arial" w:eastAsia="Arial" w:hAnsi="Arial"/>
          <w:sz w:val="18"/>
          <w:szCs w:val="18"/>
          <w:color w:val="auto"/>
        </w:rPr>
        <w:t>The net cash used in investing activities of $34.7 million for the six months ended June 30, 2022 was due primarily to the purchases of investment securities of $133.0 million and the purchases of property and equipment of $3.5 million, partially offset by the sales and maturities of investment securities of $101.8 million.</w:t>
      </w:r>
    </w:p>
    <w:p>
      <w:pPr>
        <w:spacing w:after="0" w:line="74" w:lineRule="exact"/>
        <w:rPr>
          <w:sz w:val="20"/>
          <w:szCs w:val="20"/>
          <w:color w:val="auto"/>
        </w:rPr>
      </w:pPr>
    </w:p>
    <w:p>
      <w:pPr>
        <w:jc w:val="both"/>
        <w:ind w:firstLine="569"/>
        <w:spacing w:after="0" w:line="248" w:lineRule="auto"/>
        <w:rPr>
          <w:sz w:val="20"/>
          <w:szCs w:val="20"/>
          <w:color w:val="auto"/>
        </w:rPr>
      </w:pPr>
      <w:r>
        <w:rPr>
          <w:rFonts w:ascii="Arial" w:cs="Arial" w:eastAsia="Arial" w:hAnsi="Arial"/>
          <w:sz w:val="18"/>
          <w:szCs w:val="18"/>
          <w:color w:val="auto"/>
        </w:rPr>
        <w:t>The net cash used in investing activities of $104.3 million for the six months ended June 30, 2021 was due primarily to the purchases of investment securities of $122.4 million and the purchases of property and equipment of $1.8 million, partially offset by the sales and maturities of investment securities of $19.9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420" w:firstLine="569"/>
        <w:spacing w:after="0" w:line="261" w:lineRule="auto"/>
        <w:rPr>
          <w:sz w:val="20"/>
          <w:szCs w:val="20"/>
          <w:color w:val="auto"/>
        </w:rPr>
      </w:pPr>
      <w:r>
        <w:rPr>
          <w:rFonts w:ascii="Arial" w:cs="Arial" w:eastAsia="Arial" w:hAnsi="Arial"/>
          <w:sz w:val="18"/>
          <w:szCs w:val="18"/>
          <w:color w:val="auto"/>
        </w:rPr>
        <w:t>The net cash provided by financing activities of $4.8 million for the six months ended June 30, 2022 was due to proceeds of $4.8 million from employee exercises of stock options and ESPP purchases.</w:t>
      </w:r>
    </w:p>
    <w:p>
      <w:pPr>
        <w:spacing w:after="0" w:line="63" w:lineRule="exact"/>
        <w:rPr>
          <w:sz w:val="20"/>
          <w:szCs w:val="20"/>
          <w:color w:val="auto"/>
        </w:rPr>
      </w:pPr>
    </w:p>
    <w:p>
      <w:pPr>
        <w:jc w:val="both"/>
        <w:ind w:right="320" w:firstLine="569"/>
        <w:spacing w:after="0" w:line="248" w:lineRule="auto"/>
        <w:rPr>
          <w:sz w:val="20"/>
          <w:szCs w:val="20"/>
          <w:color w:val="auto"/>
        </w:rPr>
      </w:pPr>
      <w:r>
        <w:rPr>
          <w:rFonts w:ascii="Arial" w:cs="Arial" w:eastAsia="Arial" w:hAnsi="Arial"/>
          <w:sz w:val="18"/>
          <w:szCs w:val="18"/>
          <w:color w:val="auto"/>
        </w:rPr>
        <w:t>The net cash provided by financing activities of $153.0 million for the six months ended June 30, 2021 was due primarily to the net proceeds of $149.1 million from the issuance of our common stock upon the follow-on offering and the proceeds of $3.9 million from employee exercises of stock options and ESPP purchases.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960" w:firstLine="569"/>
        <w:spacing w:after="0" w:line="324" w:lineRule="auto"/>
        <w:rPr>
          <w:sz w:val="20"/>
          <w:szCs w:val="20"/>
          <w:color w:val="auto"/>
        </w:rPr>
      </w:pPr>
      <w:r>
        <w:rPr>
          <w:rFonts w:ascii="Arial" w:cs="Arial" w:eastAsia="Arial" w:hAnsi="Arial"/>
          <w:sz w:val="16"/>
          <w:szCs w:val="16"/>
          <w:color w:val="auto"/>
        </w:rPr>
        <w:t>During the six months ended June 30, 2022, there have been no material changes to our contractual obligations from those disclosed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2021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840" w:firstLine="569"/>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firstLine="569"/>
        <w:spacing w:after="0" w:line="276" w:lineRule="auto"/>
        <w:rPr>
          <w:sz w:val="20"/>
          <w:szCs w:val="20"/>
          <w:color w:val="auto"/>
        </w:rPr>
      </w:pPr>
      <w:r>
        <w:rPr>
          <w:rFonts w:ascii="Arial" w:cs="Arial" w:eastAsia="Arial" w:hAnsi="Arial"/>
          <w:sz w:val="16"/>
          <w:szCs w:val="16"/>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firstLine="569"/>
        <w:spacing w:after="0" w:line="270" w:lineRule="auto"/>
        <w:rPr>
          <w:sz w:val="20"/>
          <w:szCs w:val="20"/>
          <w:color w:val="auto"/>
        </w:rPr>
      </w:pPr>
      <w:r>
        <w:rPr>
          <w:rFonts w:ascii="Arial" w:cs="Arial" w:eastAsia="Arial" w:hAnsi="Arial"/>
          <w:sz w:val="17"/>
          <w:szCs w:val="17"/>
          <w:color w:val="auto"/>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2021 Annual Report. For additional information, please refer to Note 2 to our unaudited condensed financial statements in this Quarterly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2 to our unaudited condensed financial statements included elsewhere in this Quarterly Report for more information.</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36" w:right="5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There has been no material change in the nature of the Company’s interest rate risks or foreign currency exchange risks from those described in Part</w:t>
      </w:r>
    </w:p>
    <w:p>
      <w:pPr>
        <w:spacing w:after="0" w:line="3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Item 7A of our 2021 Annual Report.</w:t>
      </w:r>
    </w:p>
    <w:p>
      <w:pPr>
        <w:spacing w:after="0" w:line="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Item 4. Controls and Procedures.</w:t>
      </w:r>
    </w:p>
    <w:p>
      <w:pPr>
        <w:spacing w:after="0" w:line="10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right="20" w:firstLine="569"/>
        <w:spacing w:after="0" w:line="270" w:lineRule="auto"/>
        <w:rPr>
          <w:sz w:val="20"/>
          <w:szCs w:val="20"/>
          <w:color w:val="auto"/>
        </w:rPr>
      </w:pPr>
      <w:r>
        <w:rPr>
          <w:rFonts w:ascii="Arial" w:cs="Arial" w:eastAsia="Arial" w:hAnsi="Arial"/>
          <w:sz w:val="16"/>
          <w:szCs w:val="16"/>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80" w:firstLine="569"/>
        <w:spacing w:after="0" w:line="291"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information set forth under “Litigation” in Note 6, Commitments and Contingencies, of the notes accompanying our unaudited condensed financial statements in this Quarterly Report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69"/>
        <w:spacing w:after="0" w:line="274" w:lineRule="auto"/>
        <w:rPr>
          <w:sz w:val="20"/>
          <w:szCs w:val="20"/>
          <w:color w:val="auto"/>
        </w:rPr>
      </w:pPr>
      <w:r>
        <w:rPr>
          <w:rFonts w:ascii="Arial" w:cs="Arial" w:eastAsia="Arial" w:hAnsi="Arial"/>
          <w:sz w:val="16"/>
          <w:szCs w:val="16"/>
          <w:color w:val="auto"/>
        </w:rPr>
        <w:t>You should carefully consider the risk factors discussed in Part I, “Item 1A. Risk Factors” in our 2021 Annual Report, as updated by the risk factors discussed in Part II, “Item 1A. Risk Factors” in our Quarterly Report on Form 10-Q for the fiscal quarter ended Mach 31, 2022 (“Q1 2022 Quarterly Report”), which could materially affect our business, financial position, or future results of operations. There have been no material changes to the risk factors described in our 2021 Annual Report, as updated by our Q1 2022 Quarterly Report, except as set forth below. The risks described in our 2021 Annual Report and our Q1 2022 Quarterly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5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b w:val="1"/>
          <w:bCs w:val="1"/>
          <w:i w:val="1"/>
          <w:iCs w:val="1"/>
          <w:color w:val="auto"/>
        </w:rPr>
        <w:t>While we recently resumed marketing and shipping the Tablo System for home use following the FDA’s clearance of our most recent 510(k) submission, our business and operations may continue to experience disruptions as a result of the prior shipment hold. In addition, as we continue to modify Tablo from time to time, such modifications may require new 510(k) clearances from the FDA, which we may not be able to obtain on a timely basis or at all.</w:t>
      </w:r>
    </w:p>
    <w:p>
      <w:pPr>
        <w:spacing w:after="0" w:line="80" w:lineRule="exact"/>
        <w:rPr>
          <w:sz w:val="20"/>
          <w:szCs w:val="20"/>
          <w:color w:val="auto"/>
        </w:rPr>
      </w:pPr>
    </w:p>
    <w:p>
      <w:pPr>
        <w:ind w:right="60" w:firstLine="569"/>
        <w:spacing w:after="0"/>
        <w:rPr>
          <w:sz w:val="20"/>
          <w:szCs w:val="20"/>
          <w:color w:val="auto"/>
        </w:rPr>
      </w:pPr>
      <w:r>
        <w:rPr>
          <w:rFonts w:ascii="Arial" w:cs="Arial" w:eastAsia="Arial" w:hAnsi="Arial"/>
          <w:sz w:val="18"/>
          <w:szCs w:val="18"/>
          <w:color w:val="auto"/>
        </w:rPr>
        <w:t>Since Tablo’s original clearance by the FDA for home use in March 2020, we have made certain changes to the device over time. In May 2021, we submitted a “catch-up” 510(k) application to the FDA covering the design changes for patient use in the home. In May 2022, after further discussions with the FDA and receiving indications that the clearance of this 510(k) application would be delayed beyond our original expectations, we implemented a shipment hold on the distribution and marketing of Tablo for use in the home environment pending the FDA’s review and clearance of this 510(k) application. In late July 2022, the FDA cleared this 510(k) application of Tablo for patient use in the home and we have resumed marketing and shipping Tablo for home use.</w:t>
      </w:r>
    </w:p>
    <w:p>
      <w:pPr>
        <w:spacing w:after="0" w:line="284" w:lineRule="exact"/>
        <w:rPr>
          <w:sz w:val="20"/>
          <w:szCs w:val="20"/>
          <w:color w:val="auto"/>
        </w:rPr>
      </w:pPr>
    </w:p>
    <w:p>
      <w:pPr>
        <w:ind w:right="60" w:firstLine="569"/>
        <w:spacing w:after="0" w:line="259" w:lineRule="auto"/>
        <w:rPr>
          <w:sz w:val="20"/>
          <w:szCs w:val="20"/>
          <w:color w:val="auto"/>
        </w:rPr>
      </w:pPr>
      <w:r>
        <w:rPr>
          <w:rFonts w:ascii="Arial" w:cs="Arial" w:eastAsia="Arial" w:hAnsi="Arial"/>
          <w:sz w:val="17"/>
          <w:szCs w:val="17"/>
          <w:color w:val="auto"/>
        </w:rPr>
        <w:t>The shipment hold on Tablo for home use had a significant negative impact on our bookings and revenue for the second quarter of 2022, as well as on our pipeline of potential new deals. Following the most recent 510(k) clearance, we have resumed marketing and shipping Tablo for home use. However, we may continue to experience disruptions to our home and acute business and operations that could materially and adversely impact our results of operations, financial condition and growth prospects as we recover from the interruption to, and loss of momentum in, our home commercialization and marketing, related disruptions to our acute business, and any negative effects to our reputation as a result of the hold.</w:t>
      </w:r>
    </w:p>
    <w:p>
      <w:pPr>
        <w:spacing w:after="0" w:line="268" w:lineRule="exact"/>
        <w:rPr>
          <w:sz w:val="20"/>
          <w:szCs w:val="20"/>
          <w:color w:val="auto"/>
        </w:rPr>
      </w:pPr>
    </w:p>
    <w:p>
      <w:pPr>
        <w:ind w:right="40" w:firstLine="569"/>
        <w:spacing w:after="0" w:line="253" w:lineRule="auto"/>
        <w:rPr>
          <w:sz w:val="20"/>
          <w:szCs w:val="20"/>
          <w:color w:val="auto"/>
        </w:rPr>
      </w:pPr>
      <w:r>
        <w:rPr>
          <w:rFonts w:ascii="Arial" w:cs="Arial" w:eastAsia="Arial" w:hAnsi="Arial"/>
          <w:sz w:val="17"/>
          <w:szCs w:val="17"/>
          <w:color w:val="auto"/>
        </w:rPr>
        <w:t>Moreover, as we continue to modify Tablo from time to time, we may determine that such modifications could significantly affect safety and effectiveness of the device and thereby require new 510(k) clearances. Further, even in instances where we determine modifications to Tablo do not require a new 510(k) clearance, the FDA may disagree and we may ultimately be required to make additional changes to the Tablo System, we may need to submit a new 510(k) application and obtain clearance, we may be required to temporarily suspend shipment of, withdraw or recall Tablo until such clearance is obtained (which may not happen in a timely manner or at all), and/or we may be subject to other enforcement actions or proceedings and litigation, all of which would materially and adversely disrupt and harm our business and future growth. Where we determine that modifications to Tablo do require a new 510(k) clearance from the FDA, we may not be able to obtain such clearance in a timely manner, or at all. Obtaining clearances can be a time-consuming process, and delays in obtaining required future clearances could adversely affect our ability to make updates to Tablo in a timely manner, which in turn would harm our future growth.</w:t>
      </w:r>
    </w:p>
    <w:p>
      <w:pPr>
        <w:spacing w:after="0" w:line="27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customers are facing staffing shortages, increased costs and other financial pressures that have had, and may continue to have, a negative impact on our revenue.</w:t>
      </w:r>
    </w:p>
    <w:p>
      <w:pPr>
        <w:spacing w:after="0" w:line="63" w:lineRule="exact"/>
        <w:rPr>
          <w:sz w:val="20"/>
          <w:szCs w:val="20"/>
          <w:color w:val="auto"/>
        </w:rPr>
      </w:pPr>
    </w:p>
    <w:p>
      <w:pPr>
        <w:ind w:right="80" w:firstLine="569"/>
        <w:spacing w:after="0" w:line="274" w:lineRule="auto"/>
        <w:rPr>
          <w:sz w:val="20"/>
          <w:szCs w:val="20"/>
          <w:color w:val="auto"/>
        </w:rPr>
      </w:pPr>
      <w:r>
        <w:rPr>
          <w:rFonts w:ascii="Arial" w:cs="Arial" w:eastAsia="Arial" w:hAnsi="Arial"/>
          <w:sz w:val="16"/>
          <w:szCs w:val="16"/>
          <w:color w:val="auto"/>
        </w:rPr>
        <w:t>Healthcare providers (including our existing and prospective customers) are facing a nationwide shortage of qualified nurses and other clinical personnel due to long-term trends that have been exacerbated by the COVID-19 pandemic. As competition for these healthcare professionals has intensified,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resulting from the pandemic. There is a risk that the increased costs and other disruptions caused by the shortage of dialysis nurses, technicians and other staff could cause existing or prospective customers to delay continued investment in or adoption of new technologies and postpone purchasing decisions. For example, during the second quarter of 2022, our existing and potential customers began to face increasing staffing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5" w:name="page26"/>
    <w:bookmarkEnd w:id="25"/>
    <w:p>
      <w:pPr>
        <w:ind w:right="20"/>
        <w:spacing w:after="0" w:line="254" w:lineRule="auto"/>
        <w:rPr>
          <w:sz w:val="20"/>
          <w:szCs w:val="20"/>
          <w:color w:val="auto"/>
        </w:rPr>
      </w:pPr>
      <w:r>
        <w:rPr>
          <w:rFonts w:ascii="Arial" w:cs="Arial" w:eastAsia="Arial" w:hAnsi="Arial"/>
          <w:sz w:val="17"/>
          <w:szCs w:val="17"/>
          <w:color w:val="auto"/>
        </w:rPr>
        <w:t>shortages and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Toward the end of the quarter, we began to see early indications of the impact these factors had across our customer base on pipeline development and installation schedules, which, in turn, negatively impacted our bookings, delayed our shipments and adversely impacted our revenues for the second quarter of 2022. If our customers continue to face prolonged volatility, uncertainty, staffing shortages, rising costs and financial pressures, whether due to the pandemic, general macroeconomic conditions or otherwise, it could ultimately adversely impact our ability to expand existing customer relationships or attract new customers of Tablo, and have a material adverse effect on our bookings, revenues, results of operations, and, ultimately, our future growth and profitability.</w:t>
      </w:r>
    </w:p>
    <w:p>
      <w:pPr>
        <w:spacing w:after="0" w:line="73"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We may in the future become subject to a post-market surveillance order issued by the FDA for our Tablo System that could lead to making changes to or recalling or withdrawing the Tablo System from the field, or modifications to our labeling, which could harm our business.</w:t>
      </w:r>
    </w:p>
    <w:p>
      <w:pPr>
        <w:spacing w:after="0" w:line="16" w:lineRule="exact"/>
        <w:rPr>
          <w:sz w:val="20"/>
          <w:szCs w:val="20"/>
          <w:color w:val="auto"/>
        </w:rPr>
      </w:pPr>
    </w:p>
    <w:p>
      <w:pPr>
        <w:ind w:right="20" w:firstLine="569"/>
        <w:spacing w:after="0" w:line="268" w:lineRule="auto"/>
        <w:rPr>
          <w:sz w:val="20"/>
          <w:szCs w:val="20"/>
          <w:color w:val="auto"/>
        </w:rPr>
      </w:pPr>
      <w:r>
        <w:rPr>
          <w:rFonts w:ascii="Arial" w:cs="Arial" w:eastAsia="Arial" w:hAnsi="Arial"/>
          <w:sz w:val="16"/>
          <w:szCs w:val="16"/>
          <w:color w:val="auto"/>
        </w:rPr>
        <w:t>The FDA has previously notified us that the Tablo System is subject to a mandatory post-market surveillance order under Section 522 of the Federal Food Drug and Cosmetic Act (FDCA), requiring that we conduct a human factors study encompassing both summative and real-world data, as well as conduct a detailed analysis of adverse events and complaints from home users. Because the version of the Tablo System and software that was subject to the 510(k) application for home use submitted in May 2021 was the version we planned to use in the human factors study, we had intended to initiate the human factors study in accordance with our approved 522 study protocol upon FDA clearance of that 510(k) application. In July 2022, the FDA notified us that they have placed the 522 study requirement on hold because the original order specifically pertained to a prior version of Tablo. It currently remains uncertain whether the FDA will issue a new 522 order applicable to the current version of Tablo or extend the requirements of the prior 522 study order to apply to the version of Tablo that is the subject of the recently cleared 510(k). If the FDA does require us to run a 522 study with the version of Tablo that is the subject of the most recent clearance, we would need to submit and obtain the FDA’s approval of an updated 522 study protocol for the current version of Tablo before we could commence, conduct and complete the study. Should the FDA decide that the use of the Tablo System in the home environment identifies new concerns related to the safety and effectiveness of the product, or if the FDA determines that the requirements of the 522 order are otherwise unmet, we may be required to make changes to our Tablo System or its labeling for which we may need to submit new marketing authorization applications and obtain clearance, we may need to temporarily suspend shipment of Tablo, withdraw or recall the Tablo System from the market, and we may be subject to other enforcement actions, any of which could materially and adversely harm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04" w:lineRule="exact"/>
        <w:rPr>
          <w:sz w:val="20"/>
          <w:szCs w:val="20"/>
          <w:color w:val="auto"/>
        </w:rPr>
      </w:pPr>
    </w:p>
    <w:p>
      <w:pPr>
        <w:jc w:val="both"/>
        <w:ind w:right="40" w:firstLine="569"/>
        <w:spacing w:after="0" w:line="271" w:lineRule="auto"/>
        <w:rPr>
          <w:sz w:val="20"/>
          <w:szCs w:val="20"/>
          <w:color w:val="auto"/>
        </w:rPr>
      </w:pPr>
      <w:r>
        <w:rPr>
          <w:rFonts w:ascii="Arial" w:cs="Arial" w:eastAsia="Arial" w:hAnsi="Arial"/>
          <w:sz w:val="16"/>
          <w:szCs w:val="16"/>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w:t>
      </w:r>
    </w:p>
    <w:p>
      <w:pPr>
        <w:spacing w:after="0" w:line="250" w:lineRule="auto"/>
        <w:rPr>
          <w:sz w:val="20"/>
          <w:szCs w:val="20"/>
          <w:color w:val="auto"/>
        </w:rPr>
      </w:pPr>
      <w:r>
        <w:rPr>
          <w:rFonts w:ascii="Arial" w:cs="Arial" w:eastAsia="Arial" w:hAnsi="Arial"/>
          <w:sz w:val="17"/>
          <w:szCs w:val="17"/>
          <w:color w:val="auto"/>
        </w:rPr>
        <w:t>For example, on July 8, 2022, a purported stockholder class action lawsuit was filed against the Company, our Chief Executive Officer, Chief Financial Officer and former Chief Financial Officer, in the U.S. District Court for the Northern District of California alleging that the defendants violated federal securities laws by making false or misleading statements regarding the Company’s regulatory studies of the Tablo Hemodialysis System for at home use and the Company’s prospects related to the sale of the system for at home use. For further information, see the section entitled “Litigation” in Note 6, Commitments and Contingencies, to our unaudited condensed financial statements included in this Quarterly Report.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580" w:right="8560" w:hanging="572"/>
        <w:spacing w:after="0" w:line="428" w:lineRule="auto"/>
        <w:tabs>
          <w:tab w:leader="none" w:pos="26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Sales of Unregistered Securities </w:t>
      </w:r>
      <w:r>
        <w:rPr>
          <w:rFonts w:ascii="Arial" w:cs="Arial" w:eastAsia="Arial" w:hAnsi="Arial"/>
          <w:sz w:val="17"/>
          <w:szCs w:val="17"/>
          <w:color w:val="auto"/>
        </w:rPr>
        <w:t>Not applicable.</w:t>
      </w:r>
    </w:p>
    <w:p>
      <w:pPr>
        <w:spacing w:after="0" w:line="31" w:lineRule="exact"/>
        <w:rPr>
          <w:rFonts w:ascii="Arial" w:cs="Arial" w:eastAsia="Arial" w:hAnsi="Arial"/>
          <w:sz w:val="17"/>
          <w:szCs w:val="17"/>
          <w:b w:val="1"/>
          <w:bCs w:val="1"/>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Public Offering of Common Stock</w:t>
      </w:r>
    </w:p>
    <w:p>
      <w:pPr>
        <w:spacing w:after="0" w:line="108" w:lineRule="exact"/>
        <w:rPr>
          <w:sz w:val="20"/>
          <w:szCs w:val="20"/>
          <w:color w:val="auto"/>
        </w:rPr>
      </w:pPr>
    </w:p>
    <w:p>
      <w:pPr>
        <w:ind w:right="80" w:firstLine="569"/>
        <w:spacing w:after="0" w:line="294" w:lineRule="auto"/>
        <w:rPr>
          <w:sz w:val="20"/>
          <w:szCs w:val="20"/>
          <w:color w:val="auto"/>
        </w:rPr>
      </w:pPr>
      <w:r>
        <w:rPr>
          <w:rFonts w:ascii="Arial" w:cs="Arial" w:eastAsia="Arial" w:hAnsi="Arial"/>
          <w:sz w:val="16"/>
          <w:szCs w:val="16"/>
          <w:color w:val="auto"/>
        </w:rPr>
        <w:t>The offer and sale of shares in our IPO was registered under the Securities Act pursuant to a registration statement on Form S-1 (File No.333-248225), which was declared effective by the SEC on September 17, 2020. The remainder of the information required by this item regarding the use of our IPO proceeds has been omitted pursuant to SEC rules because such information has not changed since our last periodic report was filed.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 Repurchases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32"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2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508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5080" w:type="dxa"/>
            <w:vAlign w:val="bottom"/>
            <w:gridSpan w:val="1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5080" w:type="dxa"/>
            <w:vAlign w:val="bottom"/>
            <w:tcBorders>
              <w:bottom w:val="single" w:sz="8" w:color="0563C1"/>
            </w:tcBorders>
            <w:gridSpan w:val="12"/>
          </w:tcPr>
          <w:p>
            <w:pPr>
              <w:spacing w:after="0"/>
              <w:rPr>
                <w:rFonts w:ascii="Arial" w:cs="Arial" w:eastAsia="Arial" w:hAnsi="Arial"/>
                <w:sz w:val="18"/>
                <w:szCs w:val="18"/>
                <w:color w:val="0563C1"/>
                <w:w w:val="91"/>
              </w:rPr>
            </w:pPr>
            <w:hyperlink r:id="rId197">
              <w:r>
                <w:rPr>
                  <w:rFonts w:ascii="Arial" w:cs="Arial" w:eastAsia="Arial" w:hAnsi="Arial"/>
                  <w:sz w:val="18"/>
                  <w:szCs w:val="18"/>
                  <w:color w:val="0563C1"/>
                  <w:w w:val="91"/>
                </w:rPr>
                <w:t>Form of Amended and Restated Certificate of Incorporation of Outset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5080" w:type="dxa"/>
            <w:vAlign w:val="bottom"/>
            <w:gridSpan w:val="12"/>
          </w:tcPr>
          <w:p>
            <w:pPr>
              <w:spacing w:after="0" w:line="156" w:lineRule="exact"/>
              <w:rPr>
                <w:rFonts w:ascii="Arial" w:cs="Arial" w:eastAsia="Arial" w:hAnsi="Arial"/>
                <w:sz w:val="18"/>
                <w:szCs w:val="18"/>
                <w:color w:val="0563C1"/>
              </w:rPr>
            </w:pPr>
            <w:hyperlink r:id="rId197">
              <w:r>
                <w:rPr>
                  <w:rFonts w:ascii="Arial" w:cs="Arial" w:eastAsia="Arial" w:hAnsi="Arial"/>
                  <w:sz w:val="18"/>
                  <w:szCs w:val="18"/>
                  <w:color w:val="0563C1"/>
                </w:rPr>
                <w:t>Medical, Inc.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5080" w:type="dxa"/>
            <w:vAlign w:val="bottom"/>
            <w:gridSpan w:val="12"/>
          </w:tcPr>
          <w:p>
            <w:pPr>
              <w:spacing w:after="0"/>
              <w:rPr>
                <w:rFonts w:ascii="Arial" w:cs="Arial" w:eastAsia="Arial" w:hAnsi="Arial"/>
                <w:sz w:val="18"/>
                <w:szCs w:val="18"/>
                <w:color w:val="0563C1"/>
              </w:rPr>
            </w:pPr>
            <w:hyperlink r:id="rId198">
              <w:r>
                <w:rPr>
                  <w:rFonts w:ascii="Arial" w:cs="Arial" w:eastAsia="Arial" w:hAnsi="Arial"/>
                  <w:sz w:val="18"/>
                  <w:szCs w:val="18"/>
                  <w:color w:val="0563C1"/>
                </w:rPr>
                <w:t>Form of Amended and Restated Bylaws of Outset Medical,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2560" w:type="dxa"/>
            <w:vAlign w:val="bottom"/>
            <w:tcBorders>
              <w:top w:val="single" w:sz="8" w:color="0563C1"/>
              <w:bottom w:val="single" w:sz="8" w:color="0563C1"/>
            </w:tcBorders>
            <w:gridSpan w:val="2"/>
          </w:tcPr>
          <w:p>
            <w:pPr>
              <w:spacing w:after="0"/>
              <w:rPr>
                <w:rFonts w:ascii="Arial" w:cs="Arial" w:eastAsia="Arial" w:hAnsi="Arial"/>
                <w:sz w:val="18"/>
                <w:szCs w:val="18"/>
                <w:color w:val="0563C1"/>
                <w:w w:val="91"/>
              </w:rPr>
            </w:pPr>
            <w:hyperlink r:id="rId199">
              <w:r>
                <w:rPr>
                  <w:rFonts w:ascii="Arial" w:cs="Arial" w:eastAsia="Arial" w:hAnsi="Arial"/>
                  <w:sz w:val="18"/>
                  <w:szCs w:val="18"/>
                  <w:color w:val="0563C1"/>
                  <w:w w:val="91"/>
                </w:rPr>
                <w:t>Form of Common Stock Certificate</w:t>
              </w:r>
            </w:hyperlink>
          </w:p>
        </w:tc>
        <w:tc>
          <w:tcPr>
            <w:tcW w:w="2020" w:type="dxa"/>
            <w:vAlign w:val="bottom"/>
            <w:tcBorders>
              <w:top w:val="single" w:sz="8" w:color="0563C1"/>
            </w:tcBorders>
            <w:gridSpan w:val="5"/>
          </w:tcPr>
          <w:p>
            <w:pPr>
              <w:spacing w:after="0"/>
              <w:rPr>
                <w:sz w:val="24"/>
                <w:szCs w:val="24"/>
                <w:color w:val="auto"/>
              </w:rPr>
            </w:pPr>
          </w:p>
        </w:tc>
        <w:tc>
          <w:tcPr>
            <w:tcW w:w="5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5080" w:type="dxa"/>
            <w:vAlign w:val="bottom"/>
            <w:gridSpan w:val="12"/>
          </w:tcPr>
          <w:p>
            <w:pPr>
              <w:spacing w:after="0"/>
              <w:rPr>
                <w:rFonts w:ascii="Arial" w:cs="Arial" w:eastAsia="Arial" w:hAnsi="Arial"/>
                <w:sz w:val="18"/>
                <w:szCs w:val="18"/>
                <w:color w:val="0563C1"/>
              </w:rPr>
            </w:pPr>
            <w:hyperlink r:id="rId200">
              <w:r>
                <w:rPr>
                  <w:rFonts w:ascii="Arial" w:cs="Arial" w:eastAsia="Arial" w:hAnsi="Arial"/>
                  <w:sz w:val="18"/>
                  <w:szCs w:val="18"/>
                  <w:color w:val="0563C1"/>
                </w:rPr>
                <w:t>Amended and Restated Registration Rights Agreement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3940" w:type="dxa"/>
            <w:vAlign w:val="bottom"/>
            <w:tcBorders>
              <w:top w:val="single" w:sz="8" w:color="0563C1"/>
            </w:tcBorders>
            <w:gridSpan w:val="6"/>
          </w:tcPr>
          <w:p>
            <w:pPr>
              <w:spacing w:after="0"/>
              <w:rPr>
                <w:rFonts w:ascii="Arial" w:cs="Arial" w:eastAsia="Arial" w:hAnsi="Arial"/>
                <w:sz w:val="18"/>
                <w:szCs w:val="18"/>
                <w:color w:val="0563C1"/>
              </w:rPr>
            </w:pPr>
            <w:hyperlink r:id="rId201">
              <w:r>
                <w:rPr>
                  <w:rFonts w:ascii="Arial" w:cs="Arial" w:eastAsia="Arial" w:hAnsi="Arial"/>
                  <w:sz w:val="18"/>
                  <w:szCs w:val="18"/>
                  <w:color w:val="0563C1"/>
                </w:rPr>
                <w:t>Form of Series A Warrant Agreement #1</w:t>
              </w:r>
            </w:hyperlink>
          </w:p>
        </w:tc>
        <w:tc>
          <w:tcPr>
            <w:tcW w:w="1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20" w:type="dxa"/>
            <w:vAlign w:val="bottom"/>
            <w:gridSpan w:val="3"/>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5080" w:type="dxa"/>
            <w:vAlign w:val="bottom"/>
            <w:gridSpan w:val="12"/>
          </w:tcPr>
          <w:p>
            <w:pPr>
              <w:spacing w:after="0"/>
              <w:rPr>
                <w:rFonts w:ascii="Arial" w:cs="Arial" w:eastAsia="Arial" w:hAnsi="Arial"/>
                <w:sz w:val="18"/>
                <w:szCs w:val="18"/>
                <w:color w:val="0563C1"/>
              </w:rPr>
            </w:pPr>
            <w:hyperlink r:id="rId202">
              <w:r>
                <w:rPr>
                  <w:rFonts w:ascii="Arial" w:cs="Arial" w:eastAsia="Arial" w:hAnsi="Arial"/>
                  <w:sz w:val="18"/>
                  <w:szCs w:val="18"/>
                  <w:color w:val="0563C1"/>
                </w:rPr>
                <w:t>Form of Series A Warrant Agreement #2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20" w:type="dxa"/>
            <w:vAlign w:val="bottom"/>
            <w:gridSpan w:val="3"/>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4800" w:type="dxa"/>
            <w:vAlign w:val="bottom"/>
            <w:tcBorders>
              <w:bottom w:val="single" w:sz="8" w:color="0563C1"/>
            </w:tcBorders>
            <w:gridSpan w:val="9"/>
          </w:tcPr>
          <w:p>
            <w:pPr>
              <w:spacing w:after="0"/>
              <w:rPr>
                <w:rFonts w:ascii="Arial" w:cs="Arial" w:eastAsia="Arial" w:hAnsi="Arial"/>
                <w:sz w:val="18"/>
                <w:szCs w:val="18"/>
                <w:color w:val="0563C1"/>
                <w:w w:val="92"/>
              </w:rPr>
            </w:pPr>
            <w:hyperlink w:anchor="page30">
              <w:r>
                <w:rPr>
                  <w:rFonts w:ascii="Arial" w:cs="Arial" w:eastAsia="Arial" w:hAnsi="Arial"/>
                  <w:sz w:val="18"/>
                  <w:szCs w:val="18"/>
                  <w:color w:val="0563C1"/>
                  <w:w w:val="92"/>
                </w:rPr>
                <w:t>Certification of Principal Executive Officer Pursuant to Rules 13a-</w:t>
              </w:r>
            </w:hyperlink>
          </w:p>
        </w:tc>
        <w:tc>
          <w:tcPr>
            <w:tcW w:w="2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5080" w:type="dxa"/>
            <w:vAlign w:val="bottom"/>
            <w:tcBorders>
              <w:bottom w:val="single" w:sz="8" w:color="0563C1"/>
            </w:tcBorders>
            <w:gridSpan w:val="12"/>
          </w:tcPr>
          <w:p>
            <w:pPr>
              <w:spacing w:after="0" w:line="156" w:lineRule="exact"/>
              <w:rPr>
                <w:rFonts w:ascii="Arial" w:cs="Arial" w:eastAsia="Arial" w:hAnsi="Arial"/>
                <w:sz w:val="18"/>
                <w:szCs w:val="18"/>
                <w:color w:val="0563C1"/>
                <w:w w:val="89"/>
              </w:rPr>
            </w:pPr>
            <w:hyperlink w:anchor="page30">
              <w:r>
                <w:rPr>
                  <w:rFonts w:ascii="Arial" w:cs="Arial" w:eastAsia="Arial" w:hAnsi="Arial"/>
                  <w:sz w:val="18"/>
                  <w:szCs w:val="18"/>
                  <w:color w:val="0563C1"/>
                  <w:w w:val="89"/>
                </w:rPr>
                <w:t>14(a) and 15d-14(a) of the Exchange Act of 1934, as adopted pursuant</w:t>
              </w:r>
            </w:hyperlink>
          </w:p>
        </w:tc>
        <w:tc>
          <w:tcPr>
            <w:tcW w:w="20" w:type="dxa"/>
            <w:vAlign w:val="bottom"/>
            <w:tcBorders>
              <w:bottom w:val="single" w:sz="8" w:color="0563C1"/>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600" w:type="dxa"/>
            <w:vAlign w:val="bottom"/>
            <w:tcBorders>
              <w:bottom w:val="single" w:sz="8" w:color="0563C1"/>
            </w:tcBorders>
            <w:gridSpan w:val="5"/>
          </w:tcPr>
          <w:p>
            <w:pPr>
              <w:spacing w:after="0" w:line="156" w:lineRule="exact"/>
              <w:rPr>
                <w:rFonts w:ascii="Arial" w:cs="Arial" w:eastAsia="Arial" w:hAnsi="Arial"/>
                <w:sz w:val="18"/>
                <w:szCs w:val="18"/>
                <w:color w:val="0563C1"/>
                <w:w w:val="90"/>
              </w:rPr>
            </w:pPr>
            <w:hyperlink w:anchor="page30">
              <w:r>
                <w:rPr>
                  <w:rFonts w:ascii="Arial" w:cs="Arial" w:eastAsia="Arial" w:hAnsi="Arial"/>
                  <w:sz w:val="18"/>
                  <w:szCs w:val="18"/>
                  <w:color w:val="0563C1"/>
                  <w:w w:val="90"/>
                </w:rPr>
                <w:t>to Section 302 of the Sarbanes-Oxley Act of 2002</w:t>
              </w:r>
            </w:hyperlink>
          </w:p>
        </w:tc>
        <w:tc>
          <w:tcPr>
            <w:tcW w:w="14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5080" w:type="dxa"/>
            <w:vAlign w:val="bottom"/>
            <w:gridSpan w:val="12"/>
          </w:tcPr>
          <w:p>
            <w:pPr>
              <w:spacing w:after="0"/>
              <w:rPr>
                <w:rFonts w:ascii="Arial" w:cs="Arial" w:eastAsia="Arial" w:hAnsi="Arial"/>
                <w:sz w:val="18"/>
                <w:szCs w:val="18"/>
                <w:color w:val="0563C1"/>
                <w:w w:val="98"/>
              </w:rPr>
            </w:pPr>
            <w:hyperlink w:anchor="page31">
              <w:r>
                <w:rPr>
                  <w:rFonts w:ascii="Arial" w:cs="Arial" w:eastAsia="Arial" w:hAnsi="Arial"/>
                  <w:sz w:val="18"/>
                  <w:szCs w:val="18"/>
                  <w:color w:val="0563C1"/>
                  <w:w w:val="98"/>
                </w:rPr>
                <w:t>Certification of Principal Financial Officer Pursuant to Rules 13a-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0" w:type="dxa"/>
            <w:vAlign w:val="bottom"/>
            <w:gridSpan w:val="4"/>
            <w:shd w:val="clear" w:color="auto" w:fill="0563C1"/>
          </w:tcPr>
          <w:p>
            <w:pPr>
              <w:spacing w:after="0" w:line="20" w:lineRule="exact"/>
              <w:rPr>
                <w:sz w:val="1"/>
                <w:szCs w:val="1"/>
                <w:color w:val="auto"/>
              </w:rPr>
            </w:pPr>
          </w:p>
        </w:tc>
        <w:tc>
          <w:tcPr>
            <w:tcW w:w="1340" w:type="dxa"/>
            <w:vAlign w:val="bottom"/>
            <w:gridSpan w:val="4"/>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5080" w:type="dxa"/>
            <w:vAlign w:val="bottom"/>
            <w:tcBorders>
              <w:bottom w:val="single" w:sz="8" w:color="0563C1"/>
            </w:tcBorders>
            <w:gridSpan w:val="12"/>
          </w:tcPr>
          <w:p>
            <w:pPr>
              <w:spacing w:after="0" w:line="156" w:lineRule="exact"/>
              <w:rPr>
                <w:rFonts w:ascii="Arial" w:cs="Arial" w:eastAsia="Arial" w:hAnsi="Arial"/>
                <w:sz w:val="18"/>
                <w:szCs w:val="18"/>
                <w:color w:val="0563C1"/>
                <w:w w:val="89"/>
              </w:rPr>
            </w:pPr>
            <w:hyperlink w:anchor="page31">
              <w:r>
                <w:rPr>
                  <w:rFonts w:ascii="Arial" w:cs="Arial" w:eastAsia="Arial" w:hAnsi="Arial"/>
                  <w:sz w:val="18"/>
                  <w:szCs w:val="18"/>
                  <w:color w:val="0563C1"/>
                  <w:w w:val="89"/>
                </w:rPr>
                <w:t>14(a) and 15d-14(a) of the Exchange Act of 1934, as adopted pursuant</w:t>
              </w:r>
            </w:hyperlink>
          </w:p>
        </w:tc>
        <w:tc>
          <w:tcPr>
            <w:tcW w:w="20" w:type="dxa"/>
            <w:vAlign w:val="bottom"/>
            <w:tcBorders>
              <w:bottom w:val="single" w:sz="8" w:color="0563C1"/>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600" w:type="dxa"/>
            <w:vAlign w:val="bottom"/>
            <w:tcBorders>
              <w:bottom w:val="single" w:sz="8" w:color="0563C1"/>
            </w:tcBorders>
            <w:gridSpan w:val="5"/>
          </w:tcPr>
          <w:p>
            <w:pPr>
              <w:spacing w:after="0" w:line="156" w:lineRule="exact"/>
              <w:rPr>
                <w:rFonts w:ascii="Arial" w:cs="Arial" w:eastAsia="Arial" w:hAnsi="Arial"/>
                <w:sz w:val="18"/>
                <w:szCs w:val="18"/>
                <w:color w:val="0563C1"/>
                <w:w w:val="90"/>
              </w:rPr>
            </w:pPr>
            <w:hyperlink w:anchor="page31">
              <w:r>
                <w:rPr>
                  <w:rFonts w:ascii="Arial" w:cs="Arial" w:eastAsia="Arial" w:hAnsi="Arial"/>
                  <w:sz w:val="18"/>
                  <w:szCs w:val="18"/>
                  <w:color w:val="0563C1"/>
                  <w:w w:val="90"/>
                </w:rPr>
                <w:t>to Section 302 of the Sarbanes-Oxley Act of 2002</w:t>
              </w:r>
            </w:hyperlink>
          </w:p>
        </w:tc>
        <w:tc>
          <w:tcPr>
            <w:tcW w:w="14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5080" w:type="dxa"/>
            <w:vAlign w:val="bottom"/>
            <w:gridSpan w:val="12"/>
          </w:tcPr>
          <w:p>
            <w:pPr>
              <w:spacing w:after="0"/>
              <w:rPr>
                <w:rFonts w:ascii="Arial" w:cs="Arial" w:eastAsia="Arial" w:hAnsi="Arial"/>
                <w:sz w:val="18"/>
                <w:szCs w:val="18"/>
                <w:color w:val="0563C1"/>
                <w:w w:val="98"/>
              </w:rPr>
            </w:pPr>
            <w:hyperlink w:anchor="page32">
              <w:r>
                <w:rPr>
                  <w:rFonts w:ascii="Arial" w:cs="Arial" w:eastAsia="Arial" w:hAnsi="Arial"/>
                  <w:sz w:val="18"/>
                  <w:szCs w:val="18"/>
                  <w:color w:val="0563C1"/>
                  <w:w w:val="98"/>
                </w:rPr>
                <w:t>Certification of Principal Executive Officer and Principal Financial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4880" w:type="dxa"/>
            <w:vAlign w:val="bottom"/>
            <w:tcBorders>
              <w:top w:val="single" w:sz="8" w:color="0563C1"/>
              <w:bottom w:val="single" w:sz="8" w:color="0563C1"/>
            </w:tcBorders>
            <w:gridSpan w:val="10"/>
          </w:tcPr>
          <w:p>
            <w:pPr>
              <w:spacing w:after="0" w:line="156" w:lineRule="exact"/>
              <w:rPr>
                <w:rFonts w:ascii="Arial" w:cs="Arial" w:eastAsia="Arial" w:hAnsi="Arial"/>
                <w:sz w:val="18"/>
                <w:szCs w:val="18"/>
                <w:color w:val="0563C1"/>
                <w:w w:val="89"/>
              </w:rPr>
            </w:pPr>
            <w:hyperlink w:anchor="page32">
              <w:r>
                <w:rPr>
                  <w:rFonts w:ascii="Arial" w:cs="Arial" w:eastAsia="Arial" w:hAnsi="Arial"/>
                  <w:sz w:val="18"/>
                  <w:szCs w:val="18"/>
                  <w:color w:val="0563C1"/>
                  <w:w w:val="89"/>
                </w:rPr>
                <w:t>Officer Pursuant to 18 U.S.C. Section 1350, as Adopted Pursuant to</w:t>
              </w:r>
            </w:hyperlink>
          </w:p>
        </w:tc>
        <w:tc>
          <w:tcPr>
            <w:tcW w:w="40" w:type="dxa"/>
            <w:vAlign w:val="bottom"/>
            <w:tcBorders>
              <w:bottom w:val="single" w:sz="8" w:color="0563C1"/>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920" w:type="dxa"/>
            <w:vAlign w:val="bottom"/>
            <w:gridSpan w:val="11"/>
          </w:tcPr>
          <w:p>
            <w:pPr>
              <w:spacing w:after="0" w:line="156" w:lineRule="exact"/>
              <w:rPr>
                <w:rFonts w:ascii="Arial" w:cs="Arial" w:eastAsia="Arial" w:hAnsi="Arial"/>
                <w:sz w:val="18"/>
                <w:szCs w:val="18"/>
                <w:color w:val="0563C1"/>
              </w:rPr>
            </w:pPr>
            <w:hyperlink w:anchor="page32">
              <w:r>
                <w:rPr>
                  <w:rFonts w:ascii="Arial" w:cs="Arial" w:eastAsia="Arial" w:hAnsi="Arial"/>
                  <w:sz w:val="18"/>
                  <w:szCs w:val="18"/>
                  <w:color w:val="0563C1"/>
                </w:rPr>
                <w:t>Section 906 of the Sarbanes-Oxley Act of 2002</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0" w:type="dxa"/>
            <w:vAlign w:val="bottom"/>
            <w:gridSpan w:val="4"/>
            <w:shd w:val="clear" w:color="auto" w:fill="0563C1"/>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080" w:type="dxa"/>
            <w:vAlign w:val="bottom"/>
            <w:gridSpan w:val="12"/>
          </w:tcPr>
          <w:p>
            <w:pPr>
              <w:spacing w:after="0"/>
              <w:rPr>
                <w:sz w:val="20"/>
                <w:szCs w:val="20"/>
                <w:color w:val="auto"/>
              </w:rPr>
            </w:pPr>
            <w:r>
              <w:rPr>
                <w:rFonts w:ascii="Arial" w:cs="Arial" w:eastAsia="Arial" w:hAnsi="Arial"/>
                <w:sz w:val="18"/>
                <w:szCs w:val="18"/>
                <w:color w:val="auto"/>
                <w:w w:val="95"/>
              </w:rPr>
              <w:t>Inline XBRL Instance Document – the instance document does not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080" w:type="dxa"/>
            <w:vAlign w:val="bottom"/>
            <w:gridSpan w:val="12"/>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5080" w:type="dxa"/>
            <w:vAlign w:val="bottom"/>
            <w:gridSpan w:val="12"/>
          </w:tcPr>
          <w:p>
            <w:pPr>
              <w:spacing w:after="0" w:line="189" w:lineRule="exact"/>
              <w:rPr>
                <w:sz w:val="20"/>
                <w:szCs w:val="20"/>
                <w:color w:val="auto"/>
              </w:rPr>
            </w:pPr>
            <w:r>
              <w:rPr>
                <w:rFonts w:ascii="Arial" w:cs="Arial" w:eastAsia="Arial" w:hAnsi="Arial"/>
                <w:sz w:val="18"/>
                <w:szCs w:val="18"/>
                <w:color w:val="auto"/>
              </w:rPr>
              <w:t>embedded within the Inline XBRL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508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5080" w:type="dxa"/>
            <w:vAlign w:val="bottom"/>
            <w:gridSpan w:val="12"/>
          </w:tcPr>
          <w:p>
            <w:pPr>
              <w:spacing w:after="0" w:line="202" w:lineRule="exact"/>
              <w:rPr>
                <w:sz w:val="20"/>
                <w:szCs w:val="20"/>
                <w:color w:val="auto"/>
              </w:rPr>
            </w:pPr>
            <w:r>
              <w:rPr>
                <w:rFonts w:ascii="Arial" w:cs="Arial" w:eastAsia="Arial" w:hAnsi="Arial"/>
                <w:sz w:val="18"/>
                <w:szCs w:val="18"/>
                <w:color w:val="auto"/>
                <w:w w:val="96"/>
              </w:rPr>
              <w:t>Inline XBRL Taxonomy Extension Calculation Linkbase Document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5080" w:type="dxa"/>
            <w:vAlign w:val="bottom"/>
            <w:gridSpan w:val="12"/>
          </w:tcPr>
          <w:p>
            <w:pPr>
              <w:spacing w:after="0" w:line="202" w:lineRule="exact"/>
              <w:rPr>
                <w:sz w:val="20"/>
                <w:szCs w:val="20"/>
                <w:color w:val="auto"/>
              </w:rPr>
            </w:pPr>
            <w:r>
              <w:rPr>
                <w:rFonts w:ascii="Arial" w:cs="Arial" w:eastAsia="Arial" w:hAnsi="Arial"/>
                <w:sz w:val="18"/>
                <w:szCs w:val="18"/>
                <w:color w:val="auto"/>
                <w:w w:val="98"/>
              </w:rPr>
              <w:t>Inline XBRL Taxonomy Extension Definition Linkbase Document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508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080" w:type="dxa"/>
            <w:vAlign w:val="bottom"/>
            <w:gridSpan w:val="12"/>
          </w:tcPr>
          <w:p>
            <w:pPr>
              <w:spacing w:after="0"/>
              <w:rPr>
                <w:sz w:val="20"/>
                <w:szCs w:val="20"/>
                <w:color w:val="auto"/>
              </w:rPr>
            </w:pPr>
            <w:r>
              <w:rPr>
                <w:rFonts w:ascii="Arial" w:cs="Arial" w:eastAsia="Arial" w:hAnsi="Arial"/>
                <w:sz w:val="18"/>
                <w:szCs w:val="18"/>
                <w:color w:val="auto"/>
                <w:w w:val="94"/>
              </w:rPr>
              <w:t>Inline XBRL Taxonomy Extension Presentation Linkbase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040" w:right="20" w:hanging="1019"/>
        <w:spacing w:after="0" w:line="268" w:lineRule="auto"/>
        <w:tabs>
          <w:tab w:leader="none" w:pos="104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15240</wp:posOffset>
            </wp:positionV>
            <wp:extent cx="31629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jc w:val="center"/>
              <w:ind w:right="193"/>
              <w:spacing w:after="0"/>
              <w:rPr>
                <w:sz w:val="20"/>
                <w:szCs w:val="20"/>
                <w:color w:val="auto"/>
              </w:rPr>
            </w:pPr>
            <w:r>
              <w:rPr>
                <w:rFonts w:ascii="Arial" w:cs="Arial" w:eastAsia="Arial" w:hAnsi="Arial"/>
                <w:sz w:val="14"/>
                <w:szCs w:val="14"/>
                <w:b w:val="1"/>
                <w:bCs w:val="1"/>
                <w:color w:val="auto"/>
                <w:w w:val="97"/>
              </w:rPr>
              <w:t>Form</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580" w:type="dxa"/>
            <w:vAlign w:val="bottom"/>
          </w:tcPr>
          <w:p>
            <w:pPr>
              <w:jc w:val="center"/>
              <w:ind w:left="153"/>
              <w:spacing w:after="0"/>
              <w:rPr>
                <w:sz w:val="20"/>
                <w:szCs w:val="20"/>
                <w:color w:val="auto"/>
              </w:rPr>
            </w:pPr>
            <w:r>
              <w:rPr>
                <w:rFonts w:ascii="Arial" w:cs="Arial" w:eastAsia="Arial" w:hAnsi="Arial"/>
                <w:sz w:val="14"/>
                <w:szCs w:val="14"/>
                <w:b w:val="1"/>
                <w:bCs w:val="1"/>
                <w:color w:val="auto"/>
                <w:w w:val="97"/>
              </w:rPr>
              <w:t>Filing Date</w:t>
            </w:r>
          </w:p>
        </w:tc>
      </w:tr>
      <w:tr>
        <w:trPr>
          <w:trHeight w:val="350"/>
        </w:trPr>
        <w:tc>
          <w:tcPr>
            <w:tcW w:w="700" w:type="dxa"/>
            <w:vAlign w:val="bottom"/>
          </w:tcPr>
          <w:p>
            <w:pPr>
              <w:jc w:val="center"/>
              <w:ind w:right="193"/>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80" w:type="dxa"/>
            <w:vAlign w:val="bottom"/>
          </w:tcPr>
          <w:p>
            <w:pPr>
              <w:jc w:val="center"/>
              <w:ind w:left="153"/>
              <w:spacing w:after="0"/>
              <w:rPr>
                <w:sz w:val="20"/>
                <w:szCs w:val="20"/>
                <w:color w:val="auto"/>
              </w:rPr>
            </w:pPr>
            <w:r>
              <w:rPr>
                <w:rFonts w:ascii="Arial" w:cs="Arial" w:eastAsia="Arial" w:hAnsi="Arial"/>
                <w:sz w:val="18"/>
                <w:szCs w:val="18"/>
                <w:color w:val="auto"/>
                <w:w w:val="87"/>
              </w:rPr>
              <w:t>September 9, 2020</w:t>
            </w:r>
          </w:p>
        </w:tc>
      </w:tr>
      <w:tr>
        <w:trPr>
          <w:trHeight w:val="499"/>
        </w:trPr>
        <w:tc>
          <w:tcPr>
            <w:tcW w:w="700" w:type="dxa"/>
            <w:vAlign w:val="bottom"/>
          </w:tcPr>
          <w:p>
            <w:pPr>
              <w:jc w:val="center"/>
              <w:ind w:right="193"/>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80" w:type="dxa"/>
            <w:vAlign w:val="bottom"/>
          </w:tcPr>
          <w:p>
            <w:pPr>
              <w:jc w:val="center"/>
              <w:ind w:left="153"/>
              <w:spacing w:after="0"/>
              <w:rPr>
                <w:sz w:val="20"/>
                <w:szCs w:val="20"/>
                <w:color w:val="auto"/>
              </w:rPr>
            </w:pPr>
            <w:r>
              <w:rPr>
                <w:rFonts w:ascii="Arial" w:cs="Arial" w:eastAsia="Arial" w:hAnsi="Arial"/>
                <w:sz w:val="18"/>
                <w:szCs w:val="18"/>
                <w:color w:val="auto"/>
                <w:w w:val="87"/>
              </w:rPr>
              <w:t>September 9, 2020</w:t>
            </w:r>
          </w:p>
        </w:tc>
      </w:tr>
      <w:tr>
        <w:trPr>
          <w:trHeight w:val="338"/>
        </w:trPr>
        <w:tc>
          <w:tcPr>
            <w:tcW w:w="700" w:type="dxa"/>
            <w:vAlign w:val="bottom"/>
          </w:tcPr>
          <w:p>
            <w:pPr>
              <w:jc w:val="center"/>
              <w:ind w:right="193"/>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80" w:type="dxa"/>
            <w:vAlign w:val="bottom"/>
          </w:tcPr>
          <w:p>
            <w:pPr>
              <w:jc w:val="center"/>
              <w:ind w:left="153"/>
              <w:spacing w:after="0"/>
              <w:rPr>
                <w:sz w:val="20"/>
                <w:szCs w:val="20"/>
                <w:color w:val="auto"/>
              </w:rPr>
            </w:pPr>
            <w:r>
              <w:rPr>
                <w:rFonts w:ascii="Arial" w:cs="Arial" w:eastAsia="Arial" w:hAnsi="Arial"/>
                <w:sz w:val="18"/>
                <w:szCs w:val="18"/>
                <w:color w:val="auto"/>
                <w:w w:val="87"/>
              </w:rPr>
              <w:t>September 9, 2020</w:t>
            </w:r>
          </w:p>
        </w:tc>
      </w:tr>
      <w:tr>
        <w:trPr>
          <w:trHeight w:val="338"/>
        </w:trPr>
        <w:tc>
          <w:tcPr>
            <w:tcW w:w="700" w:type="dxa"/>
            <w:vAlign w:val="bottom"/>
          </w:tcPr>
          <w:p>
            <w:pPr>
              <w:jc w:val="center"/>
              <w:ind w:right="193"/>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80" w:type="dxa"/>
            <w:vAlign w:val="bottom"/>
          </w:tcPr>
          <w:p>
            <w:pPr>
              <w:jc w:val="center"/>
              <w:ind w:left="153"/>
              <w:spacing w:after="0"/>
              <w:rPr>
                <w:sz w:val="20"/>
                <w:szCs w:val="20"/>
                <w:color w:val="auto"/>
              </w:rPr>
            </w:pPr>
            <w:r>
              <w:rPr>
                <w:rFonts w:ascii="Arial" w:cs="Arial" w:eastAsia="Arial" w:hAnsi="Arial"/>
                <w:sz w:val="18"/>
                <w:szCs w:val="18"/>
                <w:color w:val="auto"/>
                <w:w w:val="89"/>
              </w:rPr>
              <w:t>August 21, 2020</w:t>
            </w:r>
          </w:p>
        </w:tc>
      </w:tr>
      <w:tr>
        <w:trPr>
          <w:trHeight w:val="338"/>
        </w:trPr>
        <w:tc>
          <w:tcPr>
            <w:tcW w:w="700" w:type="dxa"/>
            <w:vAlign w:val="bottom"/>
          </w:tcPr>
          <w:p>
            <w:pPr>
              <w:jc w:val="center"/>
              <w:ind w:right="193"/>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580" w:type="dxa"/>
            <w:vAlign w:val="bottom"/>
          </w:tcPr>
          <w:p>
            <w:pPr>
              <w:jc w:val="center"/>
              <w:ind w:left="153"/>
              <w:spacing w:after="0"/>
              <w:rPr>
                <w:sz w:val="20"/>
                <w:szCs w:val="20"/>
                <w:color w:val="auto"/>
              </w:rPr>
            </w:pPr>
            <w:r>
              <w:rPr>
                <w:rFonts w:ascii="Arial" w:cs="Arial" w:eastAsia="Arial" w:hAnsi="Arial"/>
                <w:sz w:val="18"/>
                <w:szCs w:val="18"/>
                <w:color w:val="auto"/>
                <w:w w:val="89"/>
              </w:rPr>
              <w:t>August 21, 2020</w:t>
            </w:r>
          </w:p>
        </w:tc>
      </w:tr>
      <w:tr>
        <w:trPr>
          <w:trHeight w:val="338"/>
        </w:trPr>
        <w:tc>
          <w:tcPr>
            <w:tcW w:w="700" w:type="dxa"/>
            <w:vAlign w:val="bottom"/>
          </w:tcPr>
          <w:p>
            <w:pPr>
              <w:jc w:val="center"/>
              <w:ind w:right="193"/>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580" w:type="dxa"/>
            <w:vAlign w:val="bottom"/>
          </w:tcPr>
          <w:p>
            <w:pPr>
              <w:jc w:val="center"/>
              <w:ind w:left="153"/>
              <w:spacing w:after="0"/>
              <w:rPr>
                <w:sz w:val="20"/>
                <w:szCs w:val="20"/>
                <w:color w:val="auto"/>
              </w:rPr>
            </w:pPr>
            <w:r>
              <w:rPr>
                <w:rFonts w:ascii="Arial" w:cs="Arial" w:eastAsia="Arial" w:hAnsi="Arial"/>
                <w:sz w:val="18"/>
                <w:szCs w:val="18"/>
                <w:color w:val="auto"/>
                <w:w w:val="89"/>
              </w:rPr>
              <w:t>August 21, 2020</w:t>
            </w:r>
          </w:p>
        </w:tc>
      </w:tr>
    </w:tbl>
    <w:p>
      <w:pPr>
        <w:sectPr>
          <w:pgSz w:w="11900" w:h="16838" w:orient="portrait"/>
          <w:cols w:equalWidth="0" w:num="2">
            <w:col w:w="6140" w:space="320"/>
            <w:col w:w="4620"/>
          </w:cols>
          <w:pgMar w:left="320" w:top="324" w:right="499" w:bottom="1440" w:gutter="0" w:footer="0" w:header="0"/>
        </w:sectPr>
      </w:pPr>
    </w:p>
    <w:bookmarkStart w:id="28" w:name="page29"/>
    <w:bookmarkEnd w:id="28"/>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Outset Medical, Inc.</w:t>
      </w:r>
    </w:p>
    <w:p>
      <w:pPr>
        <w:spacing w:after="0" w:line="171" w:lineRule="exact"/>
        <w:rPr>
          <w:sz w:val="20"/>
          <w:szCs w:val="20"/>
          <w:color w:val="auto"/>
        </w:rPr>
      </w:pPr>
    </w:p>
    <w:p>
      <w:pPr>
        <w:ind w:left="5440" w:right="1700" w:hanging="8092"/>
        <w:spacing w:after="0"/>
        <w:tabs>
          <w:tab w:leader="none" w:pos="542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 /s/ Leslie Trigg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-16510</wp:posOffset>
            </wp:positionV>
            <wp:extent cx="34118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12"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President and Chief Executive Officer</w:t>
      </w:r>
    </w:p>
    <w:p>
      <w:pPr>
        <w:jc w:val="center"/>
        <w:ind w:left="5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55" w:lineRule="exact"/>
        <w:rPr>
          <w:sz w:val="20"/>
          <w:szCs w:val="20"/>
          <w:color w:val="auto"/>
        </w:rPr>
      </w:pPr>
    </w:p>
    <w:p>
      <w:pPr>
        <w:ind w:left="5440" w:right="1600" w:hanging="7989"/>
        <w:spacing w:after="0" w:line="243" w:lineRule="auto"/>
        <w:tabs>
          <w:tab w:leader="none" w:pos="542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 /s/ Nabeel Ahmed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-16510</wp:posOffset>
            </wp:positionV>
            <wp:extent cx="34118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9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Chief Financial Officer</w:t>
      </w:r>
    </w:p>
    <w:p>
      <w:pPr>
        <w:jc w:val="center"/>
        <w:ind w:left="5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39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Leslie Trigg, certify that:</w:t>
      </w:r>
    </w:p>
    <w:p>
      <w:pPr>
        <w:spacing w:after="0" w:line="185" w:lineRule="exact"/>
        <w:rPr>
          <w:sz w:val="20"/>
          <w:szCs w:val="20"/>
          <w:color w:val="auto"/>
        </w:rPr>
      </w:pPr>
    </w:p>
    <w:p>
      <w:pPr>
        <w:ind w:left="760" w:hanging="75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Outset Medical, Inc.;</w:t>
      </w:r>
    </w:p>
    <w:p>
      <w:pPr>
        <w:spacing w:after="0" w:line="171" w:lineRule="exact"/>
        <w:rPr>
          <w:rFonts w:ascii="Arial" w:cs="Arial" w:eastAsia="Arial" w:hAnsi="Arial"/>
          <w:sz w:val="18"/>
          <w:szCs w:val="18"/>
          <w:color w:val="auto"/>
        </w:rPr>
      </w:pPr>
    </w:p>
    <w:p>
      <w:pPr>
        <w:jc w:val="both"/>
        <w:ind w:left="760" w:hanging="752"/>
        <w:spacing w:after="0" w:line="24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760" w:hanging="752"/>
        <w:spacing w:after="0" w:line="291"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760" w:hanging="752"/>
        <w:spacing w:after="0" w:line="24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500" w:hanging="743"/>
        <w:spacing w:after="0" w:line="24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760" w:hanging="752"/>
        <w:spacing w:after="0" w:line="324"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500" w:hanging="743"/>
        <w:spacing w:after="0" w:line="291" w:lineRule="auto"/>
        <w:tabs>
          <w:tab w:leader="none" w:pos="1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500" w:hanging="743"/>
        <w:spacing w:after="0" w:line="261"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80" w:val="left"/>
          <w:tab w:leader="none" w:pos="866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5546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Leslie Trigg</w:t>
      </w:r>
    </w:p>
    <w:p>
      <w:pPr>
        <w:ind w:left="8360"/>
        <w:spacing w:after="0" w:line="203" w:lineRule="auto"/>
        <w:rPr>
          <w:sz w:val="20"/>
          <w:szCs w:val="20"/>
          <w:color w:val="auto"/>
        </w:rPr>
      </w:pPr>
      <w:r>
        <w:rPr>
          <w:rFonts w:ascii="Arial" w:cs="Arial" w:eastAsia="Arial" w:hAnsi="Arial"/>
          <w:sz w:val="18"/>
          <w:szCs w:val="18"/>
          <w:color w:val="auto"/>
        </w:rPr>
        <w:t>Chief Executive Officer</w:t>
      </w: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Nabeel Ahmed, certify that:</w:t>
      </w:r>
    </w:p>
    <w:p>
      <w:pPr>
        <w:spacing w:after="0" w:line="185"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Outset Medical, Inc.;</w:t>
      </w:r>
    </w:p>
    <w:p>
      <w:pPr>
        <w:spacing w:after="0" w:line="171" w:lineRule="exact"/>
        <w:rPr>
          <w:rFonts w:ascii="Arial" w:cs="Arial" w:eastAsia="Arial" w:hAnsi="Arial"/>
          <w:sz w:val="18"/>
          <w:szCs w:val="18"/>
          <w:color w:val="auto"/>
        </w:rPr>
      </w:pPr>
    </w:p>
    <w:p>
      <w:pPr>
        <w:jc w:val="both"/>
        <w:ind w:left="760" w:hanging="752"/>
        <w:spacing w:after="0" w:line="248"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760" w:hanging="752"/>
        <w:spacing w:after="0" w:line="291"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760" w:hanging="752"/>
        <w:spacing w:after="0" w:line="248"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500" w:hanging="743"/>
        <w:spacing w:after="0" w:line="248"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760" w:hanging="752"/>
        <w:spacing w:after="0" w:line="324"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500" w:hanging="743"/>
        <w:spacing w:after="0" w:line="291" w:lineRule="auto"/>
        <w:tabs>
          <w:tab w:leader="none" w:pos="1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500" w:hanging="743"/>
        <w:spacing w:after="0" w:line="261"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80" w:val="left"/>
          <w:tab w:leader="none" w:pos="856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5546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Nabeel Ahmed</w:t>
      </w:r>
    </w:p>
    <w:p>
      <w:pPr>
        <w:ind w:left="8400"/>
        <w:spacing w:after="0" w:line="203" w:lineRule="auto"/>
        <w:rPr>
          <w:sz w:val="20"/>
          <w:szCs w:val="20"/>
          <w:color w:val="auto"/>
        </w:rPr>
      </w:pPr>
      <w:r>
        <w:rPr>
          <w:rFonts w:ascii="Arial" w:cs="Arial" w:eastAsia="Arial" w:hAnsi="Arial"/>
          <w:sz w:val="18"/>
          <w:szCs w:val="18"/>
          <w:color w:val="auto"/>
        </w:rPr>
        <w:t>Chief Financial Officer</w:t>
      </w: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In connection with the Quarterly Report of Outset Medical, Inc. (the “Company”) on Form 10-Q for the period ending June 30, 2022, as filed with the Securities and Exchange Commission on the date hereof (the “Report”), each of the undersigned certifies, pursuant to 18 U.S.C. §1350, as adopted pursuant to §906 of the Sarbanes-Oxley Act of 2002, that, to her/his knowledge:</w:t>
      </w:r>
    </w:p>
    <w:p>
      <w:pPr>
        <w:spacing w:after="0" w:line="141"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the Company.</w:t>
      </w:r>
    </w:p>
    <w:p>
      <w:pPr>
        <w:spacing w:after="0" w:line="221" w:lineRule="exact"/>
        <w:rPr>
          <w:sz w:val="20"/>
          <w:szCs w:val="20"/>
          <w:color w:val="auto"/>
        </w:rPr>
      </w:pPr>
    </w:p>
    <w:p>
      <w:pPr>
        <w:ind w:left="20"/>
        <w:spacing w:after="0"/>
        <w:tabs>
          <w:tab w:leader="none" w:pos="4520" w:val="left"/>
          <w:tab w:leader="none" w:pos="5180" w:val="left"/>
        </w:tabs>
        <w:rPr>
          <w:sz w:val="20"/>
          <w:szCs w:val="20"/>
          <w:color w:val="auto"/>
        </w:rPr>
      </w:pPr>
      <w:r>
        <w:rPr>
          <w:rFonts w:ascii="Arial" w:cs="Arial" w:eastAsia="Arial" w:hAnsi="Arial"/>
          <w:sz w:val="18"/>
          <w:szCs w:val="18"/>
          <w:color w:val="auto"/>
        </w:rPr>
        <w:t>August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6350</wp:posOffset>
            </wp:positionV>
            <wp:extent cx="38487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Leslie Trigg</w:t>
      </w:r>
    </w:p>
    <w:p>
      <w:pPr>
        <w:ind w:left="52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82" w:lineRule="exact"/>
        <w:rPr>
          <w:sz w:val="20"/>
          <w:szCs w:val="20"/>
          <w:color w:val="auto"/>
        </w:rPr>
      </w:pPr>
    </w:p>
    <w:p>
      <w:pPr>
        <w:ind w:left="20"/>
        <w:spacing w:after="0"/>
        <w:tabs>
          <w:tab w:leader="none" w:pos="4520" w:val="left"/>
          <w:tab w:leader="none" w:pos="5160" w:val="left"/>
        </w:tabs>
        <w:rPr>
          <w:sz w:val="20"/>
          <w:szCs w:val="20"/>
          <w:color w:val="auto"/>
        </w:rPr>
      </w:pPr>
      <w:r>
        <w:rPr>
          <w:rFonts w:ascii="Arial" w:cs="Arial" w:eastAsia="Arial" w:hAnsi="Arial"/>
          <w:sz w:val="18"/>
          <w:szCs w:val="18"/>
          <w:color w:val="auto"/>
        </w:rPr>
        <w:t>August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6350</wp:posOffset>
            </wp:positionV>
            <wp:extent cx="38576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Nabeel Ahmed</w:t>
      </w:r>
    </w:p>
    <w:p>
      <w:pPr>
        <w:ind w:left="51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6"/>
    </w:lvl>
  </w:abstractNum>
  <w:abstractNum w:abstractNumId="4">
    <w:nsid w:val="7545E146"/>
    <w:multiLevelType w:val="hybridMultilevel"/>
    <w:lvl w:ilvl="0">
      <w:lvlJc w:val="left"/>
      <w:lvlText w:val="%1."/>
      <w:numFmt w:val="decimal"/>
      <w:start w:val="8"/>
    </w:lvl>
  </w:abstractNum>
  <w:abstractNum w:abstractNumId="5">
    <w:nsid w:val="515F007C"/>
    <w:multiLevelType w:val="hybridMultilevel"/>
    <w:lvl w:ilvl="0">
      <w:lvlJc w:val="left"/>
      <w:lvlText w:val="%1"/>
      <w:numFmt w:val="upperLetter"/>
      <w:start w:val="35"/>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
      <w:numFmt w:val="bullet"/>
      <w:start w:val="1"/>
    </w:lvl>
    <w:lvl w:ilvl="1">
      <w:lvlJc w:val="left"/>
      <w:lvlText w:val="%2"/>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197" Type="http://schemas.openxmlformats.org/officeDocument/2006/relationships/hyperlink" Target="https://www.sec.gov/Archives/edgar/data/1484612/000119312520241516/d941853dex31.htm" TargetMode="External"/><Relationship Id="rId198" Type="http://schemas.openxmlformats.org/officeDocument/2006/relationships/hyperlink" Target="https://www.sec.gov/Archives/edgar/data/1484612/000119312520241516/d941853dex32.htm" TargetMode="External"/><Relationship Id="rId199" Type="http://schemas.openxmlformats.org/officeDocument/2006/relationships/hyperlink" Target="https://www.sec.gov/Archives/edgar/data/1484612/000119312520241516/d941853dex41.htm" TargetMode="External"/><Relationship Id="rId200" Type="http://schemas.openxmlformats.org/officeDocument/2006/relationships/hyperlink" Target="https://www.sec.gov/Archives/edgar/data/1484612/000119312520226746/d941853dex42.htm" TargetMode="External"/><Relationship Id="rId201" Type="http://schemas.openxmlformats.org/officeDocument/2006/relationships/hyperlink" Target="https://www.sec.gov/Archives/edgar/data/1484612/000119312520226746/d941853dex43.htm" TargetMode="External"/><Relationship Id="rId202" Type="http://schemas.openxmlformats.org/officeDocument/2006/relationships/hyperlink" Target="https://www.sec.gov/Archives/edgar/data/1484612/000119312520226746/d94185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2022-08-02T15:15:54Z</dcterms:created>
  <dcterms:modified xsi:type="dcterms:W3CDTF">2022-08-02T15:15:54Z</dcterms:modified>
</cp:coreProperties>
</file>