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480" w:hanging="3812"/>
        <w:spacing w:after="0" w:line="365" w:lineRule="auto"/>
        <w:tabs>
          <w:tab w:leader="none" w:pos="5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3872865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20"/>
        <w:spacing w:after="0" w:line="229"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35"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6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95134</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5"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7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6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2, 2025, the registrant had 17,722,310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9440" w:type="dxa"/>
            <w:vAlign w:val="bottom"/>
            <w:gridSpan w:val="17"/>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Balance Sheets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Comprehensive Loss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Convertible Preferred Stock and Stockholders’ Equity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1420" w:type="dxa"/>
            <w:vAlign w:val="bottom"/>
            <w:tcBorders>
              <w:left w:val="single" w:sz="8" w:color="0563C1"/>
            </w:tcBorders>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Notes to Condensed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gridSpan w:val="4"/>
            <w:shd w:val="clear" w:color="auto" w:fill="0563C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2120" w:type="dxa"/>
            <w:vAlign w:val="bottom"/>
            <w:tcBorders>
              <w:left w:val="single" w:sz="8" w:color="0563C1"/>
            </w:tcBorders>
            <w:gridSpan w:val="2"/>
            <w:shd w:val="clear" w:color="auto" w:fill="0563C1"/>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tcBorders>
              <w:left w:val="single" w:sz="8" w:color="0563C1"/>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20" w:type="dxa"/>
            <w:vAlign w:val="bottom"/>
          </w:tcPr>
          <w:p>
            <w:pPr>
              <w:spacing w:after="0"/>
              <w:rPr>
                <w:sz w:val="17"/>
                <w:szCs w:val="17"/>
                <w:color w:val="auto"/>
              </w:rPr>
            </w:pPr>
          </w:p>
        </w:tc>
        <w:tc>
          <w:tcPr>
            <w:tcW w:w="580" w:type="dxa"/>
            <w:vAlign w:val="bottom"/>
            <w:tcBorders>
              <w:top w:val="single" w:sz="8" w:color="0563C1"/>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215"/>
        </w:trPr>
        <w:tc>
          <w:tcPr>
            <w:tcW w:w="760" w:type="dxa"/>
            <w:vAlign w:val="bottom"/>
            <w:tcBorders>
              <w:top w:val="single" w:sz="8" w:color="0563C1"/>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75,928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124,014</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34,671</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35,619</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59,387</w:t>
            </w: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286,561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258,221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301,211</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275,795</w:t>
            </w:r>
          </w:p>
        </w:tc>
      </w:tr>
      <w:tr>
        <w:trPr>
          <w:trHeight w:val="197"/>
        </w:trPr>
        <w:tc>
          <w:tcPr>
            <w:tcW w:w="7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3,862</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8,241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16,821</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8,205</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12,753</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197,375</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131,343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248,976</w:t>
            </w: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shares authorized as of March 31, 2025 and December 31,</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21 and 0 shares issued and outstanding as of March 31, 2025 and December 31, 2024,</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 shares authorized as of March 31, 2025 and December 31,</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17,722 and 3,530 shares issued and outstanding as of March 31, 2025 and December 31, 2024,</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1,281,427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1,116,496</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(1,115,506)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(1,089,723)</w:t>
            </w: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169,868</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301,211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275,795</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-4636770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-3796665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-3779520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20" w:type="dxa"/>
            <w:vAlign w:val="bottom"/>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9"/>
        </w:trPr>
        <w:tc>
          <w:tcPr>
            <w:tcW w:w="7620" w:type="dxa"/>
            <w:vAlign w:val="bottom"/>
          </w:tcPr>
          <w:p>
            <w:pPr>
              <w:spacing w:after="0"/>
              <w:rPr>
                <w:sz w:val="24"/>
                <w:szCs w:val="24"/>
                <w:color w:val="auto"/>
              </w:rPr>
            </w:pPr>
          </w:p>
        </w:tc>
        <w:tc>
          <w:tcPr>
            <w:tcW w:w="27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8"/>
        </w:trPr>
        <w:tc>
          <w:tcPr>
            <w:tcW w:w="7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7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8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2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8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 of revenue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280" w:type="dxa"/>
            <w:vAlign w:val="bottom"/>
          </w:tcPr>
          <w:p>
            <w:pPr>
              <w:spacing w:after="0"/>
              <w:rPr>
                <w:sz w:val="18"/>
                <w:szCs w:val="18"/>
                <w:color w:val="auto"/>
              </w:rPr>
            </w:pPr>
          </w:p>
        </w:tc>
      </w:tr>
      <w:tr>
        <w:trPr>
          <w:trHeight w:val="20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8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280" w:type="dxa"/>
            <w:vAlign w:val="bottom"/>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(36,912)</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8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(5,968)</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(39,782)</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(25,783)</w:t>
            </w: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(39,944)</w:t>
            </w: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w:t>
            </w:r>
          </w:p>
        </w:tc>
      </w:tr>
      <w:tr>
        <w:trPr>
          <w:trHeight w:val="20"/>
        </w:trPr>
        <w:tc>
          <w:tcPr>
            <w:tcW w:w="7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76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7,038</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3,393</w:t>
            </w:r>
          </w:p>
        </w:tc>
        <w:tc>
          <w:tcPr>
            <w:tcW w:w="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-3016885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-3016885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-2459990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-2459990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-1619250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-488315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-471170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-488315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-471170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(25,783)</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(39,944)</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7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(40,270)</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620" w:type="dxa"/>
            <w:vAlign w:val="bottom"/>
            <w:gridSpan w:val="3"/>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0" w:type="dxa"/>
            <w:vAlign w:val="bottom"/>
            <w:gridSpan w:val="6"/>
            <w:vMerge w:val="continue"/>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2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93"/>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9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3,530</w:t>
            </w:r>
          </w:p>
        </w:tc>
        <w:tc>
          <w:tcPr>
            <w:tcW w:w="820" w:type="dxa"/>
            <w:vAlign w:val="bottom"/>
            <w:gridSpan w:val="2"/>
            <w:shd w:val="clear" w:color="auto" w:fill="CFF0FC"/>
          </w:tcPr>
          <w:p>
            <w:pPr>
              <w:jc w:val="right"/>
              <w:ind w:right="4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1,116,496</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w:t>
            </w:r>
          </w:p>
        </w:tc>
        <w:tc>
          <w:tcPr>
            <w:tcW w:w="36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(1,089,723)</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26,819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Series A convertible preferred stock,</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161,071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Conversion of convertible preferred stock to common stock</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(157,230)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14,046</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14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157,216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of common stock warrant, net of issuance costs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common stock through employee stock</w:t>
            </w: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of common stock for settlement of RSUs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(25,783)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(25,783)</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3,841</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17,722</w:t>
            </w:r>
          </w:p>
        </w:tc>
        <w:tc>
          <w:tcPr>
            <w:tcW w:w="820" w:type="dxa"/>
            <w:vAlign w:val="bottom"/>
            <w:gridSpan w:val="2"/>
          </w:tcPr>
          <w:p>
            <w:pPr>
              <w:jc w:val="right"/>
              <w:ind w:right="4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18</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1,281,427</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88</w:t>
            </w:r>
          </w:p>
        </w:tc>
        <w:tc>
          <w:tcPr>
            <w:tcW w:w="3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(1,115,506)</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169,868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-128270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-128270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-128270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-128270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-128270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-128270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-128270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520" w:type="dxa"/>
            <w:vAlign w:val="bottom"/>
            <w:gridSpan w:val="4"/>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Convertible Series A</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980" w:type="dxa"/>
            <w:vAlign w:val="bottom"/>
            <w:gridSpan w:val="3"/>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Comprehens</w:t>
            </w:r>
          </w:p>
        </w:tc>
        <w:tc>
          <w:tcPr>
            <w:tcW w:w="900" w:type="dxa"/>
            <w:vAlign w:val="bottom"/>
            <w:gridSpan w:val="3"/>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2"/>
                <w:szCs w:val="12"/>
                <w:color w:val="auto"/>
              </w:rPr>
            </w:pPr>
          </w:p>
        </w:tc>
        <w:tc>
          <w:tcPr>
            <w:tcW w:w="90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ive</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00"/>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8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3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3,354</w:t>
            </w:r>
          </w:p>
        </w:tc>
        <w:tc>
          <w:tcPr>
            <w:tcW w:w="840" w:type="dxa"/>
            <w:vAlign w:val="bottom"/>
            <w:gridSpan w:val="2"/>
            <w:shd w:val="clear" w:color="auto" w:fill="CFF0FC"/>
          </w:tcPr>
          <w:p>
            <w:pPr>
              <w:jc w:val="right"/>
              <w:ind w:right="4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1,084,562</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(961,747)</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122,886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4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color w:val="auto"/>
              </w:rPr>
              <w:t>Issuance of common stock through employee stock</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Issuance of common stock for settlement of RSUs</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Stock option exercises</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(326)</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(39,944)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(39,944)</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6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3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3,446</w:t>
            </w:r>
          </w:p>
        </w:tc>
        <w:tc>
          <w:tcPr>
            <w:tcW w:w="840" w:type="dxa"/>
            <w:vAlign w:val="bottom"/>
            <w:gridSpan w:val="2"/>
          </w:tcPr>
          <w:p>
            <w:pPr>
              <w:jc w:val="right"/>
              <w:ind w:right="4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1,095,145</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(258)</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(1,001,691)</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93,200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-128270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-128270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-128270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-128270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70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(25,783)</w:t>
            </w:r>
          </w:p>
        </w:tc>
        <w:tc>
          <w:tcPr>
            <w:tcW w:w="11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(39,944)</w:t>
            </w: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premium on investments, net</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(1,577)</w:t>
            </w: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Provision for inventories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(3,497)</w:t>
            </w:r>
          </w:p>
        </w:tc>
      </w:tr>
      <w:tr>
        <w:trPr>
          <w:trHeight w:val="203"/>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(6,981)</w:t>
            </w:r>
          </w:p>
        </w:tc>
      </w:tr>
      <w:tr>
        <w:trPr>
          <w:trHeight w:val="203"/>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r>
      <w:tr>
        <w:trPr>
          <w:trHeight w:val="203"/>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compensation and related benefits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(4,462)</w:t>
            </w:r>
          </w:p>
        </w:tc>
      </w:tr>
      <w:tr>
        <w:trPr>
          <w:trHeight w:val="203"/>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(1,367)</w:t>
            </w:r>
          </w:p>
        </w:tc>
      </w:tr>
      <w:tr>
        <w:trPr>
          <w:trHeight w:val="203"/>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warranty liability</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(512)</w:t>
            </w:r>
          </w:p>
        </w:tc>
      </w:tr>
      <w:tr>
        <w:trPr>
          <w:trHeight w:val="203"/>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(379)</w:t>
            </w:r>
          </w:p>
        </w:tc>
      </w:tr>
      <w:tr>
        <w:trPr>
          <w:trHeight w:val="203"/>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interest</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(25,663)</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(45,912)</w:t>
            </w:r>
          </w:p>
        </w:tc>
      </w:tr>
      <w:tr>
        <w:trPr>
          <w:trHeight w:val="196"/>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4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(354)</w:t>
            </w: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(96,331)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(98,652)</w:t>
            </w: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and maturities of investment securities</w:t>
            </w:r>
          </w:p>
        </w:tc>
        <w:tc>
          <w:tcPr>
            <w:tcW w:w="74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39,975</w:t>
            </w:r>
          </w:p>
        </w:tc>
        <w:tc>
          <w:tcPr>
            <w:tcW w:w="100" w:type="dxa"/>
            <w:vAlign w:val="bottom"/>
            <w:shd w:val="clear" w:color="auto" w:fill="CFF0FC"/>
          </w:tcPr>
          <w:p>
            <w:pPr>
              <w:spacing w:after="0"/>
              <w:rPr>
                <w:sz w:val="17"/>
                <w:szCs w:val="17"/>
                <w:color w:val="auto"/>
              </w:rPr>
            </w:pPr>
          </w:p>
        </w:tc>
      </w:tr>
      <w:tr>
        <w:trPr>
          <w:trHeight w:val="196"/>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(59,031)</w:t>
            </w: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exercises and ESPP purchases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term loans, net of issuance costs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98,270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66,524</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term loan and extinguishment costs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(204,954)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Series A convertible preferred stock,</w:t>
            </w:r>
          </w:p>
        </w:tc>
        <w:tc>
          <w:tcPr>
            <w:tcW w:w="7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of issuance costs</w:t>
            </w:r>
          </w:p>
        </w:tc>
        <w:tc>
          <w:tcPr>
            <w:tcW w:w="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740" w:type="dxa"/>
            <w:vAlign w:val="bottom"/>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68,610</w:t>
            </w: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(48,086)</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(36,333)</w:t>
            </w: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of beginning of period</w:t>
            </w:r>
          </w:p>
        </w:tc>
        <w:tc>
          <w:tcPr>
            <w:tcW w:w="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71,838</w:t>
            </w:r>
          </w:p>
        </w:tc>
        <w:tc>
          <w:tcPr>
            <w:tcW w:w="100" w:type="dxa"/>
            <w:vAlign w:val="bottom"/>
          </w:tcPr>
          <w:p>
            <w:pPr>
              <w:spacing w:after="0"/>
              <w:rPr>
                <w:sz w:val="17"/>
                <w:szCs w:val="17"/>
                <w:color w:val="auto"/>
              </w:rPr>
            </w:pPr>
          </w:p>
        </w:tc>
      </w:tr>
      <w:tr>
        <w:trPr>
          <w:trHeight w:val="23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of end of period</w:t>
            </w:r>
          </w:p>
        </w:tc>
        <w:tc>
          <w:tcPr>
            <w:tcW w:w="17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79,257</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35,505</w:t>
            </w:r>
          </w:p>
        </w:tc>
        <w:tc>
          <w:tcPr>
            <w:tcW w:w="100" w:type="dxa"/>
            <w:vAlign w:val="bottom"/>
            <w:shd w:val="clear" w:color="auto" w:fill="CFF0FC"/>
          </w:tcPr>
          <w:p>
            <w:pPr>
              <w:spacing w:after="0"/>
              <w:rPr>
                <w:sz w:val="20"/>
                <w:szCs w:val="20"/>
                <w:color w:val="auto"/>
              </w:rPr>
            </w:pPr>
          </w:p>
        </w:tc>
      </w:tr>
      <w:tr>
        <w:trPr>
          <w:trHeight w:val="383"/>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Summary of cash, cash equivalents and restricted cash reported within the balance sheets:</w:t>
            </w:r>
          </w:p>
        </w:tc>
        <w:tc>
          <w:tcPr>
            <w:tcW w:w="7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5"/>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75,928</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32,176</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tcPr>
          <w:p>
            <w:pPr>
              <w:spacing w:after="0"/>
              <w:rPr>
                <w:sz w:val="17"/>
                <w:szCs w:val="17"/>
                <w:color w:val="auto"/>
              </w:rPr>
            </w:pPr>
          </w:p>
        </w:tc>
      </w:tr>
      <w:tr>
        <w:trPr>
          <w:trHeight w:val="23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7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79,257</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35,505</w:t>
            </w:r>
          </w:p>
        </w:tc>
        <w:tc>
          <w:tcPr>
            <w:tcW w:w="100" w:type="dxa"/>
            <w:vAlign w:val="bottom"/>
            <w:shd w:val="clear" w:color="auto" w:fill="CFF0FC"/>
          </w:tcPr>
          <w:p>
            <w:pPr>
              <w:spacing w:after="0"/>
              <w:rPr>
                <w:sz w:val="20"/>
                <w:szCs w:val="20"/>
                <w:color w:val="auto"/>
              </w:rPr>
            </w:pPr>
          </w:p>
        </w:tc>
      </w:tr>
      <w:tr>
        <w:trPr>
          <w:trHeight w:val="383"/>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7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25"/>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7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FF0FC"/>
          </w:tcPr>
          <w:p>
            <w:pPr>
              <w:spacing w:after="0"/>
              <w:rPr>
                <w:sz w:val="19"/>
                <w:szCs w:val="19"/>
                <w:color w:val="auto"/>
              </w:rPr>
            </w:pP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740" w:type="dxa"/>
            <w:vAlign w:val="bottom"/>
          </w:tcPr>
          <w:p>
            <w:pPr>
              <w:spacing w:after="0"/>
              <w:rPr>
                <w:sz w:val="15"/>
                <w:szCs w:val="15"/>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180" w:type="dxa"/>
            <w:vAlign w:val="bottom"/>
          </w:tcPr>
          <w:p>
            <w:pPr>
              <w:spacing w:after="0"/>
              <w:rPr>
                <w:sz w:val="15"/>
                <w:szCs w:val="15"/>
                <w:color w:val="auto"/>
              </w:rPr>
            </w:pPr>
          </w:p>
        </w:tc>
        <w:tc>
          <w:tcPr>
            <w:tcW w:w="11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10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7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FF0FC"/>
          </w:tcPr>
          <w:p>
            <w:pPr>
              <w:spacing w:after="0"/>
              <w:rPr>
                <w:sz w:val="17"/>
                <w:szCs w:val="17"/>
                <w:color w:val="auto"/>
              </w:rPr>
            </w:pP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-3402330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-2892425</wp:posOffset>
            </wp:positionV>
            <wp:extent cx="939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-2892425</wp:posOffset>
            </wp:positionV>
            <wp:extent cx="939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-1974850</wp:posOffset>
            </wp:positionV>
            <wp:extent cx="939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-1974850</wp:posOffset>
            </wp:positionV>
            <wp:extent cx="939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-1405255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-744855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-727710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6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non-cash investing and financing activities:</w:t>
            </w: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 of inventories to property and equipment</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17"/>
                <w:szCs w:val="17"/>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included in accrued expenses</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common stock warrant</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-334010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Outset Medical, Inc. (the Company) is a medical technology company pioneering a first-of-its-kind technology to reduce the cost and complexity of dialysis.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In March 2025, the Company’s board of directors and shareholders approved a Certificate of Amendment to the Company’s Amended and Restated Certificate of Incorporation to effect a reverse split of shares of the Company’s common stock on a 15-for-one basis (the Reverse Stock Split), which became effective as of March 20, 2025. The number of authorized shares and the par values of the common stock and preferred stock were not adjusted as a result of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Also, any outstanding common stock warrants were adjusted such that the common stock issuable upon exercise of such warrants were decreased in proportion to the Reverse Stock Split. In addition, the number of shares of common stock available for issuance under the Company’s equity incentive plans and issuable upon the exercise of stock options, warrants and restricted stock units outstanding prior to the Reverse Stock Split were proportionately adjusted. No fractional shares were distributed as a result of the Reverse Stock Split and stockholders were entitled to a cash payment in lieu of fractional shares.</w:t>
      </w:r>
    </w:p>
    <w:p>
      <w:pPr>
        <w:spacing w:after="0" w:line="86"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All common stock share and per share amounts and information presented herein have been retroactively adjusted to reflect the effect of the Reverse Stock Split for all periods presented.</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three months ended March 31, 2025 and 2024, the Company incurred a net loss of $25.8 million and $39.9 million, respectively, and cash outflow from operating activities of $25.7 million and $45.9 million, respectively. As of March 31, 2025, the Company had an accumulated deficit of $1.1 billion.</w:t>
      </w:r>
    </w:p>
    <w:p>
      <w:pPr>
        <w:spacing w:after="0" w:line="68"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had cash, cash equivalents, restricted cash, and short-term investments of $192.3 million. In January and March 2025, the Company sold 863,000 shares of its Series A Non-Voting Convertible Preferred Stock (Series A Convertible Preferred Stock) at a price of $200.00 per share in a private placement transaction (the Private Placement) for total gross proceeds of $172.7 million, before deducting placement agent fees and other offering expenses. Subsequently, 842,000 shares of Series A Convertible Preferred Stock were converted into 14,046,000 shares of the Company’s common stock. See Note 8 for further details.</w:t>
      </w:r>
    </w:p>
    <w:p>
      <w:pPr>
        <w:spacing w:after="0" w:line="75"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provides an additional term loan of up to $25 million, which is available for funding until July 14, 2027, subject to the achievement of certain revenue milestone and other customary conditions (the Perceptive Term Loan).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7.</w:t>
      </w:r>
    </w:p>
    <w:p>
      <w:pPr>
        <w:spacing w:after="0" w:line="80" w:lineRule="exact"/>
        <w:rPr>
          <w:sz w:val="20"/>
          <w:szCs w:val="20"/>
          <w:color w:val="auto"/>
        </w:rPr>
      </w:pPr>
    </w:p>
    <w:p>
      <w:pPr>
        <w:ind w:right="460" w:firstLine="569"/>
        <w:spacing w:after="0" w:line="266" w:lineRule="auto"/>
        <w:rPr>
          <w:sz w:val="20"/>
          <w:szCs w:val="20"/>
          <w:color w:val="auto"/>
        </w:rPr>
      </w:pPr>
      <w:r>
        <w:rPr>
          <w:rFonts w:ascii="Times New Roman" w:cs="Times New Roman" w:eastAsia="Times New Roman" w:hAnsi="Times New Roman"/>
          <w:sz w:val="18"/>
          <w:szCs w:val="18"/>
          <w:color w:val="auto"/>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Furthermore, in September 2024, the Company received notice from the Nasdaq Stock Market LLC (Nasdaq) that it no longer complied with the minimum bid price requirement for continued listing on the Nasdaq Global Select Market. Although compliance was regained in December 2024, the Company received a second notice of non-compliance in February 2025 after again failing to meet the minimum bid price requirement. As of early April 2025, the Company has since regained compliance after effecting the Reverse Stock Split. However, if the Company is unable to maintain compliance with the minimum bid price requirement or other applicable Nasdaq listing rules, it may not be able to maintain the listing of its common stock on Nasdaq, which could adversely affect its ability to issue additional securities or obtain additional financing on terms acceptable to it, or at all.</w:t>
      </w:r>
    </w:p>
    <w:p>
      <w:pPr>
        <w:spacing w:after="0" w:line="7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cash, cash equivalents, short-term investments, cash generated from sales, and proceeds recently received from the debt financing described in Note 7 as well as proceeds received from the Private Placement described in Note 8, will be sufficient to meet its anticipated needs for at least the next 12 months from the issuance date of the accompanying condensed financial statements.</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three-month period are also unaudited. The results of operations for the three months ended March 31, 2025 are not necessarily indicative of the results of operations to be anticipated for any other future annual or interim period. The condensed balance sheet as of December 31, 2024 included herein was derived from the audited financial statements as of that date.</w:t>
      </w:r>
    </w:p>
    <w:p>
      <w:pPr>
        <w:spacing w:after="0" w:line="81" w:lineRule="exact"/>
        <w:rPr>
          <w:sz w:val="20"/>
          <w:szCs w:val="20"/>
          <w:color w:val="auto"/>
        </w:rPr>
      </w:pPr>
    </w:p>
    <w:p>
      <w:pPr>
        <w:jc w:val="both"/>
        <w:ind w:right="12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2024, which are included in the Annual Report on Form 10-K for the fiscal year ended December 31, 2024 filed with the Securities and Exchange Commission (SEC) on February 21, 2025 (2024 Annual Report).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With the exception of the new accounting policy below, there have been no other new or material changes to the Company’s significant accounting policies as described in its 2024 Annual Report that have had a material impact on the Company’s condensed financial statements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w:t>
      </w:r>
    </w:p>
    <w:p>
      <w:pPr>
        <w:spacing w:after="0" w:line="121"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The Company has accounted for its freestanding warrants to purchase shares of the Company’s common stock as equity at fair value upon issuance primarily because the warrants are indexed to the Company’s own common stock. The Company estimated the fair value of these warrants using the Black-Scholes option pricing model, which is considered to be a Level 3 fair value measurement. Assumptions used in the pricing model were based on the individual characteristics of the warrants on the valuation date, as well as assumptions for expected volatility, expected term, and risk-free interest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2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26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7,091</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9,210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14,203</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11,218</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product revenue</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21,294</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20,428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8,458</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7,740</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29,752</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28,168</w:t>
            </w: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466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ind w:right="89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-933450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-916305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jc w:val="both"/>
        <w:ind w:right="40" w:firstLine="569"/>
        <w:spacing w:after="0" w:line="266" w:lineRule="auto"/>
        <w:rPr>
          <w:sz w:val="20"/>
          <w:szCs w:val="20"/>
          <w:color w:val="auto"/>
        </w:rPr>
      </w:pPr>
      <w:r>
        <w:rPr>
          <w:rFonts w:ascii="Times New Roman" w:cs="Times New Roman" w:eastAsia="Times New Roman" w:hAnsi="Times New Roman"/>
          <w:sz w:val="18"/>
          <w:szCs w:val="18"/>
          <w:color w:val="auto"/>
        </w:rPr>
        <w:t>As of March 31, 2025, the aggregate amount of the transaction price allocated to the remaining performance obligations related to customer service contracts that are unsatisfied or partially unsatisfied was $14.0 million, which is recorded as deferred revenue on the Company’s condensed balance sheets. Of that amount, $13.2 million will be recognized as revenue during the next 12 months and $0.8 million thereafter.</w:t>
      </w:r>
    </w:p>
    <w:p>
      <w:pPr>
        <w:spacing w:after="0" w:line="68" w:lineRule="exact"/>
        <w:rPr>
          <w:sz w:val="20"/>
          <w:szCs w:val="20"/>
          <w:color w:val="auto"/>
        </w:rPr>
      </w:pPr>
    </w:p>
    <w:p>
      <w:pPr>
        <w:ind w:right="32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months ended March 31, 2025, the Company recognized $5.9 million of previously deferred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U.S. government-sponsored enterprises</w:t>
            </w:r>
          </w:p>
        </w:tc>
        <w:tc>
          <w:tcPr>
            <w:tcW w:w="126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60" w:type="dxa"/>
            <w:vAlign w:val="bottom"/>
            <w:shd w:val="clear" w:color="auto" w:fill="CFF0FC"/>
          </w:tcPr>
          <w:p>
            <w:pPr>
              <w:jc w:val="center"/>
              <w:ind w:right="2390"/>
              <w:spacing w:after="0" w:line="191" w:lineRule="exact"/>
              <w:rPr>
                <w:sz w:val="20"/>
                <w:szCs w:val="20"/>
                <w:color w:val="auto"/>
              </w:rPr>
            </w:pPr>
            <w:r>
              <w:rPr>
                <w:rFonts w:ascii="Times New Roman" w:cs="Times New Roman" w:eastAsia="Times New Roman" w:hAnsi="Times New Roman"/>
                <w:sz w:val="18"/>
                <w:szCs w:val="18"/>
                <w:color w:val="auto"/>
                <w:w w:val="99"/>
              </w:rPr>
              <w:t>Total cash equivalents and</w:t>
            </w: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172,729</w:t>
            </w: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FF0FC"/>
          </w:tcPr>
          <w:p>
            <w:pPr>
              <w:jc w:val="center"/>
              <w:ind w:right="239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Pr>
          <w:p>
            <w:pPr>
              <w:jc w:val="center"/>
              <w:ind w:right="2390"/>
              <w:spacing w:after="0" w:line="191" w:lineRule="exact"/>
              <w:rPr>
                <w:sz w:val="20"/>
                <w:szCs w:val="20"/>
                <w:color w:val="auto"/>
              </w:rPr>
            </w:pPr>
            <w:r>
              <w:rPr>
                <w:rFonts w:ascii="Times New Roman" w:cs="Times New Roman" w:eastAsia="Times New Roman" w:hAnsi="Times New Roman"/>
                <w:sz w:val="18"/>
                <w:szCs w:val="18"/>
                <w:color w:val="auto"/>
                <w:w w:val="99"/>
              </w:rPr>
              <w:t>Total cash equivalents and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145,608</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jc w:val="center"/>
              <w:ind w:right="239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-1833880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-1816735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-1833880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-1816735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-1833880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-1816735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-281940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-281940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5540" w:right="1340" w:hanging="4956"/>
        <w:spacing w:after="0" w:line="532" w:lineRule="auto"/>
        <w:rPr>
          <w:sz w:val="20"/>
          <w:szCs w:val="20"/>
          <w:color w:val="auto"/>
        </w:rPr>
      </w:pPr>
      <w:r>
        <w:rPr>
          <w:rFonts w:ascii="Times New Roman" w:cs="Times New Roman" w:eastAsia="Times New Roman" w:hAnsi="Times New Roman"/>
          <w:sz w:val="18"/>
          <w:szCs w:val="18"/>
          <w:color w:val="auto"/>
        </w:rPr>
        <w:t>As of March 31, 2025, the remaining contractual maturities for available-for-sale securities were one month to seventeen months.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ind w:right="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breakdown of the available-for-sale debt securities with unrealized losses as of March 31, 2025, and December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26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18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980" w:type="dxa"/>
            <w:vAlign w:val="bottom"/>
            <w:gridSpan w:val="2"/>
            <w:shd w:val="clear" w:color="auto" w:fill="CFF0FC"/>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20" w:type="dxa"/>
            <w:vAlign w:val="bottom"/>
            <w:vMerge w:val="continue"/>
          </w:tcPr>
          <w:p>
            <w:pPr>
              <w:spacing w:after="0"/>
              <w:rPr>
                <w:sz w:val="18"/>
                <w:szCs w:val="18"/>
                <w:color w:val="auto"/>
              </w:rPr>
            </w:pPr>
          </w:p>
        </w:tc>
        <w:tc>
          <w:tcPr>
            <w:tcW w:w="760" w:type="dxa"/>
            <w:vAlign w:val="bottom"/>
          </w:tcPr>
          <w:p>
            <w:pPr>
              <w:jc w:val="right"/>
              <w:ind w:right="59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26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18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980" w:type="dxa"/>
            <w:vAlign w:val="bottom"/>
            <w:gridSpan w:val="2"/>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March 31, 2025,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months ended March 31, 2025 and 2024, the Company did not recognize credit loss related to available-for-sales debt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activities in the Company’s allowance for credit losses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in allowance</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Write-offs</w:t>
            </w:r>
          </w:p>
        </w:tc>
        <w:tc>
          <w:tcPr>
            <w:tcW w:w="2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-2493645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-1079500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200" w:lineRule="exact"/>
        <w:rPr>
          <w:sz w:val="20"/>
          <w:szCs w:val="20"/>
          <w:color w:val="auto"/>
        </w:rPr>
      </w:pPr>
    </w:p>
    <w:p>
      <w:pPr>
        <w:spacing w:after="0" w:line="3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Customer rebates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1,747</w:t>
            </w:r>
          </w:p>
        </w:tc>
        <w:tc>
          <w:tcPr>
            <w:tcW w:w="20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2,079</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9" w:lineRule="exact"/>
        <w:rPr>
          <w:sz w:val="20"/>
          <w:szCs w:val="20"/>
          <w:color w:val="auto"/>
        </w:rPr>
      </w:pPr>
    </w:p>
    <w:p>
      <w:pPr>
        <w:sectPr>
          <w:pgSz w:w="11900" w:h="16838" w:orient="portrait"/>
          <w:cols w:equalWidth="0" w:num="2">
            <w:col w:w="6740" w:space="580"/>
            <w:col w:w="3900"/>
          </w:cols>
          <w:pgMar w:left="320" w:top="1197" w:right="359" w:bottom="1440" w:gutter="0" w:footer="0" w:header="0"/>
        </w:sect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On August 29, 2024, a purported stockholder class action lawsuit (the Porcelli Complaint), Porcelli, et al. v. Outset Medical, Inc., et al., 5:24-cv-06124-EJD, was filed in the U.S. District Court for the Northern District of California, naming the Company, its Chief Executive Officer, and Chief Financial Officer as defendants. On October 18, 2024, a second purported stockholder class action lawsuit (the Plymouth Complaint), Plymouth County Retirement Association v. Outset Medical, Inc, et al., 5:24-cv-06124-HSG, was filed in the U.S. District Court for the Northern District of California. The second lawsuit additionally names the Company's former Chief Financial Officer as a defendant. The Porcelli Complaint alleges that between August 1, 2022 and August 7, 2024, the defendants violated Sections 10(b) and 20(a) of the Securities Exchange Act of 1934, as amended (Exchange Act) by making false or misleading statements about the Company’s business, operations and prospects related to the sale and marketing of the Tablo Hemodialysis System and TabloCart with Prefiltration, including concerning the impact of certain FDA processes for these products on the Company’s revenue growth. The Plymouth Complaint alleges the same violations between September 15, 2020 and August 7, 2024. On March 18, 2025, the court issued an order relating and consolidating the Porcelli Complaint and the Plymouth Complaint, appointing the lead plaintiff, and approving lead plaintiff’s choice of counsel. On April 17, 2025, the court entered an order on the parties’ stipulated case schedule. Lead plaintiff must file an amended complaint by June 6, 2025 and defendants must respond by August 14, 2025, with additional briefing to follow.</w:t>
      </w:r>
    </w:p>
    <w:p>
      <w:pPr>
        <w:spacing w:after="0" w:line="82"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On November 29, 2024, an Outset stockholder purporting to act on behalf of the Company filed an action in the U.S. District Court for the Northern District of California against current and former members of Outset’s Board of Directors and certain of its officers (Derivative Defendants), alleging that the Derivative Defendants breached their fiduciary duties to the Company in connection with the same alleged events and alleged materially false and misleading statements asserted in the class actions described above. The complaint also alleges, in connection with those alleged events, a series of claims for unjust enrichment, abuse of control, gross mismanagement, and waste of corporate assets. On March 25, 2025, the court entered an order staying the derivative action pending a resolution on any motion to dismiss in the above-described class action. A substantively duplicative action was filed in the U.S. District Court for the Northern District of California on April 28, 2025, additionally alleging a claim for misappropriation of material, non-public information against certain of the Derivative Defendants. The complaints seek unspecified monetary damages and other relief.</w:t>
      </w:r>
    </w:p>
    <w:p>
      <w:pPr>
        <w:spacing w:after="0" w:line="84" w:lineRule="exact"/>
        <w:rPr>
          <w:sz w:val="20"/>
          <w:szCs w:val="20"/>
          <w:color w:val="auto"/>
        </w:rPr>
      </w:pPr>
    </w:p>
    <w:p>
      <w:pPr>
        <w:ind w:right="700" w:firstLine="569"/>
        <w:spacing w:after="0" w:line="282" w:lineRule="auto"/>
        <w:rPr>
          <w:sz w:val="20"/>
          <w:szCs w:val="20"/>
          <w:color w:val="auto"/>
        </w:rPr>
      </w:pPr>
      <w:r>
        <w:rPr>
          <w:rFonts w:ascii="Times New Roman" w:cs="Times New Roman" w:eastAsia="Times New Roman" w:hAnsi="Times New Roman"/>
          <w:sz w:val="18"/>
          <w:szCs w:val="18"/>
          <w:color w:val="auto"/>
        </w:rPr>
        <w:t>The cases are at a very early stage and the Company cannot currently estimate the loss or the range of possible losses it may experience in connection with this litigation.</w:t>
      </w:r>
    </w:p>
    <w:p>
      <w:pPr>
        <w:spacing w:after="0" w:line="54" w:lineRule="exact"/>
        <w:rPr>
          <w:sz w:val="20"/>
          <w:szCs w:val="20"/>
          <w:color w:val="auto"/>
        </w:rPr>
      </w:pPr>
    </w:p>
    <w:p>
      <w:pPr>
        <w:ind w:right="380" w:firstLine="569"/>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Term loans consists of the following (in thousands):</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loans</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100,346</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w:t>
            </w: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loans, noncurrent</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197,375</w:t>
            </w:r>
          </w:p>
        </w:tc>
        <w:tc>
          <w:tcPr>
            <w:tcW w:w="80" w:type="dxa"/>
            <w:vAlign w:val="bottom"/>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Credit Facilities</w:t>
      </w:r>
    </w:p>
    <w:p>
      <w:pPr>
        <w:spacing w:after="0" w:line="121" w:lineRule="exact"/>
        <w:rPr>
          <w:sz w:val="20"/>
          <w:szCs w:val="20"/>
          <w:color w:val="auto"/>
        </w:rPr>
      </w:pPr>
    </w:p>
    <w:p>
      <w:pPr>
        <w:ind w:right="160" w:firstLine="56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(SLR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9"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As of December 31, 2024, $200.0 million was outstanding under the SLR Term Loan Facility and no amounts were outstanding under the SLR Revolver. On January 3, 2025, the Company terminated the SLR Credit Facility Agreements and repaid in full all amounts due, including a final payment of $7.5 million and a termination fee of $0.1 million, using the proceeds from the Perceptive Term Loan as described below, together with cash on hand. The repayment of the SLR Credit Facilities was accounted for as a debt extinguishment, which resulted in a loss on extinguishment of $7.7 million recorded in the accompanying condensed statements of operations for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On January 3, 2025, the Company entered into a senior secured credit facility for borrowings up to an aggregate principal amount of $125.0 million pursuant to the Perceptive Credit Agreement with Perceptive Credit Holdings IV, LP (who also participated in the Private Placement). Pursuant to the terms and conditions of the Perceptive Credit Agreement, the lenders agreed to extend term loans to the Company in an aggregate principal amount of up to $125.0 million, comprised of (i) a term loan of $100.0 million (the Initial Term Loan), which was funded on January 8, 2025 (the Closing Date), and (ii) a delayed draw term loan of up to $25.0 million (the Delayed Draw Loan). The Initial Term Loan and the Delayed Draw Loan are referred to collectively as the Perceptive Term Loans. The Delayed Draw Loan is available for funding until July 14, 2027, subject to the achievement of a specific revenue milestone and other customary conditions.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principal amount outstanding under the Loans will accrue interest at a rate per annum equal to (i) the greater of (a) one-month term SOFR or</w:t>
      </w:r>
    </w:p>
    <w:p>
      <w:pPr>
        <w:spacing w:after="0" w:line="27" w:lineRule="exact"/>
        <w:rPr>
          <w:sz w:val="20"/>
          <w:szCs w:val="20"/>
          <w:color w:val="auto"/>
        </w:rPr>
      </w:pPr>
    </w:p>
    <w:p>
      <w:pPr>
        <w:jc w:val="both"/>
        <w:ind w:right="2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w:t>
      </w:r>
    </w:p>
    <w:p>
      <w:pPr>
        <w:spacing w:after="0" w:line="78" w:lineRule="exact"/>
        <w:rPr>
          <w:sz w:val="20"/>
          <w:szCs w:val="20"/>
          <w:color w:val="auto"/>
        </w:rPr>
      </w:pPr>
    </w:p>
    <w:p>
      <w:pPr>
        <w:jc w:val="both"/>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w:t>
      </w:r>
    </w:p>
    <w:p>
      <w:pPr>
        <w:spacing w:after="0" w:line="6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the Closing Date, the Company issued to Perceptive Credit Holdings IV, LP as the initial lender a warrant to purchase 375,000 of shares of the Company’s common stock (the Closing Date Warrant), at an exercise price equal to $12.00 per share. If the Company draws the Delayed Draw Loan, the Company is required to issue additional warrant(s) to the lenders to purchase 94,000 of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spacing w:after="0" w:line="79"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fair value of the Closing Date warrant of $4.4 million and the debt issuance costs paid directly to Perceptive along with other debt issuance costs amounting to $6.5 million were accounted for as a direct deduction from the term loan balance on the balance sheets and are being recognized as non-cash interest expense over the term of the loan using the effective interest method.</w:t>
      </w:r>
    </w:p>
    <w:p>
      <w:pPr>
        <w:spacing w:after="0" w:line="68"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 Closing Date, (iii) 4.0% of the principal amount of the prepaid loan(s), if prepaid after the second anniversary of the Closing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right="340"/>
        <w:spacing w:after="0" w:line="266" w:lineRule="auto"/>
        <w:rPr>
          <w:sz w:val="20"/>
          <w:szCs w:val="20"/>
          <w:color w:val="auto"/>
        </w:rPr>
      </w:pPr>
      <w:r>
        <w:rPr>
          <w:rFonts w:ascii="Times New Roman" w:cs="Times New Roman" w:eastAsia="Times New Roman" w:hAnsi="Times New Roman"/>
          <w:sz w:val="18"/>
          <w:szCs w:val="18"/>
          <w:color w:val="auto"/>
        </w:rPr>
        <w:t>through and including the third anniversary of the Closing Date, (iv) 2.0% of the principal amount of the prepaid Loans, if prepaid after the third anniversary of the Closing Date through and including the fourth anniversary of the Closing Date, and (v) 0.00% of the principal amount of the prepaid loan(s), if prepaid after the fourth anniversary of the Closing Date.</w:t>
      </w:r>
    </w:p>
    <w:p>
      <w:pPr>
        <w:spacing w:after="0" w:line="68" w:lineRule="exact"/>
        <w:rPr>
          <w:sz w:val="20"/>
          <w:szCs w:val="20"/>
          <w:color w:val="auto"/>
        </w:rPr>
      </w:pPr>
    </w:p>
    <w:p>
      <w:pPr>
        <w:ind w:right="80" w:firstLine="569"/>
        <w:spacing w:after="0" w:line="255" w:lineRule="auto"/>
        <w:rPr>
          <w:sz w:val="20"/>
          <w:szCs w:val="20"/>
          <w:color w:val="auto"/>
        </w:rPr>
      </w:pPr>
      <w:r>
        <w:rPr>
          <w:rFonts w:ascii="Times New Roman" w:cs="Times New Roman" w:eastAsia="Times New Roman" w:hAnsi="Times New Roman"/>
          <w:sz w:val="18"/>
          <w:szCs w:val="18"/>
          <w:color w:val="auto"/>
        </w:rPr>
        <w:t>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w:t>
      </w:r>
    </w:p>
    <w:p>
      <w:pPr>
        <w:spacing w:after="0" w:line="81"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a total of 5,000,000 shares of preferred stock, par value $0.001 per share. In connection with the Private Placement described below, the Company filed a Certificate of Designation of Preferences, Rights and Limitations of Series A Convertible Preferred Stock with the Delaware Secretary of State on January 7, 2025 (the Certificate of Designation) to set forth the preferences, rights and limitations of the Series A Convertible Preferred Stock. The Company has designated a total of 863,000 shares as Series A Convertible Preferred Stock, which are non-voting and not redeemable.</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January 3, 2025, the Company entered into securities purchase agreements with various investors, including certain of the Company’s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and employees (the Investors) for the issuance and sale by the Company of an aggregate of 863,000 shares of Series A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$0.001 per share, at a purchase price of $200.00 per share in the Private Placement. The sale of 844,000 shares of Series A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to institutional investors closed on January 8, 2025, with gross proceeds, before deducting placement agent fees and other offering expenses,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$168.8 million. On March 7, 2025, following stockholder approval of the Company’s issuance of shares of Series A Convertible Preferred Stock and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common stock issuable upon the conversion thereof to certain of the Company’s directors, officers and employees at the special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stockholders held on March 5, 2025 (the Special Meeting), the Company issued 19,000 shares of Series A Convertible Preferred Stock to certain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directors, officers and employees, with gross proceeds, before deducting offering expenses, of $3.9 million.</w:t>
      </w:r>
    </w:p>
    <w:p>
      <w:pPr>
        <w:spacing w:after="0" w:line="99"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On March 10, 2025, following the stockholder approval of the Company’s issuance of common stock in excess of 20% of the Company’s then outstanding shares of common stock at the Special Meeting, 842,000 shares of Series A Convertible Preferred Stock were converted into 14,046,000 shares of the Company’s common stock at the conversion price of $12.00 per share in accordance with the Certificate of Designation. Following the conversion, 21,000 shares of the Series A Convertible Preferred Stock remain issued and outstanding as of March 31, 2025.</w:t>
      </w:r>
    </w:p>
    <w:p>
      <w:pPr>
        <w:spacing w:after="0" w:line="72"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Series A Convertible Preferred Stock shall rank on parity with the common stock as to distributions of assets. Series A Convertible Preferred Stock holders shall be entitled to receive, and the Company shall pay, dividends on shares of the Series A Convertible Preferred Stock (on an as-if-converted-to-Common-Stock basis) equal to and in the same form, and in the same manner, as dividends actually paid on shares of the common stock when, as and if such dividends (other than dividends payable in the form of common stock) are paid on shares of the common stock.</w:t>
      </w:r>
    </w:p>
    <w:p>
      <w:pPr>
        <w:spacing w:after="0" w:line="75"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Based on the attributes of the Series A Convertible Preferred Stock as described above, the Company has accounted for the Series A Convertible Preferred Stock as a component of permanent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As discussed in Note 7 above, the Company issued a warrant to Perceptive Credit Holdings IV, LP to purchase 375,000 of shares of the Company’s common stock, at an exercise price equal to $12.00 per share, in January 2025. This warrant is immediately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00"/>
        <w:spacing w:after="0" w:line="266" w:lineRule="auto"/>
        <w:rPr>
          <w:sz w:val="20"/>
          <w:szCs w:val="20"/>
          <w:color w:val="auto"/>
        </w:rPr>
      </w:pPr>
      <w:r>
        <w:rPr>
          <w:rFonts w:ascii="Times New Roman" w:cs="Times New Roman" w:eastAsia="Times New Roman" w:hAnsi="Times New Roman"/>
          <w:sz w:val="18"/>
          <w:szCs w:val="18"/>
          <w:color w:val="auto"/>
        </w:rPr>
        <w:t>exercisable upon issuance, and expires seven years after the date of issuance, January 2032. This warrant is classified as a component of permanent stockholders’ equity. The Company determined the fair value using the Black-Scholes option pricing model with the following assumptions on the date of issuance: common stock price of $14.66 per share, expected volatility of 93%, expected term of 7 years, and risk-free interest rate of 4.56%.</w:t>
      </w:r>
    </w:p>
    <w:p>
      <w:pPr>
        <w:spacing w:after="0" w:line="68" w:lineRule="exact"/>
        <w:rPr>
          <w:sz w:val="20"/>
          <w:szCs w:val="20"/>
          <w:color w:val="auto"/>
        </w:rPr>
      </w:pPr>
    </w:p>
    <w:p>
      <w:pPr>
        <w:ind w:right="520" w:firstLine="569"/>
        <w:spacing w:after="0" w:line="282" w:lineRule="auto"/>
        <w:rPr>
          <w:sz w:val="20"/>
          <w:szCs w:val="20"/>
          <w:color w:val="auto"/>
        </w:rPr>
      </w:pPr>
      <w:r>
        <w:rPr>
          <w:rFonts w:ascii="Times New Roman" w:cs="Times New Roman" w:eastAsia="Times New Roman" w:hAnsi="Times New Roman"/>
          <w:sz w:val="18"/>
          <w:szCs w:val="18"/>
          <w:color w:val="auto"/>
        </w:rPr>
        <w:t>As of March 31, 2025, aggregate common stock warrants of 379,000 shares with a weighted average exercise price of $13.19 per share were outstanding and exercisable. Of these warrants, 4,000 shares expire in September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2025, 399,000 shares were reserved for future issuance under the 2020 Equity Incentive Plan (2020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As of March 31, 2025, 21,000 shares of common stock were reserved for future issuance in connection with the current and future offering periods under the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the Company's common stock.</w:t>
      </w:r>
    </w:p>
    <w:p>
      <w:pPr>
        <w:spacing w:after="0" w:line="68"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Annual RSUs granted to non-executive employees in 2024 vest over a two-year period at a rate of 50% on the first anniversary of the original vesting date, with the balance vesting quarterly over the remaining one year. Prior to February 2022, RSUs with a service-based vesting condition granted to a grantee generally vest at a rate of 25% on the first anniversary of the original vesting date, with the balance vesting quarterly over the remaining three years.</w:t>
      </w:r>
    </w:p>
    <w:p>
      <w:pPr>
        <w:spacing w:after="0" w:line="79"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 PSUs are earned and vest based on achievement against two metrics:</w:t>
      </w:r>
    </w:p>
    <w:p>
      <w:pPr>
        <w:spacing w:after="0" w:line="54" w:lineRule="exact"/>
        <w:rPr>
          <w:sz w:val="20"/>
          <w:szCs w:val="20"/>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PSUs”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(performance-based vesting conditions).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PSUs” are earned based on the Company's relative total stockholder return (Relative TSR) at the end of a two-year or three-year performance period as compared to companies in a pre-determined index of medical device companies, in each case, with 100% of earned units vesting on, or after certification of achievement following, the third anniversary of the grant date (market-based vesting conditions).</w:t>
      </w:r>
    </w:p>
    <w:p>
      <w:pPr>
        <w:spacing w:after="0" w:line="72" w:lineRule="exact"/>
        <w:rPr>
          <w:sz w:val="20"/>
          <w:szCs w:val="20"/>
          <w:color w:val="auto"/>
        </w:rPr>
      </w:pPr>
    </w:p>
    <w:p>
      <w:pPr>
        <w:jc w:val="both"/>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granted, (ii) from 75% to 150% (250% for the CEO) of the target number of Relative TSR PSUs granted in 2022 and 2023 and (iii) from 0% to 200% (250% for the CEO) of the target number of Relative TSR PSUs granted in 2024.</w:t>
      </w:r>
    </w:p>
    <w:p>
      <w:pPr>
        <w:spacing w:after="0" w:line="68"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The grant date for the Home PSUs is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 for the Home PSUs has been established, the related stock-based compensation expense is recorded based on the forecasted performance, which is reassessed each reporting period based on the probability of achieving the performance conditions.</w:t>
      </w:r>
    </w:p>
    <w:p>
      <w:pPr>
        <w:spacing w:after="0" w:line="72" w:lineRule="exact"/>
        <w:rPr>
          <w:sz w:val="20"/>
          <w:szCs w:val="20"/>
          <w:color w:val="auto"/>
        </w:rPr>
      </w:pPr>
    </w:p>
    <w:p>
      <w:pPr>
        <w:jc w:val="both"/>
        <w:ind w:right="10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of PSU award to executive officers and certain other senior leaders which is earned and vests based on appreciation of the Company’s stock price above pre-determined stock price triggers or achievement of specified non-GAAP operating income targets over a performance period of up to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table sets forth stock-based compensation expense included in the accompanying condensed statements of operations (in thousands):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24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69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69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98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2,332</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4,147</w:t>
            </w:r>
          </w:p>
        </w:tc>
      </w:tr>
      <w:tr>
        <w:trPr>
          <w:trHeight w:val="20"/>
        </w:trPr>
        <w:tc>
          <w:tcPr>
            <w:tcW w:w="6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6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2,977</w:t>
            </w:r>
          </w:p>
        </w:tc>
        <w:tc>
          <w:tcPr>
            <w:tcW w:w="98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8,203</w:t>
            </w: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2025 and 2024, the Company incurred an income tax provision of an insignificant amount, which related to foreign income taxes for the Company’s Mexico operations. The U.S. federal and state net deferred tax assets have been fully offset by a valuation allowance, as the Company believes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40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50"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69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r>
      <w:tr>
        <w:trPr>
          <w:trHeight w:val="21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FF0FC"/>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8"/>
                <w:szCs w:val="18"/>
                <w:color w:val="auto"/>
              </w:rPr>
            </w:pPr>
          </w:p>
        </w:tc>
      </w:tr>
      <w:tr>
        <w:trPr>
          <w:trHeight w:val="216"/>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r>
      <w:tr>
        <w:trPr>
          <w:trHeight w:val="216"/>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w:t>
      </w:r>
    </w:p>
    <w:p>
      <w:pPr>
        <w:spacing w:after="0" w:line="121"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Company’s chief operating decision maker (CODM) uses to allocate resources and assess performance is the Company’s net loss, as reported on the accompanying condensed statements of operations. Net income is used to monitor budget versus actual results.</w:t>
      </w:r>
    </w:p>
    <w:p>
      <w:pPr>
        <w:spacing w:after="0" w:line="68" w:lineRule="exact"/>
        <w:rPr>
          <w:sz w:val="20"/>
          <w:szCs w:val="20"/>
          <w:color w:val="auto"/>
        </w:rPr>
      </w:pPr>
    </w:p>
    <w:p>
      <w:pPr>
        <w:ind w:right="200" w:firstLine="569"/>
        <w:spacing w:after="0" w:line="258" w:lineRule="auto"/>
        <w:rPr>
          <w:sz w:val="20"/>
          <w:szCs w:val="20"/>
          <w:color w:val="auto"/>
        </w:rPr>
      </w:pPr>
      <w:r>
        <w:rPr>
          <w:rFonts w:ascii="Times New Roman" w:cs="Times New Roman" w:eastAsia="Times New Roman" w:hAnsi="Times New Roman"/>
          <w:sz w:val="18"/>
          <w:szCs w:val="18"/>
          <w:color w:val="auto"/>
        </w:rPr>
        <w:t>There are no intra-entity sales or transfers. All expense categories on the accompanying condensed statements of operations are significant and there are no other expense categories regularly provided to the CODM beyond those disclosed in the accompanying condensed statements of operations. The CODM manages the business using expense information as well as regularly provided budgeted or forecasted expense information for the single operating segment. The measure of segment assets is reported on the accompanying condensed balance sheets as total consolidated assets with particular emphasis on the Company’s available liquidity, including its cash, cash equivalents, restricted cash, and short-term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Workforce reduction</w:t>
      </w:r>
    </w:p>
    <w:p>
      <w:pPr>
        <w:spacing w:after="0" w:line="121"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In order to improve operational efficiencies, reduce operating expenses and streamline its overall organizational structure, the Company implemented two organizational restructuring plans to reduce its workforce in the fourth quarter of 2023 and May 2024 and incurred restructuring charges of $2.5 million in fiscal year 2023 and $2.7 million through the first half of fiscal year 2024 for employee severance and other termination benefits.</w:t>
      </w:r>
    </w:p>
    <w:p>
      <w:pPr>
        <w:spacing w:after="0" w:line="68"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In connection with steps the Company is taking to help optimize its commercial organization, and to help improve operational efficiencies and reduce operating expenses to align with anticipated revenue growth, in the third quarter of 2024, the Company completed an additional restructuring plan primarily impacting its commercial organization. The Company incurred restructuring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charges of $1.4 million in the third quarter of 2024 for employee severance and other termination benefits associated with this restructuring.</w:t>
      </w:r>
    </w:p>
    <w:p>
      <w:pPr>
        <w:spacing w:after="0" w:line="117"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In January 2025, the Company implemented another restructuring plan and, as a result, estimated and recognized restructuring charges of $1.5 million as of December 31, 2024 for employee severance and other termination benefits. Restructuring accruals were based upon management estimates at the time and adjusted based on the changes in facts and circumstances subsequent to the date the original liability was recorded.</w:t>
      </w:r>
    </w:p>
    <w:p>
      <w:pPr>
        <w:spacing w:after="0" w:line="68" w:lineRule="exact"/>
        <w:rPr>
          <w:sz w:val="20"/>
          <w:szCs w:val="20"/>
          <w:color w:val="auto"/>
        </w:rPr>
      </w:pPr>
    </w:p>
    <w:p>
      <w:pPr>
        <w:ind w:right="5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severance and related benefits charges included in the accompanying condensed statements of operations (in thousands):</w:t>
      </w:r>
    </w:p>
    <w:p>
      <w:pPr>
        <w:sectPr>
          <w:pgSz w:w="11900" w:h="16838" w:orient="portrait"/>
          <w:cols w:equalWidth="0" w:num="1">
            <w:col w:w="11140"/>
          </w:cols>
          <w:pgMar w:left="320" w:top="109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continue"/>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-719455</wp:posOffset>
            </wp:positionV>
            <wp:extent cx="641223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-445135</wp:posOffset>
            </wp:positionV>
            <wp:extent cx="641223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-161925</wp:posOffset>
            </wp:positionV>
            <wp:extent cx="641223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6800" w:space="720"/>
            <w:col w:w="3620"/>
          </w:cols>
          <w:pgMar w:left="320" w:top="1093" w:right="439" w:bottom="1440" w:gutter="0" w:footer="0" w:header="0"/>
          <w:type w:val="continuous"/>
        </w:sectPr>
      </w:pPr>
    </w:p>
    <w:p>
      <w:pPr>
        <w:ind w:right="520" w:firstLine="56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changes in liabilities resulting from the restructuring accruals, which were recorded in accrued compensation and related benefits on the accompanying condensed balance sheet, were as follows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Charges</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(1,445)</w:t>
            </w:r>
          </w:p>
        </w:tc>
      </w:tr>
      <w:tr>
        <w:trPr>
          <w:trHeight w:val="209"/>
        </w:trPr>
        <w:tc>
          <w:tcPr>
            <w:tcW w:w="8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89" w:lineRule="exact"/>
        <w:rPr>
          <w:sz w:val="20"/>
          <w:szCs w:val="20"/>
          <w:color w:val="auto"/>
        </w:rPr>
      </w:pPr>
    </w:p>
    <w:p>
      <w:pPr>
        <w:ind w:right="120" w:firstLine="749"/>
        <w:spacing w:after="0" w:line="312" w:lineRule="auto"/>
        <w:rPr>
          <w:sz w:val="20"/>
          <w:szCs w:val="20"/>
          <w:color w:val="auto"/>
        </w:rPr>
      </w:pPr>
      <w:r>
        <w:rPr>
          <w:rFonts w:ascii="Times New Roman" w:cs="Times New Roman" w:eastAsia="Times New Roman" w:hAnsi="Times New Roman"/>
          <w:sz w:val="17"/>
          <w:szCs w:val="17"/>
          <w:color w:val="auto"/>
        </w:rPr>
        <w:t>As discussed in Note 8, certain of the Company’s directors, officers and employees purchased 19,000 shares of Series A Convertible Preferred Stock for a total purchase price of $3.9 million. These shares of Series A Convertible Preferred Stock were subsequently converted to common stock.</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2024 Annual Report. As used in this Quarterly Report, references to the “Company,” “we,” “us,” “our,” or similar terms refer to Outset Medical, Inc.</w:t>
      </w:r>
    </w:p>
    <w:p>
      <w:pPr>
        <w:spacing w:after="0" w:line="7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Annual Report on Form 10-K for the fiscal year ended December 31, 2024.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skilled nursing facilities (SNFs), sub-acute long-term acute care hospitals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0" w:name="page21"/>
    <w:bookmarkEnd w:id="20"/>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 We are also working with providers, patients, and payors to increase awareness and adoption of transitional care units as a bridge to home-based therapy.</w:t>
      </w:r>
    </w:p>
    <w:p>
      <w:pPr>
        <w:spacing w:after="0" w:line="7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 and services, which generates significant total revenue over the life of Tablo consoles. For the three months ended March 31, 2025 and 2024, our total revenue was $29.8 million and $28.2 million, respectively.</w:t>
      </w:r>
    </w:p>
    <w:p>
      <w:pPr>
        <w:spacing w:after="0" w:line="72"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57% of our total full-time employees as of March 31, 2025.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In July 2023, we received a warning letter (the Warning Letter) from the FDA that raised two observations. The first observation asserted that certain content reviewed by the FDA and found on our website promotes Continuous Renal Replacement Therapy (CRRT), a modality outside of the current indications for Tablo. The second observation asserted that TabloCart with Prefiltration required prior 510(k) clearance for marketing authorization. TabloCart with Prefiltration is an accessory to Tablo launched in the third quarter of 2022. We took action to address the first observation regarding CRRT promotion through revision of processes and procedures and updates to existing labeling and promotional materials. We also took action to address the second observation regarding TabloCart with Prefiltration. Although we evaluated TabloCart with Prefiltration prior to marketing and distributing the product and concluded that no marketing authorization was necessary, we paused distribution of TabloCart with Prefiltration pending the FDA’s review and clearance of a 510(k) application for the same that we submitted in September 2023. In early May 2024, we received 510(k) clearance from the FDA for TabloCart with Prefiltration, and we have resumed distribution of TabloCart with Prefiltration. In February 2025, we were notified by the FDA that the issues cited in the Warning Letter have been addressed.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right="120" w:firstLine="569"/>
        <w:spacing w:after="0" w:line="254"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SNFs, LTACHs and other post-acute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as we resume distribution of TabloCart with Prefiltration, as well as the success of our initiatives to optimize and further evolve our commercial organization, infrastructure and sales processes to support the growth of our business in the acute and post-acute care markets as we focus more heavily on enterprise selling and transition beyond earlier stage adoption of Tablo.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ability to expand our gross margins depends on: first, our ability to continue to sell Tablo cartridges, services, and accessories for Tablo consoles; second, our ability to reduce the cost of service and third, our ability to reduce the cost of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current administration.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 Initiatives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inflationary pressures, rising interest rates, changes in tariff or trade laws and policies (such as the tariffs imposed by the current administration),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5"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2024. We may see disruption from this in future periods. 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spacing w:after="0" w:line="86"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79"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t>consumer demand have disrupted the operations of certain of our third-party suppliers, resulting, in some cases, in increased lead times and higher component costs. We believe that localizing production of a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 Moreover, increased tariffs imposed by the current administration, including on goods imported into the United States from Mexico and China, could adversely impact our supply chain and distribution costs, as well as our ability to achieve sustainable gross margins. While we do not believe we have exposure to these potential tariffs as Tablo, TabloCart and Tablo consumables are covered under a special exemption,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8"/>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1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r>
      <w:tr>
        <w:trPr>
          <w:trHeight w:val="209"/>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80" w:type="dxa"/>
            <w:vAlign w:val="bottom"/>
          </w:tcPr>
          <w:p>
            <w:pPr>
              <w:spacing w:after="0"/>
              <w:rPr>
                <w:sz w:val="18"/>
                <w:szCs w:val="18"/>
                <w:color w:val="auto"/>
              </w:rPr>
            </w:pPr>
          </w:p>
        </w:tc>
      </w:tr>
      <w:tr>
        <w:trPr>
          <w:trHeight w:val="216"/>
        </w:trPr>
        <w:tc>
          <w:tcPr>
            <w:tcW w:w="54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280" w:type="dxa"/>
            <w:vAlign w:val="bottom"/>
          </w:tcPr>
          <w:p>
            <w:pPr>
              <w:spacing w:after="0"/>
              <w:rPr>
                <w:sz w:val="18"/>
                <w:szCs w:val="18"/>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80" w:type="dxa"/>
            <w:vAlign w:val="bottom"/>
          </w:tcPr>
          <w:p>
            <w:pPr>
              <w:spacing w:after="0"/>
              <w:rPr>
                <w:sz w:val="18"/>
                <w:szCs w:val="18"/>
                <w:color w:val="auto"/>
              </w:rPr>
            </w:pPr>
          </w:p>
        </w:tc>
      </w:tr>
      <w:tr>
        <w:trPr>
          <w:trHeight w:val="216"/>
        </w:trPr>
        <w:tc>
          <w:tcPr>
            <w:tcW w:w="54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280" w:type="dxa"/>
            <w:vAlign w:val="bottom"/>
          </w:tcPr>
          <w:p>
            <w:pPr>
              <w:spacing w:after="0"/>
              <w:rPr>
                <w:sz w:val="18"/>
                <w:szCs w:val="18"/>
                <w:color w:val="auto"/>
              </w:rPr>
            </w:pPr>
          </w:p>
        </w:tc>
      </w:tr>
      <w:tr>
        <w:trPr>
          <w:trHeight w:val="209"/>
        </w:trPr>
        <w:tc>
          <w:tcPr>
            <w:tcW w:w="54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8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8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80" w:type="dxa"/>
            <w:vAlign w:val="bottom"/>
          </w:tcPr>
          <w:p>
            <w:pPr>
              <w:spacing w:after="0"/>
              <w:rPr>
                <w:sz w:val="18"/>
                <w:szCs w:val="18"/>
                <w:color w:val="auto"/>
              </w:rPr>
            </w:pPr>
          </w:p>
        </w:tc>
      </w:tr>
      <w:tr>
        <w:trPr>
          <w:trHeight w:val="216"/>
        </w:trPr>
        <w:tc>
          <w:tcPr>
            <w:tcW w:w="54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280" w:type="dxa"/>
            <w:vAlign w:val="bottom"/>
          </w:tcPr>
          <w:p>
            <w:pPr>
              <w:spacing w:after="0"/>
              <w:rPr>
                <w:sz w:val="18"/>
                <w:szCs w:val="18"/>
                <w:color w:val="auto"/>
              </w:rPr>
            </w:pPr>
          </w:p>
        </w:tc>
      </w:tr>
      <w:tr>
        <w:trPr>
          <w:trHeight w:val="209"/>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(16,399)</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(36,912)</w:t>
            </w:r>
          </w:p>
        </w:tc>
      </w:tr>
      <w:tr>
        <w:trPr>
          <w:trHeight w:val="216"/>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80" w:type="dxa"/>
            <w:vAlign w:val="bottom"/>
          </w:tcPr>
          <w:p>
            <w:pPr>
              <w:spacing w:after="0"/>
              <w:rPr>
                <w:sz w:val="18"/>
                <w:szCs w:val="18"/>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(3,560)</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(5,968)</w:t>
            </w:r>
          </w:p>
        </w:tc>
      </w:tr>
      <w:tr>
        <w:trPr>
          <w:trHeight w:val="216"/>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(25,668)</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(39,782)</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r>
      <w:tr>
        <w:trPr>
          <w:trHeight w:val="250"/>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(25,783)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(39,944)</w:t>
            </w:r>
          </w:p>
        </w:tc>
      </w:tr>
      <w:tr>
        <w:trPr>
          <w:trHeight w:val="305"/>
        </w:trPr>
        <w:tc>
          <w:tcPr>
            <w:tcW w:w="5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tc>
        <w:tc>
          <w:tcPr>
            <w:tcW w:w="2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5"/>
        </w:trPr>
        <w:tc>
          <w:tcPr>
            <w:tcW w:w="1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2"/>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175"/>
        </w:trPr>
        <w:tc>
          <w:tcPr>
            <w:tcW w:w="54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ind w:right="152"/>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92"/>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203"/>
        </w:trPr>
        <w:tc>
          <w:tcPr>
            <w:tcW w:w="5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21,294</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20,428</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54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7,740</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r>
      <w:tr>
        <w:trPr>
          <w:trHeight w:val="19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29,752</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28,168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1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-3985895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-3985895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-3428365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-3428365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-2588260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-2588260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-1456690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-1439545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-1456690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-1439545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-162560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-162560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Product revenue increased by $0.9 million or 4% for the three months ended March 31, 2025 as compared to the same period in the prior year. This increase was driven by a $3.0 million increase in consumable revenue due to the growth in our console installed base, which was partially offset by a $2.1 million decrease in console revenue.</w:t>
      </w:r>
    </w:p>
    <w:p>
      <w:pPr>
        <w:spacing w:after="0" w:line="68"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Service and other revenue increased by $0.7 million or 9% for the three months ended March 31, 2025 as compared to the same period in the prior year. This increase was primarily due to services associated with the growth in our console installed base.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175"/>
        </w:trPr>
        <w:tc>
          <w:tcPr>
            <w:tcW w:w="54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5"/>
                <w:szCs w:val="15"/>
                <w:color w:val="auto"/>
              </w:rPr>
            </w:pPr>
          </w:p>
        </w:tc>
        <w:tc>
          <w:tcPr>
            <w:tcW w:w="92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3"/>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203"/>
        </w:trPr>
        <w:tc>
          <w:tcPr>
            <w:tcW w:w="5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5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37.2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29.2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bl>
    <w:p>
      <w:pPr>
        <w:spacing w:after="0" w:line="90"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Gross profit increased by $2.9 million or 35% for the three months ended March 31, 2025 as compared to the same period in the prior year. Gross margin improved by 8.0 percentage points for the three months ended March 31, 2025, as compared to the same period in the prior year. This improvement in gross profit and gross margin was primarily driven by a higher mix of consumable and service and other revenue, both of which had improved gross margin year over year. The higher consumable gross margin resulted from a higher average selling price and lower cost per unit for consumables.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175"/>
        </w:trPr>
        <w:tc>
          <w:tcPr>
            <w:tcW w:w="36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r>
      <w:tr>
        <w:trPr>
          <w:trHeight w:val="203"/>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(7,120)</w:t>
            </w:r>
          </w:p>
        </w:tc>
        <w:tc>
          <w:tcPr>
            <w:tcW w:w="3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3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1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(7,396)</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(3,146)</w:t>
            </w:r>
          </w:p>
        </w:tc>
        <w:tc>
          <w:tcPr>
            <w:tcW w:w="3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45,127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(17,662)</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r>
      <w:tr>
        <w:trPr>
          <w:trHeight w:val="20"/>
        </w:trPr>
        <w:tc>
          <w:tcPr>
            <w:tcW w:w="14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$7.1 million or 56% for the three months ended March 31, 2025, as compared to the same period in the prior year. This decrease was primarily due to an overall decrease in compensation-related and stock-based compensation expenses, consulting expense, and infrastructure costs resulting from our cost reduction efforts implemented in the current quarter and the prior year.</w:t>
      </w:r>
    </w:p>
    <w:p>
      <w:pPr>
        <w:spacing w:after="0" w:line="68" w:lineRule="exact"/>
        <w:rPr>
          <w:sz w:val="20"/>
          <w:szCs w:val="20"/>
          <w:color w:val="auto"/>
        </w:rPr>
      </w:pPr>
    </w:p>
    <w:p>
      <w:pPr>
        <w:jc w:val="both"/>
        <w:ind w:right="80" w:firstLine="56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$7.4 million or 35% for the three months ended March 31, 2025 as compared to the same period in the prior year. The decrease was primarily driven by an overall decrease in compensation-related and stock-based compensation expenses, infrastructure costs, travel, freight and consulting expenses resulting from our cost reduction efforts implemented in the current quarter and the prior year.</w:t>
      </w:r>
    </w:p>
    <w:p>
      <w:pPr>
        <w:spacing w:after="0" w:line="68"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$3.1 million or 27% for the three months ended March 31, 2025 as compared to the same period in the prior year. This decrease was primarily due to an overall decrease in compensation-related and stock-based compensation expenses resulting from our cost reduction efforts implemented in the current quarter and the prior year. These decreases were partially offset by an increase in professional services expense in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175"/>
        </w:trPr>
        <w:tc>
          <w:tcPr>
            <w:tcW w:w="39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r>
      <w:tr>
        <w:trPr>
          <w:trHeight w:val="203"/>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17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6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(1,122)</w:t>
            </w:r>
          </w:p>
        </w:tc>
        <w:tc>
          <w:tcPr>
            <w:tcW w:w="3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(3,560)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(5,968)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(7,685)</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3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4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(9,269)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(6,399)</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223%</w:t>
            </w:r>
          </w:p>
        </w:tc>
      </w:tr>
      <w:tr>
        <w:trPr>
          <w:trHeight w:val="193"/>
        </w:trPr>
        <w:tc>
          <w:tcPr>
            <w:tcW w:w="39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 Not meaningful</w:t>
            </w:r>
          </w:p>
        </w:tc>
        <w:tc>
          <w:tcPr>
            <w:tcW w:w="14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84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88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-160020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-142875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-160020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-142875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decrease in interest income and other income, net for the three months ended March 31, 2025 as compared to the same period in the prior year was driven by a lower average short-term investment balance in 2025.</w:t>
      </w:r>
    </w:p>
    <w:p>
      <w:pPr>
        <w:spacing w:after="0" w:line="54" w:lineRule="exact"/>
        <w:rPr>
          <w:sz w:val="20"/>
          <w:szCs w:val="20"/>
          <w:color w:val="auto"/>
        </w:rPr>
      </w:pPr>
    </w:p>
    <w:p>
      <w:pPr>
        <w:ind w:right="260" w:firstLine="569"/>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2025 as compared to the same period in the prior year was due to a lower outstanding term loan balance in 2025</w:t>
      </w:r>
      <w:r>
        <w:rPr>
          <w:rFonts w:ascii="Times New Roman" w:cs="Times New Roman" w:eastAsia="Times New Roman" w:hAnsi="Times New Roman"/>
          <w:sz w:val="18"/>
          <w:szCs w:val="18"/>
          <w:color w:val="FF0000"/>
        </w:rPr>
        <w:t>.</w:t>
      </w:r>
    </w:p>
    <w:p>
      <w:pPr>
        <w:spacing w:after="0" w:line="54"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$7.7 million was recognized for the repayment of the SLR Term Loan in 2025, which included final payment and termination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equity securities, revenue from sales, debt financings, and proceeds from employee exercise of stock options and ESPP purchases.</w:t>
      </w:r>
    </w:p>
    <w:p>
      <w:pPr>
        <w:spacing w:after="0" w:line="68"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As of March 31, 2025, we had cash, cash equivalents, restricted cash and short-term investments of $192.3 million. In January and March 2025, we sold 863,340 shares of Series A Convertible Preferred Stock at a price of $200.00 per share in the Private Placement for total gross proceeds of $172.7 million, before deducting placement agent fees and other offering expenses. Subsequently, 842,753 shares of Series A Convertible Preferred Stock were converted into 14,045,866 shares of our common stock.</w:t>
      </w:r>
    </w:p>
    <w:p>
      <w:pPr>
        <w:spacing w:after="0" w:line="72"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In addition, in January 2025, we entered into the Perceptive Credit Agreement with Perceptive Credit Holdings IV, LP, which provided a $100 million 5-year term loan at closing and provides an additional term loan of up to $25 million, which is available for funding until July 14, 2027, subject to achievement of a specified revenue milestone and other customary conditions.</w:t>
      </w:r>
    </w:p>
    <w:p>
      <w:pPr>
        <w:spacing w:after="0" w:line="68" w:lineRule="exact"/>
        <w:rPr>
          <w:sz w:val="20"/>
          <w:szCs w:val="20"/>
          <w:color w:val="auto"/>
        </w:rPr>
      </w:pPr>
    </w:p>
    <w:p>
      <w:pPr>
        <w:ind w:right="100" w:firstLine="569"/>
        <w:spacing w:after="0" w:line="258" w:lineRule="auto"/>
        <w:rPr>
          <w:sz w:val="20"/>
          <w:szCs w:val="20"/>
          <w:color w:val="auto"/>
        </w:rPr>
      </w:pPr>
      <w:r>
        <w:rPr>
          <w:rFonts w:ascii="Times New Roman" w:cs="Times New Roman" w:eastAsia="Times New Roman" w:hAnsi="Times New Roman"/>
          <w:sz w:val="18"/>
          <w:szCs w:val="18"/>
          <w:color w:val="auto"/>
        </w:rPr>
        <w:t>We are required to comply with certain covenants under the Perceptive Credit Agreement, including, among others, requirements as to financial reporting, restrictions on our ability to incur additional indebtedness and to pay any 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w:t>
      </w:r>
    </w:p>
    <w:p>
      <w:pPr>
        <w:spacing w:after="0" w:line="75"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w:t>
      </w:r>
    </w:p>
    <w:p>
      <w:pPr>
        <w:spacing w:after="0" w:line="80" w:lineRule="exact"/>
        <w:rPr>
          <w:sz w:val="20"/>
          <w:szCs w:val="20"/>
          <w:color w:val="auto"/>
        </w:rPr>
      </w:pPr>
    </w:p>
    <w:p>
      <w:pPr>
        <w:ind w:right="60" w:firstLine="569"/>
        <w:spacing w:after="0" w:line="256" w:lineRule="auto"/>
        <w:rPr>
          <w:sz w:val="20"/>
          <w:szCs w:val="20"/>
          <w:color w:val="auto"/>
        </w:rPr>
      </w:pPr>
      <w:r>
        <w:rPr>
          <w:rFonts w:ascii="Times New Roman" w:cs="Times New Roman" w:eastAsia="Times New Roman" w:hAnsi="Times New Roman"/>
          <w:sz w:val="18"/>
          <w:szCs w:val="18"/>
          <w:color w:val="auto"/>
        </w:rPr>
        <w:t>In September 2024, we received notice from the Listing Qualifications staff of Nasdaq that we no longer complied with the minimum bid price requirement for continued listing on the Nasdaq Global Select Market. Although compliance was regained in December 2024, we received a second notice of non-compliance in February 2025 after again failing to meet the minimum bid price requirement. As of early April 2025, the Company has since regained compliance after effecting the Reverse Stock Split. However, if we are unable to maintain compliance with the minimum bid price requirement or other applicable Nasdaq listing rules, we may not be able to maintain the listing of our common stock on Nasdaq, which could adversely affect our ability to issue additional securities or obtain additional financing on terms acceptable to us, or at all.</w:t>
      </w:r>
    </w:p>
    <w:p>
      <w:pPr>
        <w:spacing w:after="0" w:line="79"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cash generated from sales, and proceeds received from the debt financing and the Private Placement described in Note 7 and 8, respectively, of the accompanying condensed financial statements above, will be sufficient to meet our anticipated needs for at least the next 12 months from the issuance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9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640" w:type="dxa"/>
            <w:vAlign w:val="bottom"/>
          </w:tcPr>
          <w:p>
            <w:pPr>
              <w:spacing w:after="0"/>
              <w:rPr>
                <w:sz w:val="17"/>
                <w:szCs w:val="17"/>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(25,663)</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(45,912)</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(78,079)</w:t>
            </w:r>
          </w:p>
        </w:tc>
        <w:tc>
          <w:tcPr>
            <w:tcW w:w="9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(59,031)</w:t>
            </w:r>
          </w:p>
        </w:tc>
      </w:tr>
      <w:tr>
        <w:trPr>
          <w:trHeight w:val="202"/>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55,656</w:t>
            </w:r>
          </w:p>
        </w:tc>
        <w:tc>
          <w:tcPr>
            <w:tcW w:w="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68,610</w:t>
            </w:r>
          </w:p>
        </w:tc>
        <w:tc>
          <w:tcPr>
            <w:tcW w:w="100" w:type="dxa"/>
            <w:vAlign w:val="bottom"/>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(48,086)</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(36,333)</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The net cash used in operating activities of $25.7 million for the three months ended March 31, 2025 was due to a net loss of $25.8 million, the amortization of premiums on investments of $0.4 million and a net cash outflow from the change in our operating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right="60"/>
        <w:spacing w:after="0" w:line="256" w:lineRule="auto"/>
        <w:rPr>
          <w:sz w:val="20"/>
          <w:szCs w:val="20"/>
          <w:color w:val="auto"/>
        </w:rPr>
      </w:pPr>
      <w:r>
        <w:rPr>
          <w:rFonts w:ascii="Times New Roman" w:cs="Times New Roman" w:eastAsia="Times New Roman" w:hAnsi="Times New Roman"/>
          <w:sz w:val="18"/>
          <w:szCs w:val="18"/>
          <w:color w:val="auto"/>
        </w:rPr>
        <w:t>assets and liabilities of $12.6 million, which were adjusted by loss on extinguishment of term loan of $7.7 million, stock-based compensation expense of $3.0 million, depreciation and amortization of $1.3 million, non-cash interest expense of $0.6 million, non-cash lease expense of $0.4 million, and allowance for credit losses of $0.2 million. The net cash outflow from operating assets and liabilities was primarily driven by a decrease in accrued compensation and related benefits primarily due to annual cash bonus payouts for 2024, a decrease in accrued interest as a result of the termination of SRL Term Loan, a decrease in accounts payable, and an increase in accounts receivable. The net cash outflow from operating assets and liabilities was partially offset by a decrease in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0" w:firstLine="569"/>
        <w:spacing w:after="0" w:line="282" w:lineRule="auto"/>
        <w:rPr>
          <w:sz w:val="20"/>
          <w:szCs w:val="20"/>
          <w:color w:val="auto"/>
        </w:rPr>
      </w:pPr>
      <w:r>
        <w:rPr>
          <w:rFonts w:ascii="Times New Roman" w:cs="Times New Roman" w:eastAsia="Times New Roman" w:hAnsi="Times New Roman"/>
          <w:sz w:val="18"/>
          <w:szCs w:val="18"/>
          <w:color w:val="auto"/>
        </w:rPr>
        <w:t>The net cash used in investing activities of $78.1 million for the three months ended March 31, 2025 was primarily due to the purchases of short-term investment securities of $96.3 million, which was partially offset by the maturities of short-term investment securities of $18.4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The net cash provided by financing activities of $55.7 million for the three months ended March 31, 2025 was due to the net proceeds of $161.9 million from the issuance of Series A Convertible Preferred Stock, the net proceeds of $98.3 million from the borrowing under the Perceptive Term Loan Facility, and the proceeds from ESPP purchases, partially offset by the cash outflow of $205.0 million in repayment of the SLR Term Loan which included final payment and termination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0" w:firstLine="56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2024 Annual Report, which could materially affect our business, financial position, or future results of operations. There have been no material changes to the risk factors described in our 2024 Annual Report, except as set forth below. The risks described in our 2024 Annual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face financial pressures including, but not limited to, capital budget constraints, staffing shortages and increased costs, that have had, and may continue to have, a negative impact on our financial condition or results of operations.</w:t>
      </w:r>
    </w:p>
    <w:p>
      <w:pPr>
        <w:spacing w:after="0" w:line="51"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w:t>
      </w:r>
    </w:p>
    <w:p>
      <w:pPr>
        <w:spacing w:after="0" w:line="75"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starting in the second half of 2023, and through 2024. We have no assurance that these impacts will abate in future periods.</w:t>
      </w:r>
    </w:p>
    <w:p>
      <w:pPr>
        <w:spacing w:after="0" w:line="72" w:lineRule="exact"/>
        <w:rPr>
          <w:sz w:val="20"/>
          <w:szCs w:val="20"/>
          <w:color w:val="auto"/>
        </w:rPr>
      </w:pPr>
    </w:p>
    <w:p>
      <w:pPr>
        <w:ind w:right="140" w:firstLine="569"/>
        <w:spacing w:after="0" w:line="261" w:lineRule="auto"/>
        <w:rPr>
          <w:sz w:val="20"/>
          <w:szCs w:val="20"/>
          <w:color w:val="auto"/>
        </w:rPr>
      </w:pPr>
      <w:r>
        <w:rPr>
          <w:rFonts w:ascii="Times New Roman" w:cs="Times New Roman" w:eastAsia="Times New Roman" w:hAnsi="Times New Roman"/>
          <w:sz w:val="18"/>
          <w:szCs w:val="18"/>
          <w:color w:val="auto"/>
        </w:rPr>
        <w:t>Moreover, in February 2024, Change Healthcare, a large provider of healthcare payment systems, experienced a cyberattack on its information technology systems, causing disruptions to healthcare providers across the United States, including financial impacts such as reduced reimbursements and cash flow. We believe several of our customers experiencing these disruptions deferred both Tablo console and treatment purchases until their cash flow normalized, adversely impacting our revenues for the first quarter of 2024.</w:t>
      </w:r>
    </w:p>
    <w:p>
      <w:pPr>
        <w:spacing w:after="0" w:line="72"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spacing w:after="0" w:line="81"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jc w:val="both"/>
        <w:ind w:right="40" w:firstLine="569"/>
        <w:spacing w:after="0" w:line="272" w:lineRule="auto"/>
        <w:rPr>
          <w:sz w:val="20"/>
          <w:szCs w:val="20"/>
          <w:color w:val="auto"/>
        </w:rPr>
      </w:pPr>
      <w:r>
        <w:rPr>
          <w:rFonts w:ascii="Times New Roman" w:cs="Times New Roman" w:eastAsia="Times New Roman" w:hAnsi="Times New Roman"/>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on August 29, 2024 and October 18, 2024, two purported stockholder class action lawsuits were filed against the Company, our Chief Executive Officer, Chief Financial Officer and former Chief Financial Officer, in the U.S. District Court for the Northern District of California alleging that the defendants violated federal securities laws by making false or misleading statements about our business, operations and prospects related to the sale and marketing of the Tablo Hemodialysis System and TabloCart with Prefiltration, including concerning the impact of certain FDA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18"/>
          <w:szCs w:val="18"/>
          <w:color w:val="auto"/>
        </w:rPr>
        <w:t>processes for these products on our revenue growth. Further, on November 29, 2024 and April 28, 2025 Outset stockholders purporting to act on behalf of the Company filed lawsuits in the U.S. District Court for the Northern District of California against current and former members of our Board of Directors and certain of our officers, alleging that the defendants breached their fiduciary duties to the Company in connection with the same alleged events and alleged materially false and misleading statements asserted in the stockholder class action lawsuits. For more information, see the section entitled “Litigation” in Note 6, Commitments and Contingencies, to our unaudited condensed financial statements included in this Quarterly Report.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subject to extensive regulatory obligations and policies that are subject to change, including due to judicial challenges, election cycles, and resulting regulatory updates and changes in policy priorities.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Federal agency priorities, leadership, policies, rulemaking, communications, spending, and staffing may be significantly impacted by election cycles, including, for example, the current administration’s commitment to significantly reduce government spending through cuts to federal healthcare programs and reductions in the workforces of key government agencies, such as the Department of Health and Human Services (HHS), the FDA, and the Centers for Medicare and Medicaid Services (CMS). Efforts by the current administration to limit federal agency budgets or personnel may result in reductions to agency budgets, employees and operations, which may lead to slower response times, less guidance from the agency, and longer review periods, potentially affecting our ability to progress development of, or obtain regulatory clearance or approval for, any future product modifications or new products. Any resulting changes in regulation may result in unexpected delays, increased costs, or other negative impacts on both our business and that of our customers that are difficult to predict.</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HHS, FDA, CMS and other agencies with significant oversight of the medical device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 Any resulting changes in regulation may result in unexpected delays, increased costs, or other negative impacts on our business that are difficult to predict.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2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Amended and Restated Certificate of Incorporation of Outset</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Medical, Inc.</w:t>
              </w:r>
            </w:hyperlink>
          </w:p>
        </w:tc>
        <w:tc>
          <w:tcPr>
            <w:tcW w:w="20" w:type="dxa"/>
            <w:vAlign w:val="bottom"/>
            <w:tcBorders>
              <w:bottom w:val="single" w:sz="8" w:color="0000EE"/>
            </w:tcBorders>
          </w:tcPr>
          <w:p>
            <w:pPr>
              <w:spacing w:after="0"/>
              <w:rPr>
                <w:sz w:val="17"/>
                <w:szCs w:val="17"/>
                <w:color w:val="auto"/>
              </w:rPr>
            </w:pPr>
          </w:p>
        </w:tc>
        <w:tc>
          <w:tcPr>
            <w:tcW w:w="42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Form of Amended and Restated Bylaws of Outset Medical, Inc.</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No. 1 To Amended and Restated Bylaws of Outset</w:t>
              </w:r>
            </w:hyperlink>
          </w:p>
        </w:tc>
        <w:tc>
          <w:tcPr>
            <w:tcW w:w="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7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Medical, Inc., dated January 23, 2025</w:t>
              </w:r>
            </w:hyperlink>
          </w:p>
        </w:tc>
        <w:tc>
          <w:tcPr>
            <w:tcW w:w="20" w:type="dxa"/>
            <w:vAlign w:val="bottom"/>
            <w:tcBorders>
              <w:bottom w:val="single" w:sz="8" w:color="0000EE"/>
            </w:tcBorders>
          </w:tcPr>
          <w:p>
            <w:pPr>
              <w:spacing w:after="0"/>
              <w:rPr>
                <w:sz w:val="17"/>
                <w:szCs w:val="17"/>
                <w:color w:val="auto"/>
              </w:rPr>
            </w:pPr>
          </w:p>
        </w:tc>
        <w:tc>
          <w:tcPr>
            <w:tcW w:w="2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9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Certificate of Designation of Preferences, Rights and Limitations of</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Series A Non-Voting Convertible Preferred Stock</w:t>
              </w:r>
            </w:hyperlink>
          </w:p>
        </w:tc>
        <w:tc>
          <w:tcPr>
            <w:tcW w:w="1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26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Amended and Restated Registration Rights Agreement</w:t>
              </w:r>
            </w:hyperlink>
          </w:p>
        </w:tc>
        <w:tc>
          <w:tcPr>
            <w:tcW w:w="1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20" w:type="dxa"/>
            <w:vAlign w:val="bottom"/>
            <w:gridSpan w:val="2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Series A Warrant Agreement #1</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220" w:type="dxa"/>
            <w:vAlign w:val="bottom"/>
            <w:gridSpan w:val="2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Series A Warrant Agreement #2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1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Description of Outset Medical, Inc.’s Securities Registered Pursuant 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220" w:type="dxa"/>
            <w:vAlign w:val="bottom"/>
            <w:gridSpan w:val="26"/>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Section 12 of the Exchange Act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0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Warrant Certificate, dated January 8, 2025, issued by Outset Medical,</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0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Inc. to Perceptive Credit Holdings IV, LP</w:t>
              </w:r>
            </w:hyperlink>
          </w:p>
        </w:tc>
        <w:tc>
          <w:tcPr>
            <w:tcW w:w="22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Outset Medical, Inc. 2020 Equity Incentive Plan, as amended and</w:t>
            </w:r>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2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restated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0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Outset Medical, Inc. Employee Stock Purchase Plan, as amended and</w:t>
            </w: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2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restated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tcBorders>
              <w:left w:val="single" w:sz="8" w:color="0000EE"/>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8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4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8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4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8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94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w:t>
            </w: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4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20" w:type="dxa"/>
            <w:vAlign w:val="bottom"/>
            <w:tcBorders>
              <w:bottom w:val="single" w:sz="8" w:color="0000EE"/>
            </w:tcBorders>
          </w:tcPr>
          <w:p>
            <w:pPr>
              <w:spacing w:after="0"/>
              <w:rPr>
                <w:sz w:val="17"/>
                <w:szCs w:val="17"/>
                <w:color w:val="auto"/>
              </w:rPr>
            </w:pPr>
          </w:p>
        </w:tc>
        <w:tc>
          <w:tcPr>
            <w:tcW w:w="1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bl>
    <w:p>
      <w:pPr>
        <w:ind w:left="1060" w:right="140" w:hanging="1052"/>
        <w:spacing w:after="0" w:line="265" w:lineRule="auto"/>
        <w:tabs>
          <w:tab w:leader="none" w:pos="10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7620</wp:posOffset>
            </wp:positionV>
            <wp:extent cx="3060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1"/>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553"/>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January 24, 2025</w:t>
            </w:r>
          </w:p>
        </w:tc>
      </w:tr>
      <w:tr>
        <w:trPr>
          <w:trHeight w:val="553"/>
        </w:trPr>
        <w:tc>
          <w:tcPr>
            <w:tcW w:w="6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January 8, 2025</w:t>
            </w:r>
          </w:p>
        </w:tc>
      </w:tr>
      <w:tr>
        <w:trPr>
          <w:trHeight w:val="553"/>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553"/>
        </w:trPr>
        <w:tc>
          <w:tcPr>
            <w:tcW w:w="6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January 8, 2025</w:t>
            </w:r>
          </w:p>
        </w:tc>
      </w:tr>
    </w:tbl>
    <w:p>
      <w:pPr>
        <w:sectPr>
          <w:pgSz w:w="11900" w:h="16838" w:orient="portrait"/>
          <w:cols w:equalWidth="0" w:num="2">
            <w:col w:w="6280" w:space="320"/>
            <w:col w:w="4500"/>
          </w:cols>
          <w:pgMar w:left="320" w:top="981" w:right="4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99"/>
              </w:rPr>
              <w:t>Outset Medical, Inc.</w:t>
            </w:r>
          </w:p>
        </w:tc>
        <w:tc>
          <w:tcPr>
            <w:tcW w:w="436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3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50"/>
              <w:spacing w:after="0" w:line="191"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 Nabeel Ahmed</w:t>
            </w:r>
          </w:p>
        </w:tc>
      </w:tr>
      <w:tr>
        <w:trPr>
          <w:trHeight w:val="205"/>
        </w:trPr>
        <w:tc>
          <w:tcPr>
            <w:tcW w:w="3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950"/>
              <w:spacing w:after="0" w:line="205" w:lineRule="exact"/>
              <w:rPr>
                <w:sz w:val="20"/>
                <w:szCs w:val="20"/>
                <w:color w:val="auto"/>
              </w:rPr>
            </w:pPr>
            <w:r>
              <w:rPr>
                <w:rFonts w:ascii="Times New Roman" w:cs="Times New Roman" w:eastAsia="Times New Roman" w:hAnsi="Times New Roman"/>
                <w:sz w:val="18"/>
                <w:szCs w:val="18"/>
                <w:color w:val="auto"/>
                <w:w w:val="99"/>
              </w:rPr>
              <w:t>Nabeel Ahmed</w:t>
            </w:r>
          </w:p>
        </w:tc>
      </w:tr>
      <w:tr>
        <w:trPr>
          <w:trHeight w:val="214"/>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48"/>
        </w:trPr>
        <w:tc>
          <w:tcPr>
            <w:tcW w:w="3380" w:type="dxa"/>
            <w:vAlign w:val="bottom"/>
          </w:tcPr>
          <w:p>
            <w:pPr>
              <w:spacing w:after="0"/>
              <w:rPr>
                <w:sz w:val="24"/>
                <w:szCs w:val="24"/>
                <w:color w:val="auto"/>
              </w:rPr>
            </w:pP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utset</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2020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dopted</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y</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22"/>
          <w:szCs w:val="22"/>
          <w:b w:val="1"/>
          <w:bCs w:val="1"/>
          <w:color w:val="auto"/>
        </w:rPr>
        <w:t xml:space="preserve"> 2, 2020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y</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22"/>
          <w:szCs w:val="22"/>
          <w:b w:val="1"/>
          <w:bCs w:val="1"/>
          <w:color w:val="auto"/>
        </w:rPr>
        <w:t xml:space="preserve"> 7, 2020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22"/>
          <w:szCs w:val="22"/>
          <w:b w:val="1"/>
          <w:bCs w:val="1"/>
          <w:color w:val="auto"/>
        </w:rPr>
        <w:t xml:space="preserve"> 20, 2025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eptember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b w:val="1"/>
          <w:bCs w:val="1"/>
          <w:color w:val="auto"/>
        </w:rPr>
        <w:t>, 2030</w:t>
      </w:r>
    </w:p>
    <w:p>
      <w:pPr>
        <w:spacing w:after="0" w:line="205" w:lineRule="exact"/>
        <w:rPr>
          <w:sz w:val="20"/>
          <w:szCs w:val="20"/>
          <w:color w:val="auto"/>
        </w:rPr>
      </w:pPr>
    </w:p>
    <w:p>
      <w:pPr>
        <w:ind w:left="5280" w:hanging="518"/>
        <w:spacing w:after="0"/>
        <w:tabs>
          <w:tab w:leader="none" w:pos="528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ntroduction</w:t>
      </w:r>
    </w:p>
    <w:p>
      <w:pPr>
        <w:spacing w:after="0" w:line="204"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b w:val="1"/>
          <w:bCs w:val="1"/>
          <w:color w:val="auto"/>
        </w:rPr>
        <w:t>1.1 P</w:t>
      </w:r>
      <w:r>
        <w:rPr>
          <w:rFonts w:ascii="Times New Roman" w:cs="Times New Roman" w:eastAsia="Times New Roman" w:hAnsi="Times New Roman"/>
          <w:sz w:val="14"/>
          <w:szCs w:val="14"/>
          <w:b w:val="1"/>
          <w:bCs w:val="1"/>
          <w:color w:val="auto"/>
        </w:rPr>
        <w:t>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purposes of the Outset Medical, Inc. 2020 Equity Incentive Plan (this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are (i) to align the interests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stockholders and 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best interests of the Company and its stockholders.</w:t>
      </w:r>
    </w:p>
    <w:p>
      <w:pPr>
        <w:spacing w:after="0" w:line="1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1.2</w:t>
        <w:tab/>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written or electronic agreement evidencing an award hereunder between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of such award.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Internal Revenue Code of 1986, as amended.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Compensation Committee of the Board, or a subcommittee thereof, or such other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by the Board, in each case, consisting of two or more members of the Board, each of whom is intended to be (i) a “Non-Employee Director” within the meaning of Rule 16b-3 under the Exchange Act and (ii) “independent” within the meaning of the rules of NASDAQ or, if the Common Stock is not listed on NASDAQ, within the meaning of the rules of the principal stock exchange on which the Common Stock is then traded.</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common stock, par value $0.001 per share, of the Company, and all rights appurtenant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Outset Medical, Inc., a Delaware corporation, or any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Securities Exchange Act of 1934, as amended.</w:t>
      </w:r>
    </w:p>
    <w:p>
      <w:pPr>
        <w:spacing w:after="0" w:line="206"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Exchange Act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natural person, entity, or “group” (within the meaning of Section 13(d) or 14(d)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Exchange Act), except that “Exchange Act Person” does not include: (i) the Company or any Subsidiary; (ii) any employee benefit plan of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color w:val="auto"/>
        </w:rPr>
        <w:t>Subsidiary or any trustee or other fiduciary holding securities under an employee benefit plan of the Company or any Subsidiary;</w:t>
      </w:r>
    </w:p>
    <w:p>
      <w:pPr>
        <w:spacing w:after="0" w:line="26" w:lineRule="exact"/>
        <w:rPr>
          <w:sz w:val="20"/>
          <w:szCs w:val="20"/>
          <w:color w:val="auto"/>
        </w:rPr>
      </w:pPr>
    </w:p>
    <w:p>
      <w:pPr>
        <w:jc w:val="both"/>
        <w:ind w:firstLine="8"/>
        <w:spacing w:after="0" w:line="233" w:lineRule="auto"/>
        <w:tabs>
          <w:tab w:leader="none" w:pos="4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this Plan, is the owner, directly or indirectly, of securities of the Company representing more than 50% of the combined voting power of the Company’s then outstanding securities.</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closing transaction price of a share of Common Stock as reported on NASDAQ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as of which such value is being determined or, if the Common Stock is not listed on NASDAQ,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the Company may in its discretion use the closing transaction price of a share of Common Stock on the day preceding the date as of which such value is being determined to the extent the Company determines such method is more practical for administrative purposes, such as for purposes of tax withholding and (ii)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Free-Standing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SAR which is not granted in tandem with, or by reference to, an option, which entitles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that are exercised.</w:t>
      </w:r>
    </w:p>
    <w:p>
      <w:pPr>
        <w:spacing w:after="0" w:line="171" w:lineRule="exact"/>
        <w:rPr>
          <w:sz w:val="20"/>
          <w:szCs w:val="20"/>
          <w:color w:val="auto"/>
        </w:rPr>
      </w:pPr>
    </w:p>
    <w:p>
      <w:pPr>
        <w:jc w:val="both"/>
        <w:ind w:firstLine="749"/>
        <w:spacing w:after="0" w:line="288"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Incentive Stock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 option to purchase shares of Common Stock that meets the requirements of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422 of the Code, or any successor provision, which is intended by the Committee to constitute an Incentive Stock Option.</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Incumbent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5.8(a)(5)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member of the Board who is not an officer or employee of the Company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option to purchase shares of Common Stock which is not an Incentive Stock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Other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granted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Performance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right to receive an amount of cash, Common Stock, or a combination of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contingent upon the attainment of specified Performance Measures within a specified Performance Period.</w:t>
      </w:r>
    </w:p>
    <w:p>
      <w:pPr>
        <w:spacing w:after="0" w:line="200" w:lineRule="exact"/>
        <w:rPr>
          <w:sz w:val="20"/>
          <w:szCs w:val="20"/>
          <w:color w:val="auto"/>
        </w:rPr>
      </w:pPr>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Performance Measures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criteria and objectives, established by the Committee, which shall be satisfied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 Such criteria and objectives may include one or more of the following corporate-wide or Subsidiary, division, operating unit, line of business, project, geographic or individual measures: the attainment by a share of Common Stock of a specified Fair Market Value for a specified period of time; increase in stockholder value; earnings per share; return on or net assets; return on equity; return on investments; return on capital or invested capital; total stockholder return; earnings or income of the Company before or after taxes and/or interest; earnings before interest, taxes, depreciation and amortization (“</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EBITDA margin; operating income; revenues; operating expenses, attainment of expense levels or cost reduction goals; market share; cash flow, cash flow per share, cash flow margin or free cash flow; interest expense; economic value created; gross profit or margin; operating profit or margin; net cash provided by operations; price-to-earnings growth; and strategic business criteria, consisting of one or more objectives based on meeting specified goals relating to market penetration, customer acquisition, business expansion, cost targets, customer satisfaction, reductions in errors and omissions, reductions in lost business, management of employment practices and employee benefits, supervision of litigation, supervision of information technology, quality and quality audit scores, efficiency, acquisitions or divestitures, publication, clinical or regulatory milestones, research and development achievements, coverage decisions, licenses, collaborations, joint ventures or promotional arrangements and such other goals as the Committee may determine whether or not listed herein, or any combination of the foregoing. Each such goal may be expressed on an absolute or relative basis and may include comparisons based on current internal targets, the past performance of the Company (including the performance of one or more Subsidiaries, divisions, or operating units) or the past or 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 or post-tax basis and may be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w:t>
      </w:r>
      <w:r>
        <w:rPr>
          <w:rFonts w:ascii="Times New Roman" w:cs="Times New Roman" w:eastAsia="Times New Roman" w:hAnsi="Times New Roman"/>
          <w:sz w:val="21"/>
          <w:szCs w:val="21"/>
          <w:u w:val="single" w:color="auto"/>
          <w:color w:val="auto"/>
        </w:rPr>
        <w:t>Adjustment Events</w:t>
      </w:r>
      <w:r>
        <w:rPr>
          <w:rFonts w:ascii="Times New Roman" w:cs="Times New Roman" w:eastAsia="Times New Roman" w:hAnsi="Times New Roman"/>
          <w:sz w:val="21"/>
          <w:szCs w:val="21"/>
          <w:color w:val="auto"/>
        </w:rPr>
        <w:t>”). In the sole discretion of the Committee, the Committee may amend or adjust the Performance Measures or other terms and conditions of an outstanding award in recognition of any Adjustment Events. Performance goals shall be subject to such other special rules and conditions as the Committee may establish at any time.</w:t>
      </w:r>
    </w:p>
    <w:p>
      <w:pPr>
        <w:spacing w:after="0" w:line="200" w:lineRule="exact"/>
        <w:rPr>
          <w:sz w:val="20"/>
          <w:szCs w:val="20"/>
          <w:color w:val="auto"/>
        </w:rPr>
      </w:pPr>
    </w:p>
    <w:p>
      <w:pPr>
        <w:spacing w:after="0" w:line="21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period designated by the Committee during which (i) the Performance Measures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an award shall be measured and (ii) the conditions to vesting applicable to an award shall remain in effect.</w:t>
      </w:r>
    </w:p>
    <w:p>
      <w:pPr>
        <w:spacing w:after="0" w:line="200" w:lineRule="exact"/>
        <w:rPr>
          <w:sz w:val="20"/>
          <w:szCs w:val="20"/>
          <w:color w:val="auto"/>
        </w:rPr>
      </w:pPr>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3" w:name="page34"/>
    <w:bookmarkEnd w:id="33"/>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Prior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Outset Medical, Inc. 2019 Equity Incentive Plan and each other equity plan maintained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 which awards are outstanding as of the effective date of the Plan.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shares of Common Stock which are subject to a Restriction Period and which may, in addition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 be subject to the attainment of specified Performance Measures within a specified Performance Period.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of Restricted Stock under this Plan.</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right to receive one share of Common Stock or, in lieu thereof and to the extent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of Restricted Stock Units under this Plan.</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period designated by the Committee during which either (i) the Common Stock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43"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stock appreciation right, which may be a Free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Standing SAR or a Tandem SAR.</w:t>
      </w:r>
    </w:p>
    <w:p>
      <w:pPr>
        <w:spacing w:after="0" w:line="2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Restricted Stock Award, Restricted Stock Unit Award or Other Stock Award.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Subject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5.8(a)(1)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corporation, limited liability company, partnership, joint venture, or similar entity in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owns, directly or indirectly, an equity interest possessing more than 50% of the combined voting power of the total outstanding equity interests of such entity.</w:t>
      </w:r>
    </w:p>
    <w:p>
      <w:pPr>
        <w:spacing w:after="0" w:line="16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Substitute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 award granted under this Plan upon the assumption of, or in substitution for,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the term “Substitute Award” be construed to refer to an award made in connection with the cancellation and repricing of an option or SAR.</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Tandem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SAR which is granted in tandem with, or by reference to, an option (including a Nonstatutory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Option granted prior to the date of grant of the SAR), which entitles the holder thereof to receive, upon exercise of such SAR and surrender for cancellation of all or a portion of such option, shares of Common Stock (which may be Restricted Stock) or, to</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4" w:name="page35"/>
    <w:bookmarkEnd w:id="34"/>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Tax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Ten Percent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22"/>
          <w:szCs w:val="22"/>
          <w:b w:val="1"/>
          <w:bCs w:val="1"/>
          <w:color w:val="auto"/>
        </w:rPr>
        <w:t>1.3 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shall be administered by the Committee. Any one or a combination of the following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made under this Plan to eligible persons: (i) options to purchase shares of Common Stock in the form of Incentive Stock Options or Nonstatutory Stock Options; (ii) SARs in the form of Tandem SARs or Free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22"/>
          <w:szCs w:val="22"/>
          <w:color w:val="auto"/>
        </w:rPr>
        <w:t>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6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1.4 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in this Plan shall consist of such officers, other employees, Non-Employee Directors,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contractors, agents, and persons expected to become officers, other employees, Non-Employee Directors, consultants, independent contractors and agents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 Notwithstanding anything herein to the contrary, the aggregate value of cash compensation to be paid and the grant date fair value of equity awards that may be granted during any fiscal year of the Company to any Non-Employee Director shall not exceed $400,000, increased to $800,000 with respect to the fiscal year of a Non-Employee Director’s initial service as a Non-Employee Director.</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1.5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vailable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adjustment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all other limits set forth in this Plan, 244,344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shares of Common Stock shall initially be available for all awards under this Plan, other than Substitute Awards. Subject to adjustment as provided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no more than 610,861 shares of Common Stock in the aggregate may be issued under the Plan in connection with Incentive Stock Options. The number of shares of Common Stock available under the Plan shall increase annually on the first day of each fiscal year, beginning with the fiscal year ending December 31, 2021, and continuing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Board. The number of shares of Common Stock that remain available for future grants under this Plan shall be reduced by the sum of the aggregate number of shares of Common Stock that become subject to outstanding options, outstanding Free-Standing SARs, outstanding Stock Awards and outstanding Performance Awards denominated in shares of Common Stock.</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b w:val="1"/>
          <w:bCs w:val="1"/>
          <w:color w:val="auto"/>
        </w:rPr>
        <w:t>To the extent that shares of Common Stock subject to an outstanding option, SAR, Stock Award or Performance Award granted under the Plan or the Prior Plan, other than Substitute Awards, are not issued or delivered by reason of</w:t>
      </w:r>
    </w:p>
    <w:p>
      <w:pPr>
        <w:spacing w:after="0" w:line="1" w:lineRule="exact"/>
        <w:rPr>
          <w:sz w:val="20"/>
          <w:szCs w:val="20"/>
          <w:color w:val="auto"/>
        </w:rPr>
      </w:pPr>
    </w:p>
    <w:p>
      <w:pPr>
        <w:jc w:val="both"/>
        <w:ind w:firstLine="8"/>
        <w:spacing w:after="0" w:line="244" w:lineRule="auto"/>
        <w:tabs>
          <w:tab w:leader="none" w:pos="276"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In addition, shares of Common Stock subject to an award under this Plan or the Prior Plan shall again be available for issuance under this Plan if such shares are (x) shares that were subject to an option or stock-settled SAR and were not issued or delivered upon the net settlement or net exercise of such option or SAR or (y) shares delivered to or withheld by the Company to pay the purchase price or the withholding taxes related to an outstanding award.</w:t>
      </w:r>
    </w:p>
    <w:p>
      <w:pPr>
        <w:spacing w:after="0" w:line="200" w:lineRule="exact"/>
        <w:rPr>
          <w:sz w:val="20"/>
          <w:szCs w:val="20"/>
          <w:color w:val="auto"/>
        </w:rPr>
      </w:pP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Notwithstanding anything herein to the contrary, shares repurchased by the Company on the open market with the proceeds of an option exercise shall not again be available under this Plan.</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21"/>
          <w:szCs w:val="21"/>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69"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22"/>
          <w:szCs w:val="22"/>
          <w:b w:val="1"/>
          <w:bCs w:val="1"/>
          <w:color w:val="auto"/>
        </w:rPr>
        <w:t>II.</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2.1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options to purchase shares of Common Stock to such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as may be selected by the Committee. Each option, or portion thereof, that is not an Incentive Stock Option, shall be a Nonstatutory Stock Option. To the extent that the aggregate Fair Market Value (determined as of the date of grant) of shares of Common Stock with respect to which options designated as Incentive Stock Options are exercisable for the first time by a holder during any calendar year (under this Plan or any other plan of the Company, or any parent or Subsidiary) exceeds the amount (currently $100,000) established by the Code, such options shall constitute Nonstatutory Stock Options.</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Options shall be subject to the following terms and conditions and shall contain such additional terms and conditions, not inconsistent with the terms of this Plan, as the Committee shall deem advisable:</w:t>
      </w:r>
    </w:p>
    <w:p>
      <w:pPr>
        <w:spacing w:after="0" w:line="154" w:lineRule="exact"/>
        <w:rPr>
          <w:sz w:val="20"/>
          <w:szCs w:val="20"/>
          <w:color w:val="auto"/>
        </w:rPr>
      </w:pPr>
    </w:p>
    <w:p>
      <w:pPr>
        <w:jc w:val="both"/>
        <w:ind w:firstLine="757"/>
        <w:spacing w:after="0" w:line="235" w:lineRule="auto"/>
        <w:tabs>
          <w:tab w:leader="none" w:pos="10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Shares and Purchase Price. </w:t>
      </w:r>
      <w:r>
        <w:rPr>
          <w:rFonts w:ascii="Times New Roman" w:cs="Times New Roman" w:eastAsia="Times New Roman" w:hAnsi="Times New Roman"/>
          <w:sz w:val="22"/>
          <w:szCs w:val="22"/>
          <w:color w:val="auto"/>
        </w:rPr>
        <w:t>The number of shares of Common Stock subject to an option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purchase price per share of Common Stock purchasable upon exercise of the option shall be determined by the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purchase price per share of Common Stock purchasable upon exercise of an option shall not be 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than 100% of the Fair Market Value of a share of Common Stock on the date of grant of such option;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 Incentive Stock Option shall be granted to any person who, at the time such option is granted, owns capital stock possessing more than 10% of the total combined voting power of all classes of capital stock of the Company (or of any parent or Subsidiary) (a “</w:t>
      </w:r>
      <w:r>
        <w:rPr>
          <w:rFonts w:ascii="Times New Roman" w:cs="Times New Roman" w:eastAsia="Times New Roman" w:hAnsi="Times New Roman"/>
          <w:sz w:val="22"/>
          <w:szCs w:val="22"/>
          <w:b w:val="1"/>
          <w:bCs w:val="1"/>
          <w:i w:val="1"/>
          <w:iCs w:val="1"/>
          <w:color w:val="auto"/>
        </w:rPr>
        <w:t>Ten Percent Holder</w:t>
      </w:r>
      <w:r>
        <w:rPr>
          <w:rFonts w:ascii="Times New Roman" w:cs="Times New Roman" w:eastAsia="Times New Roman" w:hAnsi="Times New Roman"/>
          <w:sz w:val="22"/>
          <w:szCs w:val="22"/>
          <w:color w:val="auto"/>
        </w:rPr>
        <w:t>”), the purchase price per share of Common Stock shall not be less than the price (currently 110% of Fair Market Value) required by the Code in order to constitute an Incentive Stock Option.</w:t>
      </w:r>
    </w:p>
    <w:p>
      <w:pPr>
        <w:spacing w:after="0" w:line="182"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w:t>
      </w: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22"/>
          <w:szCs w:val="22"/>
          <w:color w:val="auto"/>
        </w:rPr>
        <w:t>of the predecessor company or other entity that were subject to the grant assumed or substituted for by the Company, over (y) the aggregate purchase price of such shares.</w:t>
      </w:r>
    </w:p>
    <w:p>
      <w:pPr>
        <w:spacing w:after="0" w:line="154" w:lineRule="exact"/>
        <w:rPr>
          <w:sz w:val="20"/>
          <w:szCs w:val="20"/>
          <w:color w:val="auto"/>
        </w:rPr>
      </w:pPr>
    </w:p>
    <w:p>
      <w:pPr>
        <w:jc w:val="both"/>
        <w:ind w:firstLine="757"/>
        <w:spacing w:after="0" w:line="236" w:lineRule="auto"/>
        <w:tabs>
          <w:tab w:leader="none" w:pos="10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Option Period and Exercisability. </w:t>
      </w:r>
      <w:r>
        <w:rPr>
          <w:rFonts w:ascii="Times New Roman" w:cs="Times New Roman" w:eastAsia="Times New Roman" w:hAnsi="Times New Roman"/>
          <w:sz w:val="22"/>
          <w:szCs w:val="22"/>
          <w:color w:val="auto"/>
        </w:rPr>
        <w:t>The period during which an option may be exercised shall be determined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option may be exercised later than ten years after its date of grant;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 Incentive Stock Option shall be granted to a Ten Percent Holder, such option may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75" w:lineRule="exact"/>
        <w:rPr>
          <w:rFonts w:ascii="Times New Roman" w:cs="Times New Roman" w:eastAsia="Times New Roman" w:hAnsi="Times New Roman"/>
          <w:sz w:val="22"/>
          <w:szCs w:val="22"/>
          <w:color w:val="auto"/>
        </w:rPr>
      </w:pPr>
    </w:p>
    <w:p>
      <w:pPr>
        <w:ind w:right="40" w:firstLine="757"/>
        <w:spacing w:after="0" w:line="244" w:lineRule="auto"/>
        <w:tabs>
          <w:tab w:leader="none" w:pos="10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An option may be exercised (i) by giving written notice to the Company specifying the number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holder has submitted an irrevocable notice of exercise; (E) in any other form of legal consideration that may be acceptable to the Committee and specified in the Agreement; or (F) a combination of (A), (B), (C) and (E),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holder. No shares of Common Stock shall be issued and no certificate representing Common Stock shall be delivered until the full purchase price therefor and any withholding taxes thereon, as described in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have been paid (or arrangement made for such payment to the Company’s satisfaction).</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2.2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SARs to such eligible persons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selected by the Committee. The Agreement relating to an SAR shall specify whether the SAR is a Tandem SAR or a Free-Standing SAR.</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SARs shall be subject to the following terms and conditions and shall contain such additional terms and conditions, not inconsistent with the terms of this Plan, as the Committee shall deem advisable:</w:t>
      </w:r>
    </w:p>
    <w:p>
      <w:pPr>
        <w:spacing w:after="0" w:line="154" w:lineRule="exact"/>
        <w:rPr>
          <w:sz w:val="20"/>
          <w:szCs w:val="20"/>
          <w:color w:val="auto"/>
        </w:rPr>
      </w:pPr>
    </w:p>
    <w:p>
      <w:pPr>
        <w:jc w:val="both"/>
        <w:ind w:firstLine="757"/>
        <w:spacing w:after="0" w:line="246" w:lineRule="auto"/>
        <w:tabs>
          <w:tab w:leader="none" w:pos="10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SARs and Base Price. </w:t>
      </w:r>
      <w:r>
        <w:rPr>
          <w:rFonts w:ascii="Times New Roman" w:cs="Times New Roman" w:eastAsia="Times New Roman" w:hAnsi="Times New Roman"/>
          <w:sz w:val="22"/>
          <w:szCs w:val="22"/>
          <w:color w:val="auto"/>
        </w:rPr>
        <w:t>The number of SARs subject to an award shall be determined by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Tandem SAR related to an Incentive Stock Option shall be granted at the same time that such Incentive Stock Option is granted. The base price of a Tandem</w:t>
      </w: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SAR shall be the purchase price per share of Common Stock of the related option. The base price of a Free-Standing SAR shall be determined by the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Notwithstanding the foregoing, in the case of an SAR that is a Substitute Award, the base price per share of the shares subject to such SAR may be less than 100% of the Fair Market Value per share on the date of grant, provided, that the excess of:</w:t>
      </w:r>
    </w:p>
    <w:p>
      <w:pPr>
        <w:spacing w:after="0" w:line="1" w:lineRule="exact"/>
        <w:rPr>
          <w:sz w:val="20"/>
          <w:szCs w:val="20"/>
          <w:color w:val="auto"/>
        </w:rPr>
      </w:pPr>
    </w:p>
    <w:p>
      <w:pPr>
        <w:jc w:val="both"/>
        <w:ind w:firstLine="8"/>
        <w:spacing w:after="0" w:line="233" w:lineRule="auto"/>
        <w:tabs>
          <w:tab w:leader="none" w:pos="32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75" w:lineRule="exact"/>
        <w:rPr>
          <w:rFonts w:ascii="Times New Roman" w:cs="Times New Roman" w:eastAsia="Times New Roman" w:hAnsi="Times New Roman"/>
          <w:sz w:val="22"/>
          <w:szCs w:val="22"/>
          <w:color w:val="auto"/>
        </w:rPr>
      </w:pPr>
    </w:p>
    <w:p>
      <w:pPr>
        <w:jc w:val="both"/>
        <w:ind w:firstLine="757"/>
        <w:spacing w:after="0" w:line="247" w:lineRule="exact"/>
        <w:tabs>
          <w:tab w:leader="none" w:pos="101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Exercise Period and Exercisability. </w:t>
      </w:r>
      <w:r>
        <w:rPr>
          <w:rFonts w:ascii="Times New Roman" w:cs="Times New Roman" w:eastAsia="Times New Roman" w:hAnsi="Times New Roman"/>
          <w:sz w:val="22"/>
          <w:szCs w:val="22"/>
          <w:color w:val="auto"/>
        </w:rPr>
        <w:t>The period for the exercise of an SAR shall be determined by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 no Tandem SAR may be exercised later than the expiration, cancellation, forfeiture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the related option and (ii) no Free-Standing SAR may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 Prior to the exercise of a stock-settled SAR, the holder of such SAR shall have no rights as a stockholder of the Company with respect to the shares of Common Stock subject to such SAR.</w:t>
      </w:r>
    </w:p>
    <w:p>
      <w:pPr>
        <w:spacing w:after="0" w:line="182"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Method of Exercise. </w:t>
      </w:r>
      <w:r>
        <w:rPr>
          <w:rFonts w:ascii="Times New Roman" w:cs="Times New Roman" w:eastAsia="Times New Roman" w:hAnsi="Times New Roman"/>
          <w:sz w:val="22"/>
          <w:szCs w:val="22"/>
          <w:color w:val="auto"/>
        </w:rPr>
        <w:t>A Tandem SAR may be exercised by (i) giving written notice to the Company specifying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number of whole SARs which are being exercised, (ii) surrendering to the Company any options which are cancelled by reason of the exercise of the Tandem SAR and (iii) executing such documents as the Company may reasonably request. A Free-Standing SAR may be exercised by (A) giving written notice to the Company specifying the whole number of SARs which are being exercised and (B) executing such documents as the Company may reasonably request. No shares of Common Stock shall be issued and no certificate representing Common Stock shall be delivered until any withholding taxes thereon, as described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have been paid (or arrangement made for such payment to the Company’s satisfaction).</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2.3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exercise, cancellation or other disposition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or SAR (i) upon a termination of employment with or service to the Company of the holder of such option or SAR, as the case may be, whether by</w:t>
      </w: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reason of disability, retirement, death, or any other reason; or (ii) during a paid or unpaid leave of absence, shall be determined by the Committee and set forth in the applicable Agreement.</w:t>
      </w:r>
    </w:p>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2.4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epricing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shall not, without the approval of the stockholders of the Company, (i) reduce the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price or base price of 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2.5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ividend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in an Agreement to the contrary, the holder of an option or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entitled to receive dividend equivalents with respect to the number of shares of Common Stock subject to such option or SAR.</w:t>
      </w:r>
    </w:p>
    <w:p>
      <w:pPr>
        <w:spacing w:after="0" w:line="200" w:lineRule="exact"/>
        <w:rPr>
          <w:sz w:val="20"/>
          <w:szCs w:val="20"/>
          <w:color w:val="auto"/>
        </w:rPr>
      </w:pPr>
    </w:p>
    <w:p>
      <w:pPr>
        <w:spacing w:after="0" w:line="222"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Stock Awards to such eligible persons as may be selected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The Agreement relating to a Stock Award shall specify whether the Stock Award is a Restricted Stock Award, a Restricted Stock Unit Award or, in the case of an Other Stock Award, the type of award being granted.</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3.2 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Awards shall be subject to the following terms and conditions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contain such additional terms and conditions, not inconsistent with the terms of this Plan, as the Committee shall deem advisable.</w:t>
      </w:r>
    </w:p>
    <w:p>
      <w:pPr>
        <w:spacing w:after="0" w:line="167" w:lineRule="exact"/>
        <w:rPr>
          <w:sz w:val="20"/>
          <w:szCs w:val="20"/>
          <w:color w:val="auto"/>
        </w:rPr>
      </w:pPr>
    </w:p>
    <w:p>
      <w:pPr>
        <w:jc w:val="both"/>
        <w:ind w:firstLine="757"/>
        <w:spacing w:after="0" w:line="246"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Shares and Other Terms. </w:t>
      </w:r>
      <w:r>
        <w:rPr>
          <w:rFonts w:ascii="Times New Roman" w:cs="Times New Roman" w:eastAsia="Times New Roman" w:hAnsi="Times New Roman"/>
          <w:sz w:val="22"/>
          <w:szCs w:val="22"/>
          <w:color w:val="auto"/>
        </w:rPr>
        <w:t>The number of shares of Common Stock subject to a 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Restriction Period, Performance Period (if any) and Performance Measures (if any) applicable to a Restricted Stock Award shall be determined by the Committee.</w:t>
      </w:r>
    </w:p>
    <w:p>
      <w:pPr>
        <w:spacing w:after="0" w:line="167"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Forfeiture. </w:t>
      </w:r>
      <w:r>
        <w:rPr>
          <w:rFonts w:ascii="Times New Roman" w:cs="Times New Roman" w:eastAsia="Times New Roman" w:hAnsi="Times New Roman"/>
          <w:sz w:val="22"/>
          <w:szCs w:val="22"/>
          <w:color w:val="auto"/>
        </w:rPr>
        <w:t>The Agreement relating to a Restricted Stock Award shall provide,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Issuance. </w:t>
      </w:r>
      <w:r>
        <w:rPr>
          <w:rFonts w:ascii="Times New Roman" w:cs="Times New Roman" w:eastAsia="Times New Roman" w:hAnsi="Times New Roman"/>
          <w:sz w:val="22"/>
          <w:szCs w:val="22"/>
          <w:color w:val="auto"/>
        </w:rPr>
        <w:t>During the Restriction Period, the shares of Restricted Stock shall be held by a custodian in book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indicating that the ownership of the shares of Common Stock represented by such certificate is subject to the restrictions, terms and conditions of this Plan and the</w:t>
      </w: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74" w:lineRule="exact"/>
        <w:rPr>
          <w:sz w:val="20"/>
          <w:szCs w:val="20"/>
          <w:color w:val="auto"/>
        </w:rPr>
      </w:pPr>
    </w:p>
    <w:p>
      <w:pPr>
        <w:jc w:val="both"/>
        <w:ind w:firstLine="757"/>
        <w:spacing w:after="0" w:line="248" w:lineRule="auto"/>
        <w:tabs>
          <w:tab w:leader="none" w:pos="101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Rights with Respect to Restricted Stock Awards. </w:t>
      </w:r>
      <w:r>
        <w:rPr>
          <w:rFonts w:ascii="Times New Roman" w:cs="Times New Roman" w:eastAsia="Times New Roman" w:hAnsi="Times New Roman"/>
          <w:sz w:val="21"/>
          <w:szCs w:val="21"/>
          <w:color w:val="auto"/>
        </w:rPr>
        <w:t>Unless otherwise set forth in the Agreement relating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 a distribution with respect to shares of Common Stock, other than a regular cash dividend, and (ii) a regular cash dividend with respect to shares of Common Stock that are subject to performance-based vesting conditions, in each case, shall be deposited with the Company and shall be subject to the same restrictions as the shares of Common Stock with respect to which such distribution was made.</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3.3 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Awards shall be subject to the following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and shall contain such additional terms and conditions, not inconsistent with the terms of this Plan, as the Committee shall deem advisable.</w:t>
      </w:r>
    </w:p>
    <w:p>
      <w:pPr>
        <w:spacing w:after="0" w:line="167" w:lineRule="exact"/>
        <w:rPr>
          <w:sz w:val="20"/>
          <w:szCs w:val="20"/>
          <w:color w:val="auto"/>
        </w:rPr>
      </w:pPr>
    </w:p>
    <w:p>
      <w:pPr>
        <w:jc w:val="both"/>
        <w:ind w:firstLine="757"/>
        <w:spacing w:after="0" w:line="241" w:lineRule="auto"/>
        <w:tabs>
          <w:tab w:leader="none" w:pos="10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Shares and Other Terms. </w:t>
      </w:r>
      <w:r>
        <w:rPr>
          <w:rFonts w:ascii="Times New Roman" w:cs="Times New Roman" w:eastAsia="Times New Roman" w:hAnsi="Times New Roman"/>
          <w:sz w:val="22"/>
          <w:szCs w:val="22"/>
          <w:color w:val="auto"/>
        </w:rPr>
        <w:t>The number of shares of Common Stock subject to a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71"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Forfeiture. </w:t>
      </w:r>
      <w:r>
        <w:rPr>
          <w:rFonts w:ascii="Times New Roman" w:cs="Times New Roman" w:eastAsia="Times New Roman" w:hAnsi="Times New Roman"/>
          <w:sz w:val="22"/>
          <w:szCs w:val="22"/>
          <w:color w:val="auto"/>
        </w:rPr>
        <w:t>The Agreement relating to a Restricted Stock Unit Award shall provide,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75" w:lineRule="exact"/>
        <w:rPr>
          <w:rFonts w:ascii="Times New Roman" w:cs="Times New Roman" w:eastAsia="Times New Roman" w:hAnsi="Times New Roman"/>
          <w:sz w:val="22"/>
          <w:szCs w:val="22"/>
          <w:color w:val="auto"/>
        </w:rPr>
      </w:pPr>
    </w:p>
    <w:p>
      <w:pPr>
        <w:jc w:val="both"/>
        <w:ind w:firstLine="757"/>
        <w:spacing w:after="0" w:line="263" w:lineRule="auto"/>
        <w:tabs>
          <w:tab w:leader="none" w:pos="101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Settlement of Vested Restricted Stock Unit Awards. </w:t>
      </w:r>
      <w:r>
        <w:rPr>
          <w:rFonts w:ascii="Times New Roman" w:cs="Times New Roman" w:eastAsia="Times New Roman" w:hAnsi="Times New Roman"/>
          <w:sz w:val="21"/>
          <w:szCs w:val="21"/>
          <w:color w:val="auto"/>
        </w:rPr>
        <w:t>The Agreement relating to a Restricted Stock Unit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specify (i) whether such award may be settled in shares of Common Stock or cash or a combination thereof and (ii) whether the holder thereof shall be entitled to receive dividend equivalents, and, if determined by the Committee, interest on, or the</w:t>
      </w: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jc w:val="both"/>
        <w:spacing w:after="0" w:line="238" w:lineRule="auto"/>
        <w:rPr>
          <w:sz w:val="20"/>
          <w:szCs w:val="20"/>
          <w:color w:val="auto"/>
        </w:rPr>
      </w:pPr>
      <w:r>
        <w:rPr>
          <w:rFonts w:ascii="Times New Roman" w:cs="Times New Roman" w:eastAsia="Times New Roman" w:hAnsi="Times New Roman"/>
          <w:sz w:val="22"/>
          <w:szCs w:val="22"/>
          <w:color w:val="auto"/>
        </w:rPr>
        <w:t>deemed reinvestment of, any deferred dividend equivalents, with respect to the number of shares of Common Stock subject to such award. Any dividend equivalents with respect to Restricted Stock Units that are subject to performance-based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3.4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Subject to the limitations set forth in the Plan, the Committee is authorized to grant other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may be denominated or 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3.5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satisfaction of Performance Measures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Restriction 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spacing w:after="0" w:line="177"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4.1 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Performance Awards to such eligible persons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selected by the Committee.</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4.2 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shall be subject to the following terms and conditions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 such additional terms and conditions, not inconsistent with the terms of this Plan, as the Committee shall deem advisable.</w:t>
      </w:r>
    </w:p>
    <w:p>
      <w:pPr>
        <w:sectPr>
          <w:pgSz w:w="11900" w:h="16838" w:orient="portrait"/>
          <w:cols w:equalWidth="0" w:num="1">
            <w:col w:w="11240"/>
          </w:cols>
          <w:pgMar w:left="320" w:top="1408" w:right="339" w:bottom="1440" w:gutter="0" w:footer="0" w:header="0"/>
        </w:sectPr>
      </w:pPr>
    </w:p>
    <w:p>
      <w:pPr>
        <w:spacing w:after="0" w:line="150" w:lineRule="exact"/>
        <w:rPr>
          <w:sz w:val="20"/>
          <w:szCs w:val="20"/>
          <w:color w:val="auto"/>
        </w:rPr>
      </w:pPr>
    </w:p>
    <w:p>
      <w:pPr>
        <w:ind w:firstLine="757"/>
        <w:spacing w:after="0" w:line="246" w:lineRule="auto"/>
        <w:tabs>
          <w:tab w:leader="none" w:pos="10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Value of Performance Awards and Performance Measures. </w:t>
      </w:r>
      <w:r>
        <w:rPr>
          <w:rFonts w:ascii="Times New Roman" w:cs="Times New Roman" w:eastAsia="Times New Roman" w:hAnsi="Times New Roman"/>
          <w:sz w:val="22"/>
          <w:szCs w:val="22"/>
          <w:color w:val="auto"/>
        </w:rPr>
        <w:t>Performance Award and the Performance Measures and Performance Period determined by the Committee.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spacing w:after="0" w:line="258" w:lineRule="auto"/>
        <w:rPr>
          <w:sz w:val="20"/>
          <w:szCs w:val="20"/>
          <w:color w:val="auto"/>
        </w:rPr>
      </w:pPr>
      <w:r>
        <w:rPr>
          <w:rFonts w:ascii="Times New Roman" w:cs="Times New Roman" w:eastAsia="Times New Roman" w:hAnsi="Times New Roman"/>
          <w:sz w:val="22"/>
          <w:szCs w:val="22"/>
          <w:color w:val="auto"/>
        </w:rPr>
        <w:t>The method of determining the value of the applicable to a Performance Award shall be</w:t>
      </w:r>
    </w:p>
    <w:p>
      <w:pPr>
        <w:spacing w:after="0" w:line="397" w:lineRule="exact"/>
        <w:rPr>
          <w:sz w:val="20"/>
          <w:szCs w:val="20"/>
          <w:color w:val="auto"/>
        </w:rPr>
      </w:pPr>
    </w:p>
    <w:p>
      <w:pPr>
        <w:sectPr>
          <w:pgSz w:w="11900" w:h="16838" w:orient="portrait"/>
          <w:cols w:equalWidth="0" w:num="2">
            <w:col w:w="7040" w:space="20"/>
            <w:col w:w="4180"/>
          </w:cols>
          <w:pgMar w:left="320" w:top="1408" w:right="339" w:bottom="1440" w:gutter="0" w:footer="0" w:header="0"/>
          <w:type w:val="continuous"/>
        </w:sectPr>
      </w:pPr>
    </w:p>
    <w:p>
      <w:pPr>
        <w:jc w:val="both"/>
        <w:ind w:firstLine="757"/>
        <w:spacing w:after="0" w:line="241" w:lineRule="auto"/>
        <w:tabs>
          <w:tab w:leader="none" w:pos="10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Forfeiture. </w:t>
      </w:r>
      <w:r>
        <w:rPr>
          <w:rFonts w:ascii="Times New Roman" w:cs="Times New Roman" w:eastAsia="Times New Roman" w:hAnsi="Times New Roman"/>
          <w:sz w:val="22"/>
          <w:szCs w:val="22"/>
          <w:color w:val="auto"/>
        </w:rPr>
        <w:t>The Agreement relating to a Performance Award shall provide, in the manner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71"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Settlement of Vested Performance Awards. </w:t>
      </w:r>
      <w:r>
        <w:rPr>
          <w:rFonts w:ascii="Times New Roman" w:cs="Times New Roman" w:eastAsia="Times New Roman" w:hAnsi="Times New Roman"/>
          <w:sz w:val="22"/>
          <w:szCs w:val="22"/>
          <w:color w:val="auto"/>
        </w:rPr>
        <w:t>The Agreement relating to a Performance Award shall specify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w:t>
      </w: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42" w:name="page43"/>
    <w:bookmarkEnd w:id="4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 Any dividends or dividend equivalents with respect to a Performance Award subject to performance-based vesting conditions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4.3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satisfaction of Performance Measures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spacing w:after="0" w:line="177"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22"/>
          <w:szCs w:val="22"/>
          <w:b w:val="1"/>
          <w:bCs w:val="1"/>
          <w:color w:val="auto"/>
        </w:rPr>
        <w:t>V.</w:t>
      </w:r>
      <w:r>
        <w:rPr>
          <w:sz w:val="20"/>
          <w:szCs w:val="20"/>
          <w:color w:val="auto"/>
        </w:rPr>
        <w:tab/>
      </w: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5.1 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was approved by the stockholders of the Company and became effective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7, 2020. This Plan shall terminate on the tenth anniversary of Board approval of the Plan, unless terminated earlier by the Board. Termination of this Plan shall not affect the terms or conditions of any award granted prior to termination. Awards hereunder may be made at any time prior to the termination of this Plan, provided that no Incentive Stock Option may be granted later than ten years after the date on which the Plan was approved by the Board.</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5.2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amend this Plan as it shall deem advisable;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amendment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 shall be effective without the approval of the Company’s stockholders if (i) stockholder approval is required by applicable law, rule or regulation, including any rule of NASDAQ or any other stock exchange on which the Common Stock is then traded, or (ii) such amendment seeks to modify the Non-Employee Director compensation limit set forth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or the terms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 amendment may materially impair the rights of a holder of an outstanding award without the consent of such holder.</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5.3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may condition an award holder’s right (a) to exercise, vest or settle the award and (b) to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delivery of shares, on the execution and delivery to the Company of an Agreement and the completion of other requirements, including, but not limited to, the execution of a nonsolicitation agreement by the recipient and delivery thereof to the Company. Notwithstanding anything contained herein to the contrary, the Committee may approve an Agreement that, upon the termination of an award holder’s employment or service, provides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5.4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award shall be transferable other than by will, the laws of descent and distribution or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beneficiary designation procedures approved by the Company or, to the extent expressly permitted in the Agreement relating to such award, to the</w:t>
      </w: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5.5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have the right to require, prior to the issuance or delivery of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the 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22"/>
          <w:szCs w:val="22"/>
          <w:b w:val="1"/>
          <w:bCs w:val="1"/>
          <w:i w:val="1"/>
          <w:iCs w:val="1"/>
          <w:color w:val="auto"/>
        </w:rPr>
        <w:t>Tax Date</w:t>
      </w:r>
      <w:r>
        <w:rPr>
          <w:rFonts w:ascii="Times New Roman" w:cs="Times New Roman" w:eastAsia="Times New Roman" w:hAnsi="Times New Roman"/>
          <w:sz w:val="22"/>
          <w:szCs w:val="22"/>
          <w:color w:val="auto"/>
        </w:rPr>
        <w:t>”), or withhold an amount of cash which would otherwise be payable to a holder, in the amount necessary to satisfy any such obligation or (ii) the holder may satisfy any such obligation by any of the following means:</w:t>
      </w:r>
    </w:p>
    <w:p>
      <w:pPr>
        <w:spacing w:after="0" w:line="2" w:lineRule="exact"/>
        <w:rPr>
          <w:sz w:val="20"/>
          <w:szCs w:val="20"/>
          <w:color w:val="auto"/>
        </w:rPr>
      </w:pPr>
    </w:p>
    <w:p>
      <w:pPr>
        <w:jc w:val="both"/>
        <w:ind w:firstLine="8"/>
        <w:spacing w:after="0" w:line="231" w:lineRule="auto"/>
        <w:tabs>
          <w:tab w:leader="none" w:pos="40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a cash payment by a broker-dealer acceptable to the Company;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shall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5.6 R</w:t>
      </w:r>
      <w:r>
        <w:rPr>
          <w:rFonts w:ascii="Times New Roman" w:cs="Times New Roman" w:eastAsia="Times New Roman" w:hAnsi="Times New Roman"/>
          <w:sz w:val="14"/>
          <w:szCs w:val="14"/>
          <w:b w:val="1"/>
          <w:bCs w:val="1"/>
          <w:color w:val="auto"/>
        </w:rPr>
        <w:t>estrictions 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award made hereunder shall be subject to the requirement that if at any time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determines that the 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w:t>
      </w: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other disposition thereof by the holder is prohibited except in compliance with the Securities Act of 1933, as amended, and the rules and regulations thereunder.</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5.7 A</w:t>
      </w:r>
      <w:r>
        <w:rPr>
          <w:rFonts w:ascii="Times New Roman" w:cs="Times New Roman" w:eastAsia="Times New Roman" w:hAnsi="Times New Roman"/>
          <w:sz w:val="14"/>
          <w:szCs w:val="14"/>
          <w:b w:val="1"/>
          <w:bCs w:val="1"/>
          <w:color w:val="auto"/>
        </w:rPr>
        <w:t>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equity restructuring (within the meaning of Financial Accounting Standards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Standards 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5.8</w:t>
        <w:tab/>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ind w:firstLine="757"/>
        <w:spacing w:after="0" w:line="264"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Plan,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color w:val="auto"/>
        </w:rPr>
      </w:pPr>
    </w:p>
    <w:p>
      <w:pPr>
        <w:jc w:val="both"/>
        <w:ind w:left="1880" w:hanging="375"/>
        <w:spacing w:after="0" w:line="232" w:lineRule="auto"/>
        <w:tabs>
          <w:tab w:leader="none" w:pos="18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2"/>
          <w:szCs w:val="22"/>
          <w:b w:val="1"/>
          <w:bCs w:val="1"/>
          <w:i w:val="1"/>
          <w:iCs w:val="1"/>
          <w:color w:val="auto"/>
        </w:rPr>
        <w:t>Subject Person</w:t>
      </w:r>
      <w:r>
        <w:rPr>
          <w:rFonts w:ascii="Times New Roman" w:cs="Times New Roman" w:eastAsia="Times New Roman" w:hAnsi="Times New Roman"/>
          <w:sz w:val="22"/>
          <w:szCs w:val="22"/>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0" w:lineRule="exact"/>
        <w:rPr>
          <w:sz w:val="20"/>
          <w:szCs w:val="20"/>
          <w:color w:val="auto"/>
        </w:rPr>
      </w:pP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left="1440" w:hanging="375"/>
        <w:spacing w:after="0" w:line="235" w:lineRule="auto"/>
        <w:tabs>
          <w:tab w:leader="none" w:pos="1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8" w:lineRule="exact"/>
        <w:rPr>
          <w:rFonts w:ascii="Times New Roman" w:cs="Times New Roman" w:eastAsia="Times New Roman" w:hAnsi="Times New Roman"/>
          <w:sz w:val="22"/>
          <w:szCs w:val="22"/>
          <w:color w:val="auto"/>
        </w:rPr>
      </w:pPr>
    </w:p>
    <w:p>
      <w:pPr>
        <w:jc w:val="both"/>
        <w:ind w:left="1440" w:hanging="375"/>
        <w:spacing w:after="0" w:line="236" w:lineRule="auto"/>
        <w:tabs>
          <w:tab w:leader="none" w:pos="1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1" w:lineRule="exact"/>
        <w:rPr>
          <w:rFonts w:ascii="Times New Roman" w:cs="Times New Roman" w:eastAsia="Times New Roman" w:hAnsi="Times New Roman"/>
          <w:sz w:val="22"/>
          <w:szCs w:val="22"/>
          <w:color w:val="auto"/>
        </w:rPr>
      </w:pPr>
    </w:p>
    <w:p>
      <w:pPr>
        <w:jc w:val="both"/>
        <w:ind w:left="1440" w:hanging="375"/>
        <w:spacing w:after="0" w:line="244" w:lineRule="auto"/>
        <w:tabs>
          <w:tab w:leader="none" w:pos="1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 or</w:t>
      </w:r>
    </w:p>
    <w:p>
      <w:pPr>
        <w:spacing w:after="0" w:line="173" w:lineRule="exact"/>
        <w:rPr>
          <w:rFonts w:ascii="Times New Roman" w:cs="Times New Roman" w:eastAsia="Times New Roman" w:hAnsi="Times New Roman"/>
          <w:sz w:val="22"/>
          <w:szCs w:val="22"/>
          <w:color w:val="auto"/>
        </w:rPr>
      </w:pPr>
    </w:p>
    <w:p>
      <w:pPr>
        <w:jc w:val="both"/>
        <w:ind w:left="1440" w:hanging="375"/>
        <w:spacing w:after="0" w:line="233" w:lineRule="auto"/>
        <w:tabs>
          <w:tab w:leader="none" w:pos="1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twenty-four (24) month period, individuals who, as of the beginning of such period, constitute the Board (the “</w:t>
      </w:r>
      <w:r>
        <w:rPr>
          <w:rFonts w:ascii="Times New Roman" w:cs="Times New Roman" w:eastAsia="Times New Roman" w:hAnsi="Times New Roman"/>
          <w:sz w:val="22"/>
          <w:szCs w:val="22"/>
          <w:i w:val="1"/>
          <w:iCs w:val="1"/>
          <w:color w:val="auto"/>
        </w:rPr>
        <w:t>Incumbent Directors</w:t>
      </w:r>
      <w:r>
        <w:rPr>
          <w:rFonts w:ascii="Times New Roman" w:cs="Times New Roman" w:eastAsia="Times New Roman" w:hAnsi="Times New Roman"/>
          <w:sz w:val="22"/>
          <w:szCs w:val="22"/>
          <w:color w:val="auto"/>
        </w:rPr>
        <w:t>”)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For purposes of this clause (5), “</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have the meaning given in Section 3(a)(9) of the Exchange Act, as modified and used in Sections 13(d) and 14(d) thereof, except that such term shall not include (w) the Company or any of its Affiliates, within the meaning of Rule 12b-2 under Section 12 of the Exchange Act; (x) a trustee or other fiduciary holding securities under an employee benefit plan of the Company or any of its Subsidiaries; (y) an underwriter temporarily holding securities pursuant to an offering of such securities; or (z) a corporation owned,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46" w:name="page47"/>
    <w:bookmarkEnd w:id="46"/>
    <w:p>
      <w:pPr>
        <w:ind w:left="1880"/>
        <w:spacing w:after="0" w:line="258" w:lineRule="auto"/>
        <w:rPr>
          <w:sz w:val="20"/>
          <w:szCs w:val="20"/>
          <w:color w:val="auto"/>
        </w:rPr>
      </w:pPr>
      <w:r>
        <w:rPr>
          <w:rFonts w:ascii="Times New Roman" w:cs="Times New Roman" w:eastAsia="Times New Roman" w:hAnsi="Times New Roman"/>
          <w:sz w:val="22"/>
          <w:szCs w:val="22"/>
          <w:color w:val="auto"/>
        </w:rPr>
        <w:t>directly or indirectly, by the stockholders of the Company in substantially the same proportions as their ownership of stock of the Company.</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definition or any other provision of this Plan, (A) the term Change in Control shall not include a sale of assets, merger, or other transaction effected exclusively for the purpose of changing the domicile of the Company and (B) with respect to any nonqualified deferred compensation that becomes payable on account of the Change in Control, the transaction or event described in clause (1), (2), (3), (4) or (5) shall also constitute a “change in control event,” as defined in Treasury Regulation § 1.409A-3(i)(5) if required in order for the payment not to violate Section 409A of the Code.</w:t>
      </w:r>
    </w:p>
    <w:p>
      <w:pPr>
        <w:spacing w:after="0" w:line="20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(b)Subject to the terms of the applicable Agreements, in the event of a Change in Control, the Board, as constituted prior to the Change in Control, may, in its discretion:</w:t>
      </w:r>
    </w:p>
    <w:p>
      <w:pPr>
        <w:spacing w:after="0" w:line="158" w:lineRule="exact"/>
        <w:rPr>
          <w:sz w:val="20"/>
          <w:szCs w:val="20"/>
          <w:color w:val="auto"/>
        </w:rPr>
      </w:pPr>
    </w:p>
    <w:p>
      <w:pPr>
        <w:jc w:val="both"/>
        <w:ind w:left="1880" w:hanging="375"/>
        <w:spacing w:after="0" w:line="236" w:lineRule="auto"/>
        <w:tabs>
          <w:tab w:leader="none" w:pos="18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81" w:lineRule="exact"/>
        <w:rPr>
          <w:rFonts w:ascii="Times New Roman" w:cs="Times New Roman" w:eastAsia="Times New Roman" w:hAnsi="Times New Roman"/>
          <w:sz w:val="22"/>
          <w:szCs w:val="22"/>
          <w:color w:val="auto"/>
        </w:rPr>
      </w:pPr>
    </w:p>
    <w:p>
      <w:pPr>
        <w:jc w:val="both"/>
        <w:ind w:left="1880" w:hanging="375"/>
        <w:spacing w:after="0" w:line="238" w:lineRule="auto"/>
        <w:tabs>
          <w:tab w:leader="none" w:pos="18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that shares of capital stock of the corporation resulting from or succeeding to the business of the Company pursuant to such Change in Control, or a parent corporation thereof, or other property be substituted for some or 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and/or</w:t>
      </w:r>
    </w:p>
    <w:p>
      <w:pPr>
        <w:spacing w:after="0" w:line="176" w:lineRule="exact"/>
        <w:rPr>
          <w:rFonts w:ascii="Times New Roman" w:cs="Times New Roman" w:eastAsia="Times New Roman" w:hAnsi="Times New Roman"/>
          <w:sz w:val="22"/>
          <w:szCs w:val="22"/>
          <w:color w:val="auto"/>
        </w:rPr>
      </w:pPr>
    </w:p>
    <w:p>
      <w:pPr>
        <w:jc w:val="both"/>
        <w:ind w:left="1880" w:hanging="375"/>
        <w:spacing w:after="0" w:line="233" w:lineRule="auto"/>
        <w:tabs>
          <w:tab w:leader="none" w:pos="18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22"/>
          <w:szCs w:val="22"/>
          <w:u w:val="single" w:color="auto"/>
          <w:color w:val="auto"/>
        </w:rPr>
        <w:t>Section 5.8(a)(1)</w:t>
      </w:r>
      <w:r>
        <w:rPr>
          <w:rFonts w:ascii="Times New Roman" w:cs="Times New Roman" w:eastAsia="Times New Roman" w:hAnsi="Times New Roman"/>
          <w:sz w:val="22"/>
          <w:szCs w:val="22"/>
          <w:color w:val="auto"/>
        </w:rPr>
        <w:t>,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w:t>
      </w: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ind w:left="1880"/>
        <w:spacing w:after="0" w:line="238" w:lineRule="auto"/>
        <w:rPr>
          <w:sz w:val="20"/>
          <w:szCs w:val="20"/>
          <w:color w:val="auto"/>
        </w:rPr>
      </w:pPr>
      <w:r>
        <w:rPr>
          <w:rFonts w:ascii="Times New Roman" w:cs="Times New Roman" w:eastAsia="Times New Roman" w:hAnsi="Times New Roman"/>
          <w:sz w:val="22"/>
          <w:szCs w:val="22"/>
          <w:color w:val="auto"/>
        </w:rPr>
        <w:t xml:space="preserve">applicable to such award have been satisfied or are deemed satisfied pursuant to </w:t>
      </w:r>
      <w:r>
        <w:rPr>
          <w:rFonts w:ascii="Times New Roman" w:cs="Times New Roman" w:eastAsia="Times New Roman" w:hAnsi="Times New Roman"/>
          <w:sz w:val="22"/>
          <w:szCs w:val="22"/>
          <w:u w:val="single" w:color="auto"/>
          <w:color w:val="auto"/>
        </w:rPr>
        <w:t>Section 5.8(a)(1)</w:t>
      </w:r>
      <w:r>
        <w:rPr>
          <w:rFonts w:ascii="Times New Roman" w:cs="Times New Roman" w:eastAsia="Times New Roman" w:hAnsi="Times New Roman"/>
          <w:sz w:val="22"/>
          <w:szCs w:val="22"/>
          <w:color w:val="auto"/>
        </w:rPr>
        <w:t>; (ii) shares of capital stock of the corporation resulting from or succeeding to the business of the Company pursuant to such Change in Control, or a parent corporation thereof, or other property having a fair market value not less than the amount determined under clause (i) above; or (iii) a combination of the payment of cash pursuant to clause (i) above or the issuance of shares or other property pursuant to clause (ii) above.</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5.9 D</w:t>
      </w:r>
      <w:r>
        <w:rPr>
          <w:rFonts w:ascii="Times New Roman" w:cs="Times New Roman" w:eastAsia="Times New Roman" w:hAnsi="Times New Roman"/>
          <w:sz w:val="14"/>
          <w:szCs w:val="14"/>
          <w:b w:val="1"/>
          <w:bCs w:val="1"/>
          <w:color w:val="auto"/>
        </w:rPr>
        <w:t>eferrals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determine that the delivery of shares of Common Stock or the payment of cash,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thereof, upon the 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5.10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22"/>
          <w:szCs w:val="22"/>
          <w:b w:val="1"/>
          <w:bCs w:val="1"/>
          <w:color w:val="auto"/>
        </w:rPr>
        <w:t xml:space="preserve"> ,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set forth in an employment agreement, no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5.11 R</w:t>
      </w:r>
      <w:r>
        <w:rPr>
          <w:rFonts w:ascii="Times New Roman" w:cs="Times New Roman" w:eastAsia="Times New Roman" w:hAnsi="Times New Roman"/>
          <w:sz w:val="14"/>
          <w:szCs w:val="14"/>
          <w:b w:val="1"/>
          <w:bCs w:val="1"/>
          <w:color w:val="auto"/>
        </w:rPr>
        <w:t>ights as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person shall have any right as a stockholder of the Company with respect to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other equity security of the Company which is subject to an award hereunder unless and until such person becomes a stockholder of record with respect to such shares of Common Stock or equity security.</w:t>
      </w:r>
    </w:p>
    <w:p>
      <w:pPr>
        <w:spacing w:after="0" w:line="16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5.12 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permitted by the Company, a holder of an award may file with the Company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5.13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awards granted under this Plan and any cash payment or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pursuant to such an award are subject to forfeiture, recovery by the Company or other action pursuant to the applicable Agreement or any clawback or recoupment policy which the Company may adopt from time to time, including without limitation the policy adopted by the Company under the Dodd-Frank Wall Street Reform and</w:t>
      </w: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22"/>
          <w:szCs w:val="22"/>
          <w:color w:val="auto"/>
        </w:rPr>
        <w:t>Consumer Protection Act and implementing rules and regulations thereunder, or as otherwise required by law.</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5.14 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each award hereunder and the related Agreement, and all determinations made and 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pursuant thereto, to the extent not otherwise governed by the Code or the laws of the United States, shall be governed by the laws of the State of Delaware and construed in accordance therewith without giving effect to principles of conflicts of laws.</w:t>
      </w:r>
    </w:p>
    <w:p>
      <w:pPr>
        <w:spacing w:after="0" w:line="16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5.15 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Board determines that any award granted hereunder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Section 409A of the Code, the Plan and applicable Agreement will be interpreted in accordance with Section 409A of the Code. Notwithstanding anything to the contrary in the Plan (and unless the Agreement specifically provides otherwise), if the shares of Common Stock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5.16 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amending this Plan, the Committee may grant awards to eligible persons who are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utset</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eptember</w:t>
      </w:r>
      <w:r>
        <w:rPr>
          <w:rFonts w:ascii="Times New Roman" w:cs="Times New Roman" w:eastAsia="Times New Roman" w:hAnsi="Times New Roman"/>
          <w:sz w:val="20"/>
          <w:szCs w:val="20"/>
          <w:b w:val="1"/>
          <w:bCs w:val="1"/>
          <w:color w:val="auto"/>
        </w:rPr>
        <w:t xml:space="preserve"> 2, 2020</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pproved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eptember</w:t>
      </w:r>
      <w:r>
        <w:rPr>
          <w:rFonts w:ascii="Times New Roman" w:cs="Times New Roman" w:eastAsia="Times New Roman" w:hAnsi="Times New Roman"/>
          <w:sz w:val="20"/>
          <w:szCs w:val="20"/>
          <w:b w:val="1"/>
          <w:bCs w:val="1"/>
          <w:color w:val="auto"/>
        </w:rPr>
        <w:t xml:space="preserve"> 7, 2020</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eptember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b w:val="1"/>
          <w:bCs w:val="1"/>
          <w:color w:val="auto"/>
        </w:rPr>
        <w:t>, 2030</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pril</w:t>
      </w:r>
      <w:r>
        <w:rPr>
          <w:rFonts w:ascii="Times New Roman" w:cs="Times New Roman" w:eastAsia="Times New Roman" w:hAnsi="Times New Roman"/>
          <w:sz w:val="20"/>
          <w:szCs w:val="20"/>
          <w:b w:val="1"/>
          <w:bCs w:val="1"/>
          <w:color w:val="auto"/>
        </w:rPr>
        <w:t xml:space="preserve"> 9, 2025)</w:t>
      </w:r>
    </w:p>
    <w:p>
      <w:pPr>
        <w:spacing w:after="0" w:line="360" w:lineRule="exact"/>
        <w:rPr>
          <w:sz w:val="20"/>
          <w:szCs w:val="20"/>
          <w:color w:val="auto"/>
        </w:rPr>
      </w:pPr>
    </w:p>
    <w:p>
      <w:pPr>
        <w:ind w:firstLine="8"/>
        <w:spacing w:after="0" w:line="238" w:lineRule="auto"/>
        <w:tabs>
          <w:tab w:leader="none" w:pos="563"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 of the Outset Medical, Inc. Employee Stock Purchase Plan (this “Plan”) is to provide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 the Company and Participating Subsidiaries with a convenient means of acquiring an equity interest in the Company through payroll deductions and other contributions in order to enhance such employees’ sense of participation in the affairs of the Company. This Plan is amended and restated as set forth herein and such amendment and restatement shall apply to Offering Periods beginning on or after March 1, 2022.</w:t>
      </w:r>
    </w:p>
    <w:p>
      <w:pPr>
        <w:spacing w:after="0" w:line="12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This Plan includes two components: (a) a component intended to qualify as an “employee stock purchase plan” under Section 423 of the Code (the “423 Component”),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“Non-423 Component”),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spacing w:after="0" w:line="125" w:lineRule="exact"/>
        <w:rPr>
          <w:sz w:val="20"/>
          <w:szCs w:val="20"/>
          <w:color w:val="auto"/>
        </w:rPr>
      </w:pPr>
    </w:p>
    <w:p>
      <w:pPr>
        <w:ind w:right="580" w:firstLine="8"/>
        <w:spacing w:after="0" w:line="262" w:lineRule="auto"/>
        <w:tabs>
          <w:tab w:leader="none" w:pos="509"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herein, the terms set forth below have the meanings assigned to them in this Section 2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the plural as well as the singular.</w:t>
      </w:r>
    </w:p>
    <w:p>
      <w:pPr>
        <w:spacing w:after="0" w:line="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“1933 Act” </w:t>
      </w:r>
      <w:r>
        <w:rPr>
          <w:rFonts w:ascii="Times New Roman" w:cs="Times New Roman" w:eastAsia="Times New Roman" w:hAnsi="Times New Roman"/>
          <w:sz w:val="22"/>
          <w:szCs w:val="22"/>
          <w:color w:val="auto"/>
        </w:rPr>
        <w:t>means the Securities Act of 1933, as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“1934 Act” </w:t>
      </w:r>
      <w:r>
        <w:rPr>
          <w:rFonts w:ascii="Times New Roman" w:cs="Times New Roman" w:eastAsia="Times New Roman" w:hAnsi="Times New Roman"/>
          <w:sz w:val="22"/>
          <w:szCs w:val="22"/>
          <w:color w:val="auto"/>
        </w:rPr>
        <w:t>means the Securities Exchange Act of 1934, as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“Board” </w:t>
      </w:r>
      <w:r>
        <w:rPr>
          <w:rFonts w:ascii="Times New Roman" w:cs="Times New Roman" w:eastAsia="Times New Roman" w:hAnsi="Times New Roman"/>
          <w:sz w:val="22"/>
          <w:szCs w:val="22"/>
          <w:color w:val="auto"/>
        </w:rPr>
        <w:t>means the Board of Directors of Outset Medical, Inc.</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“Business Day” </w:t>
      </w:r>
      <w:r>
        <w:rPr>
          <w:rFonts w:ascii="Times New Roman" w:cs="Times New Roman" w:eastAsia="Times New Roman" w:hAnsi="Times New Roman"/>
          <w:sz w:val="22"/>
          <w:szCs w:val="22"/>
          <w:color w:val="auto"/>
        </w:rPr>
        <w:t>shall mean a day on which NASDAQ is open for trading.</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“Brokerage Account” </w:t>
      </w:r>
      <w:r>
        <w:rPr>
          <w:rFonts w:ascii="Times New Roman" w:cs="Times New Roman" w:eastAsia="Times New Roman" w:hAnsi="Times New Roman"/>
          <w:sz w:val="22"/>
          <w:szCs w:val="22"/>
          <w:color w:val="auto"/>
        </w:rPr>
        <w:t>means the account in which the Purchased Shares are held.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“Code” </w:t>
      </w:r>
      <w:r>
        <w:rPr>
          <w:rFonts w:ascii="Times New Roman" w:cs="Times New Roman" w:eastAsia="Times New Roman" w:hAnsi="Times New Roman"/>
          <w:sz w:val="22"/>
          <w:szCs w:val="22"/>
          <w:color w:val="auto"/>
        </w:rPr>
        <w:t>means the Internal Revenue Code of 1986, as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“Committee” </w:t>
      </w:r>
      <w:r>
        <w:rPr>
          <w:rFonts w:ascii="Times New Roman" w:cs="Times New Roman" w:eastAsia="Times New Roman" w:hAnsi="Times New Roman"/>
          <w:sz w:val="22"/>
          <w:szCs w:val="22"/>
          <w:color w:val="auto"/>
        </w:rPr>
        <w:t>means the Compensation Committee of the Board, or the designee of the Compensation Committee.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w:t>
      </w:r>
      <w:r>
        <w:rPr>
          <w:rFonts w:ascii="Times New Roman" w:cs="Times New Roman" w:eastAsia="Times New Roman" w:hAnsi="Times New Roman"/>
          <w:sz w:val="22"/>
          <w:szCs w:val="22"/>
          <w:color w:val="auto"/>
        </w:rPr>
        <w:t>means Outset Medical, Inc., a Delaware corporation.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“Compensation” </w:t>
      </w:r>
      <w:r>
        <w:rPr>
          <w:rFonts w:ascii="Times New Roman" w:cs="Times New Roman" w:eastAsia="Times New Roman" w:hAnsi="Times New Roman"/>
          <w:sz w:val="22"/>
          <w:szCs w:val="22"/>
          <w:color w:val="auto"/>
        </w:rPr>
        <w:t>means base pay, commissions, overtime, and vacation, holiday and sick pay. Compensation does not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(1) income related to stock option awards, stock grants and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spacing w:after="0" w:line="238" w:lineRule="auto"/>
        <w:rPr>
          <w:sz w:val="20"/>
          <w:szCs w:val="20"/>
          <w:color w:val="auto"/>
        </w:rPr>
      </w:pPr>
      <w:r>
        <w:rPr>
          <w:rFonts w:ascii="Times New Roman" w:cs="Times New Roman" w:eastAsia="Times New Roman" w:hAnsi="Times New Roman"/>
          <w:sz w:val="22"/>
          <w:szCs w:val="22"/>
          <w:color w:val="auto"/>
        </w:rPr>
        <w:t>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w:t>
      </w:r>
    </w:p>
    <w:p>
      <w:pPr>
        <w:spacing w:after="0" w:line="117"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“Employee” </w:t>
      </w:r>
      <w:r>
        <w:rPr>
          <w:rFonts w:ascii="Times New Roman" w:cs="Times New Roman" w:eastAsia="Times New Roman" w:hAnsi="Times New Roman"/>
          <w:sz w:val="22"/>
          <w:szCs w:val="22"/>
          <w:color w:val="auto"/>
        </w:rPr>
        <w:t>means any individual who is a common law employee of the Company or any other Participating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“Enrollment Date” </w:t>
      </w:r>
      <w:r>
        <w:rPr>
          <w:rFonts w:ascii="Times New Roman" w:cs="Times New Roman" w:eastAsia="Times New Roman" w:hAnsi="Times New Roman"/>
          <w:sz w:val="22"/>
          <w:szCs w:val="22"/>
          <w:color w:val="auto"/>
        </w:rPr>
        <w:t>means the first Business Day of each Offering Period.</w:t>
      </w:r>
    </w:p>
    <w:p>
      <w:pPr>
        <w:spacing w:after="0" w:line="152"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“Exercise Date” </w:t>
      </w:r>
      <w:r>
        <w:rPr>
          <w:rFonts w:ascii="Times New Roman" w:cs="Times New Roman" w:eastAsia="Times New Roman" w:hAnsi="Times New Roman"/>
          <w:sz w:val="22"/>
          <w:szCs w:val="22"/>
          <w:color w:val="auto"/>
        </w:rPr>
        <w:t>means the last Business Day of each Offering Period (or, if determined by the Committee, the Purchase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 if different from the Offering Period).</w:t>
      </w:r>
    </w:p>
    <w:p>
      <w:pPr>
        <w:spacing w:after="0" w:line="91"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“Fair Market Value” </w:t>
      </w:r>
      <w:r>
        <w:rPr>
          <w:rFonts w:ascii="Times New Roman" w:cs="Times New Roman" w:eastAsia="Times New Roman" w:hAnsi="Times New Roman"/>
          <w:sz w:val="22"/>
          <w:szCs w:val="22"/>
          <w:color w:val="auto"/>
        </w:rPr>
        <w:t>on or as of any date means the official closing price for a Share as reported on NASDAQ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relevant valuation date or, if no official closing price is reported on such date, on the preceding day on which an official closing price is reported on NASDAQ was reported; or, if the Shares are no longer listed on NASDAQ, the closing price for Shares as reported on the official website for such other exchange on which the Shares are listed.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w:t>
      </w:r>
    </w:p>
    <w:p>
      <w:pPr>
        <w:spacing w:after="0" w:line="12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“Offering Period” </w:t>
      </w:r>
      <w:r>
        <w:rPr>
          <w:rFonts w:ascii="Times New Roman" w:cs="Times New Roman" w:eastAsia="Times New Roman" w:hAnsi="Times New Roman"/>
          <w:sz w:val="22"/>
          <w:szCs w:val="22"/>
          <w:color w:val="auto"/>
        </w:rPr>
        <w:t>means each six-month period or, effective March 1, 2022, each 24-month period, beginning the first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Business Day of March and the first Business Day of September or such other period designated by the Committee; provided that in no event shall an Offering Period exceed 27 months, with the commencement of the first Offering Period to be determined by the Committee. Notwithstanding anything herein to the contrary, the Committee may establish an Offering Period with multiple Purchase Periods within such Offering Period.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“Option” </w:t>
      </w:r>
      <w:r>
        <w:rPr>
          <w:rFonts w:ascii="Times New Roman" w:cs="Times New Roman" w:eastAsia="Times New Roman" w:hAnsi="Times New Roman"/>
          <w:sz w:val="22"/>
          <w:szCs w:val="22"/>
          <w:color w:val="auto"/>
        </w:rPr>
        <w:t>means an option granted under this Plan that entitles a Participant to purchase Shares.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“Participant” </w:t>
      </w:r>
      <w:r>
        <w:rPr>
          <w:rFonts w:ascii="Times New Roman" w:cs="Times New Roman" w:eastAsia="Times New Roman" w:hAnsi="Times New Roman"/>
          <w:sz w:val="22"/>
          <w:szCs w:val="22"/>
          <w:color w:val="auto"/>
        </w:rPr>
        <w:t>means an Employee who satisfies the requirements of Sections 3 and 5 of the Plan.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14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“Participating Subsidiary” </w:t>
      </w:r>
      <w:r>
        <w:rPr>
          <w:rFonts w:ascii="Times New Roman" w:cs="Times New Roman" w:eastAsia="Times New Roman" w:hAnsi="Times New Roman"/>
          <w:sz w:val="22"/>
          <w:szCs w:val="22"/>
          <w:color w:val="auto"/>
        </w:rPr>
        <w:t>means each Subsidiary other than those that the Committee or the Board has excluded from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participation in the Plan.</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“Plan” </w:t>
      </w:r>
      <w:r>
        <w:rPr>
          <w:rFonts w:ascii="Times New Roman" w:cs="Times New Roman" w:eastAsia="Times New Roman" w:hAnsi="Times New Roman"/>
          <w:sz w:val="22"/>
          <w:szCs w:val="22"/>
          <w:color w:val="auto"/>
        </w:rPr>
        <w:t>means this Outset Medical, Inc. Employee Stock Purchase Plan, as amended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“Purchase Account” </w:t>
      </w:r>
      <w:r>
        <w:rPr>
          <w:rFonts w:ascii="Times New Roman" w:cs="Times New Roman" w:eastAsia="Times New Roman" w:hAnsi="Times New Roman"/>
          <w:sz w:val="22"/>
          <w:szCs w:val="22"/>
          <w:color w:val="auto"/>
        </w:rPr>
        <w:t>means the account used to purchase Shares through the exercise of Options under the Plan.</w:t>
      </w:r>
    </w:p>
    <w:p>
      <w:pPr>
        <w:spacing w:after="0" w:line="152" w:lineRule="exact"/>
        <w:rPr>
          <w:sz w:val="20"/>
          <w:szCs w:val="20"/>
          <w:color w:val="auto"/>
        </w:rPr>
      </w:pPr>
    </w:p>
    <w:p>
      <w:pPr>
        <w:ind w:right="8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“Purchase Period” </w:t>
      </w:r>
      <w:r>
        <w:rPr>
          <w:rFonts w:ascii="Times New Roman" w:cs="Times New Roman" w:eastAsia="Times New Roman" w:hAnsi="Times New Roman"/>
          <w:sz w:val="22"/>
          <w:szCs w:val="22"/>
          <w:color w:val="auto"/>
        </w:rPr>
        <w:t>means the period designated by Committee during which payroll deductions and other contributions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Participants are accumulated under the Plan. A Purchase Period may coincide with an entire Offering Period or there may be multiple Purchase Periods within an Offering Period, as determined by the Committee prior to the commencement of the applicable Offering Period.</w:t>
      </w:r>
    </w:p>
    <w:p>
      <w:pPr>
        <w:spacing w:after="0" w:line="118"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“Purchase Price” </w:t>
      </w:r>
      <w:r>
        <w:rPr>
          <w:rFonts w:ascii="Times New Roman" w:cs="Times New Roman" w:eastAsia="Times New Roman" w:hAnsi="Times New Roman"/>
          <w:sz w:val="22"/>
          <w:szCs w:val="22"/>
          <w:color w:val="auto"/>
        </w:rPr>
        <w:t>shall be the lesser of: (i) 85% percent of the Fair Market Value of a Share on the applicable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Enrollment Date for an Offering Period and (ii) 85% percent of the Fair Market Value of a Share on the applicable Exercise Date;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“Purchased Shares” </w:t>
      </w:r>
      <w:r>
        <w:rPr>
          <w:rFonts w:ascii="Times New Roman" w:cs="Times New Roman" w:eastAsia="Times New Roman" w:hAnsi="Times New Roman"/>
          <w:sz w:val="22"/>
          <w:szCs w:val="22"/>
          <w:color w:val="auto"/>
        </w:rPr>
        <w:t>means the full Shares issued or delivered pursuant to the exercise of Options under the Plan.</w:t>
      </w:r>
    </w:p>
    <w:p>
      <w:pPr>
        <w:spacing w:after="0" w:line="152" w:lineRule="exact"/>
        <w:rPr>
          <w:sz w:val="20"/>
          <w:szCs w:val="20"/>
          <w:color w:val="auto"/>
        </w:rPr>
      </w:pPr>
    </w:p>
    <w:p>
      <w:pPr>
        <w:ind w:right="86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“Registration Statement” </w:t>
      </w:r>
      <w:r>
        <w:rPr>
          <w:rFonts w:ascii="Times New Roman" w:cs="Times New Roman" w:eastAsia="Times New Roman" w:hAnsi="Times New Roman"/>
          <w:sz w:val="22"/>
          <w:szCs w:val="22"/>
          <w:color w:val="auto"/>
        </w:rPr>
        <w:t>means the registration statement on Form S-1 filed with the Securities and Exchange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Commission for the initial public offering of the Common Stock.</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“Shares” </w:t>
      </w:r>
      <w:r>
        <w:rPr>
          <w:rFonts w:ascii="Times New Roman" w:cs="Times New Roman" w:eastAsia="Times New Roman" w:hAnsi="Times New Roman"/>
          <w:sz w:val="22"/>
          <w:szCs w:val="22"/>
          <w:color w:val="auto"/>
        </w:rPr>
        <w:t>means shares of the common stock of the Company.</w:t>
      </w:r>
    </w:p>
    <w:p>
      <w:pPr>
        <w:spacing w:after="0" w:line="152" w:lineRule="exact"/>
        <w:rPr>
          <w:sz w:val="20"/>
          <w:szCs w:val="20"/>
          <w:color w:val="auto"/>
        </w:rPr>
      </w:pPr>
    </w:p>
    <w:p>
      <w:pPr>
        <w:jc w:val="both"/>
        <w:ind w:right="64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“Subsidiary” </w:t>
      </w:r>
      <w:r>
        <w:rPr>
          <w:rFonts w:ascii="Times New Roman" w:cs="Times New Roman" w:eastAsia="Times New Roman" w:hAnsi="Times New Roman"/>
          <w:sz w:val="22"/>
          <w:szCs w:val="22"/>
          <w:color w:val="auto"/>
        </w:rPr>
        <w:t>means an entity, domestic or foreign, of which not less than 50% of the voting equity is held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or a Subsidiary, whether or not such entity now exists or is hereafter organized or acquired by the Company or a Subsidiary; provided such entity is also a “subsidiary” within the meaning of Section 424 of the Code.</w:t>
      </w:r>
    </w:p>
    <w:p>
      <w:pPr>
        <w:spacing w:after="0" w:line="11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“Termination Date” </w:t>
      </w:r>
      <w:r>
        <w:rPr>
          <w:rFonts w:ascii="Times New Roman" w:cs="Times New Roman" w:eastAsia="Times New Roman" w:hAnsi="Times New Roman"/>
          <w:sz w:val="21"/>
          <w:szCs w:val="21"/>
          <w:color w:val="auto"/>
        </w:rPr>
        <w:t>means (i) the date on which a Participant terminates employment or on which the Participant ceases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520" w:hanging="512"/>
        <w:spacing w:after="0"/>
        <w:tabs>
          <w:tab w:leader="none" w:pos="5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20" w:firstLine="757"/>
        <w:spacing w:after="0" w:line="239" w:lineRule="auto"/>
        <w:tabs>
          <w:tab w:leader="none" w:pos="10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Employees of the Company or a Participating Subsidiary (i) whose customary employment is 20 hours or more per week and (ii) whose customary employment is for five months or more in any calendar year shall be eligible to be granted Options under the Plan and, in no event may a Participant be granted an Option under the Plan following his or her Termination Date.</w:t>
      </w:r>
    </w:p>
    <w:p>
      <w:pPr>
        <w:spacing w:after="0" w:line="45"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auto"/>
        </w:rPr>
        <w:t xml:space="preserve">(b)Any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5,000 Shares during any Offering Period, it being understood that beginning with any Offering Period commencing after April 9, 2025, the Committee has determined that (A) no more than 4,000 Shares may be purchased during any such Offering Period, and (B) to the extent there are multiple Purchase Periods within any such Offering Period, the number of Shares that may be purchased with respect to any such Purchase Period shall not exceed the 4,000 Shares described above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the total number of Purchase Periods within such Offering Period.</w:t>
      </w:r>
    </w:p>
    <w:p>
      <w:pPr>
        <w:spacing w:after="0" w:line="125" w:lineRule="exact"/>
        <w:rPr>
          <w:sz w:val="20"/>
          <w:szCs w:val="20"/>
          <w:color w:val="auto"/>
        </w:rPr>
      </w:pPr>
    </w:p>
    <w:p>
      <w:pPr>
        <w:ind w:firstLine="8"/>
        <w:spacing w:after="0" w:line="241" w:lineRule="auto"/>
        <w:tabs>
          <w:tab w:leader="none" w:pos="509"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 of 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shall be exercised on behalf of Participants in the Plan every Exercise Date, using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payroll deductions that have accumulated in the Participants’ Purchase Accounts during the immediately preceding Purchase Period or that have been retained from a prior Purchase Period pursuant to Section 8 hereof and (ii) additional contributions to the Company made pursuant to the Cashless Participation Program approved by the Committee.</w:t>
      </w:r>
    </w:p>
    <w:p>
      <w:pPr>
        <w:spacing w:after="0" w:line="11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40" w:firstLine="757"/>
        <w:spacing w:after="0" w:line="255" w:lineRule="auto"/>
        <w:tabs>
          <w:tab w:leader="none" w:pos="1018"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w:t>
      </w:r>
    </w:p>
    <w:p>
      <w:pPr>
        <w:spacing w:after="0" w:line="162"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(d)An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60" w:firstLine="757"/>
        <w:spacing w:after="0" w:line="244" w:lineRule="auto"/>
        <w:tabs>
          <w:tab w:leader="none" w:pos="101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spacing w:after="0" w:line="16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ayroll</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eductions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ontributions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40" w:firstLine="757"/>
        <w:spacing w:after="0" w:line="233" w:lineRule="auto"/>
        <w:tabs>
          <w:tab w:leader="none" w:pos="101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In addition to such payroll deductions credited to a Participant’s Purchase Account during the Purchase Period, Participants other than executive officers of the Company, within the meaning of the 1934 Act, may elect to purchase Shares pursuant to a cashless participation program approved by the Committee (the “Cashless Participation Program”) by designating an additional amount to be contributed to such Participant’s Purchase Account at the end of such Purchase Period. In addition, notwithstanding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the Committee determines that such other contributions are permissible under Section 423 of the Code.</w:t>
      </w:r>
    </w:p>
    <w:p>
      <w:pPr>
        <w:spacing w:after="0" w:line="187"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1"/>
          <w:szCs w:val="21"/>
          <w:color w:val="auto"/>
        </w:rPr>
        <w:t>(g)Except as otherwise determined by the Committee prior to the commencement of an Offering Period, a Participant may not increase the rate of payroll deductions or other contributions to be made to the Plan during a Purchase Period. A Participant may decrease the rate of payroll deductions during a Purchase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 Purchase Period, but not more than one (1) change may be made effective during any Purchase Period, except that a Participant may elect at any time during a Purchase Period, regardless of whether the Participant previously decreased his or her payroll deduction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If a Participant reduces his or her payroll deduction percentage to 0%, then any election to purchase Shares pursuant to the Cashless Participation Program shall automatically terminate. A Participant may change his or her payroll deduction percentage or additional contribution amount under subsection</w:t>
      </w:r>
    </w:p>
    <w:p>
      <w:pPr>
        <w:spacing w:after="0" w:line="3" w:lineRule="exact"/>
        <w:rPr>
          <w:sz w:val="20"/>
          <w:szCs w:val="20"/>
          <w:color w:val="auto"/>
        </w:rPr>
      </w:pPr>
    </w:p>
    <w:p>
      <w:pPr>
        <w:ind w:firstLine="8"/>
        <w:spacing w:after="0" w:line="233" w:lineRule="auto"/>
        <w:tabs>
          <w:tab w:leader="none" w:pos="2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any subsequent Purchase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and additional contribution election will automatically apply to the next Offering Period, unless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otherwise cancelled or changed by the Participant prior to the commencement of such Offering Period.</w:t>
      </w:r>
    </w:p>
    <w:p>
      <w:pPr>
        <w:spacing w:after="0" w:line="20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(h)Notwithstanding the foregoing, to the extent necessary to comply with Section 423(b)(8) of the Code and Section 3(b) hereof, a Participant’s payroll deduction and additional contribution elections may be decreased to 0% at any time during an Offering Period. Payroll deductions and additional contributions shall recommence at the rate provided in such Participant’s election form at the beginning of the first Offering Period which is scheduled to end in the following calendar year, unless terminated by the Participant as provided in Section 12 hereof.</w:t>
      </w:r>
    </w:p>
    <w:p>
      <w:pPr>
        <w:spacing w:after="0" w:line="173" w:lineRule="exact"/>
        <w:rPr>
          <w:sz w:val="20"/>
          <w:szCs w:val="20"/>
          <w:color w:val="auto"/>
        </w:rPr>
      </w:pPr>
    </w:p>
    <w:p>
      <w:pPr>
        <w:ind w:right="120" w:firstLine="8"/>
        <w:spacing w:after="0" w:line="265" w:lineRule="auto"/>
        <w:tabs>
          <w:tab w:leader="none" w:pos="509"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rant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applicable Enrollment Date, each Participant in an Offering Period shall be granted an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on the applicable Exercise Date a number of full Shares determined by dividing such Participant’s payroll deductions and additional contributions accumulated on or before such Exercise Date and retained in the Participant’s Purchase Account as of the applicable Exercise Date by the applicable Purchase Price; provided that in no event will a Participant be permitted to purchase during each Offering Period or Purchase Period (as the case may be) more than a fixed number shares of Common Stock in an amount that the Committee may establish from time to time pursuant to Section 3(b) hereof.</w:t>
      </w:r>
    </w:p>
    <w:p>
      <w:pPr>
        <w:spacing w:after="0" w:line="96" w:lineRule="exact"/>
        <w:rPr>
          <w:rFonts w:ascii="Times New Roman" w:cs="Times New Roman" w:eastAsia="Times New Roman" w:hAnsi="Times New Roman"/>
          <w:sz w:val="20"/>
          <w:szCs w:val="20"/>
          <w:b w:val="1"/>
          <w:bCs w:val="1"/>
          <w:color w:val="auto"/>
        </w:rPr>
      </w:pPr>
    </w:p>
    <w:p>
      <w:pPr>
        <w:ind w:right="20" w:firstLine="8"/>
        <w:spacing w:after="0" w:line="235" w:lineRule="auto"/>
        <w:tabs>
          <w:tab w:leader="none" w:pos="509"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Participant’s Option for the purchase of Shares shall be exercised automatically on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the maximum number of Shares subject to the Option shall be purchased for such Participant at the applicable Purchase Price with the accumulated payroll deductions and additional contributions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spacing w:after="0" w:line="12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1"/>
          <w:szCs w:val="21"/>
          <w:color w:val="auto"/>
        </w:rPr>
        <w:t>No fractional Shares shall be purchased; any payroll deductions and other contributions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and other contributions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firstLine="8"/>
        <w:spacing w:after="0" w:line="235" w:lineRule="auto"/>
        <w:tabs>
          <w:tab w:leader="none" w:pos="501"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ssuance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purchased by each Participant shall be issued in book entry form and shall be considered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19" w:lineRule="exact"/>
        <w:rPr>
          <w:rFonts w:ascii="Times New Roman" w:cs="Times New Roman" w:eastAsia="Times New Roman" w:hAnsi="Times New Roman"/>
          <w:sz w:val="22"/>
          <w:szCs w:val="22"/>
          <w:b w:val="1"/>
          <w:bCs w:val="1"/>
          <w:color w:val="auto"/>
        </w:rPr>
      </w:pPr>
    </w:p>
    <w:p>
      <w:pPr>
        <w:ind w:left="-8" w:right="60" w:firstLine="8"/>
        <w:spacing w:after="0"/>
        <w:tabs>
          <w:tab w:leader="none" w:pos="501"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pproval by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above, the Plan is expressly made subject to the approval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365" w:lineRule="exact"/>
        <w:rPr>
          <w:rFonts w:ascii="Times New Roman" w:cs="Times New Roman" w:eastAsia="Times New Roman" w:hAnsi="Times New Roman"/>
          <w:sz w:val="22"/>
          <w:szCs w:val="22"/>
          <w:b w:val="1"/>
          <w:bCs w:val="1"/>
          <w:color w:val="auto"/>
        </w:rPr>
      </w:pPr>
    </w:p>
    <w:p>
      <w:pPr>
        <w:ind w:left="512" w:hanging="512"/>
        <w:spacing w:after="0"/>
        <w:tabs>
          <w:tab w:leader="none" w:pos="512"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right="40" w:firstLine="757"/>
        <w:spacing w:after="0" w:line="243" w:lineRule="auto"/>
        <w:tabs>
          <w:tab w:leader="none" w:pos="101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and Duties of the Committee</w:t>
      </w:r>
      <w:r>
        <w:rPr>
          <w:rFonts w:ascii="Times New Roman" w:cs="Times New Roman" w:eastAsia="Times New Roman" w:hAnsi="Times New Roman"/>
          <w:sz w:val="21"/>
          <w:szCs w:val="21"/>
          <w:color w:val="auto"/>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w:t>
      </w:r>
    </w:p>
    <w:p>
      <w:pPr>
        <w:spacing w:after="0" w:line="9" w:lineRule="exact"/>
        <w:rPr>
          <w:rFonts w:ascii="Times New Roman" w:cs="Times New Roman" w:eastAsia="Times New Roman" w:hAnsi="Times New Roman"/>
          <w:sz w:val="21"/>
          <w:szCs w:val="21"/>
          <w:color w:val="auto"/>
        </w:rPr>
      </w:pPr>
    </w:p>
    <w:p>
      <w:pPr>
        <w:ind w:left="-8" w:right="80" w:firstLine="8"/>
        <w:spacing w:after="0" w:line="237" w:lineRule="auto"/>
        <w:tabs>
          <w:tab w:leader="none" w:pos="37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Component, an Offering Period shall be administered so as to ensure that all Participants have the same rights and privileges as provided by Section 423(b)(5) of the Code.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56" w:name="page57"/>
    <w:bookmarkEnd w:id="5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firstLine="757"/>
        <w:spacing w:after="0" w:line="249" w:lineRule="auto"/>
        <w:tabs>
          <w:tab w:leader="none" w:pos="101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The Company, Board or the Committee may engage the services of one or more brokerage firms or other companies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170" w:lineRule="exact"/>
        <w:rPr>
          <w:rFonts w:ascii="Times New Roman" w:cs="Times New Roman" w:eastAsia="Times New Roman" w:hAnsi="Times New Roman"/>
          <w:sz w:val="21"/>
          <w:szCs w:val="21"/>
          <w:color w:val="auto"/>
        </w:rPr>
      </w:pPr>
    </w:p>
    <w:p>
      <w:pPr>
        <w:ind w:right="120" w:firstLine="757"/>
        <w:spacing w:after="0" w:line="234"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7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15" w:lineRule="exact"/>
        <w:rPr>
          <w:sz w:val="20"/>
          <w:szCs w:val="20"/>
          <w:color w:val="auto"/>
        </w:rPr>
      </w:pPr>
    </w:p>
    <w:p>
      <w:pPr>
        <w:ind w:right="360" w:firstLine="8"/>
        <w:spacing w:after="0" w:line="235" w:lineRule="auto"/>
        <w:tabs>
          <w:tab w:leader="none" w:pos="509"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Participant may withdraw from the Plan by properly completing and submitting to the Company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or additional contributions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20" w:firstLine="8"/>
        <w:spacing w:after="0" w:line="238" w:lineRule="auto"/>
        <w:tabs>
          <w:tab w:leader="none" w:pos="509"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Termination Date of a Participant for any reason prior to the applicable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22"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interest shall accrue on the payroll deductions or other contributions of a Participant in the Plan.</w:t>
      </w:r>
    </w:p>
    <w:p>
      <w:pPr>
        <w:spacing w:after="0" w:line="152"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740" w:firstLine="757"/>
        <w:spacing w:after="0" w:line="258" w:lineRule="auto"/>
        <w:tabs>
          <w:tab w:leader="none" w:pos="101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subject to Options shall be common stock of the Company as traded on NASDAQ or on such other exchange as the Shares may be listed.</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(m)Subject to adjustment upon changes in capitalization of the Company as provided in Section 18 hereof, the maximum number of Shares which shall be made available for sale under the Plan shall be 45,814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December 31, 2021, and continuing until (and including) the fiscal year ending December 31, 2030, with such annual increase equal to the lesser of (i) 45,814 Shares, (ii) 1% of the number of Shares issued and outstanding on December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17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(n)A Participant shall have no interest or voting right in Shares covered by his or her Option until such Option has been exercised and the Participant has become a holder of record of Shares acquired pursuant to such exercise.</w:t>
      </w:r>
    </w:p>
    <w:p>
      <w:pPr>
        <w:spacing w:after="0" w:line="154" w:lineRule="exact"/>
        <w:rPr>
          <w:sz w:val="20"/>
          <w:szCs w:val="20"/>
          <w:color w:val="auto"/>
        </w:rPr>
      </w:pPr>
    </w:p>
    <w:p>
      <w:pPr>
        <w:ind w:right="160" w:firstLine="8"/>
        <w:spacing w:after="0" w:line="238" w:lineRule="auto"/>
        <w:tabs>
          <w:tab w:leader="none" w:pos="509"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permit Participants to designate beneficiaries to receive any Purchased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right="80" w:firstLine="8"/>
        <w:spacing w:after="0" w:line="236" w:lineRule="auto"/>
        <w:tabs>
          <w:tab w:leader="none" w:pos="501"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ssignability of</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payroll deductions or other contributions credited to a Participant’s Purchase 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 any rights with regard to the exercise of an Option or to receive Shares under the Plan may be assigned, transferred, pledged or otherwise disposed of in any way (other than by will, the laws of descent and distribution or as provided in Section 16 hereof) by the Participant; provided that the Shares acquired pursuant to the terms of the Cashless Participation Program may be pledged and sold pursuant to the terms of the Cashless Participation Program. Any such attempt at assignment, transfer, pledge or other disposition shall be without effect, except that the Company may treat such act as an election to withdraw from an Offering Period in accordance with Section 12 hereof.</w:t>
      </w:r>
    </w:p>
    <w:p>
      <w:pPr>
        <w:spacing w:after="0" w:line="121" w:lineRule="exact"/>
        <w:rPr>
          <w:rFonts w:ascii="Times New Roman" w:cs="Times New Roman" w:eastAsia="Times New Roman" w:hAnsi="Times New Roman"/>
          <w:sz w:val="22"/>
          <w:szCs w:val="22"/>
          <w:b w:val="1"/>
          <w:bCs w:val="1"/>
          <w:color w:val="auto"/>
        </w:rPr>
      </w:pPr>
    </w:p>
    <w:p>
      <w:pPr>
        <w:ind w:left="512" w:hanging="512"/>
        <w:spacing w:after="0"/>
        <w:tabs>
          <w:tab w:leader="none" w:pos="51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 of</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right="20" w:firstLine="757"/>
        <w:spacing w:after="0" w:line="233" w:lineRule="auto"/>
        <w:tabs>
          <w:tab w:leader="none" w:pos="101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spacing w:after="0" w:line="182" w:lineRule="exact"/>
        <w:rPr>
          <w:rFonts w:ascii="Times New Roman" w:cs="Times New Roman" w:eastAsia="Times New Roman" w:hAnsi="Times New Roman"/>
          <w:sz w:val="22"/>
          <w:szCs w:val="22"/>
          <w:color w:val="auto"/>
        </w:rPr>
      </w:pPr>
    </w:p>
    <w:p>
      <w:pPr>
        <w:ind w:left="-8" w:firstLine="757"/>
        <w:spacing w:after="0" w:line="239" w:lineRule="auto"/>
        <w:tabs>
          <w:tab w:leader="none" w:pos="101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180" w:lineRule="exact"/>
        <w:rPr>
          <w:rFonts w:ascii="Times New Roman" w:cs="Times New Roman" w:eastAsia="Times New Roman" w:hAnsi="Times New Roman"/>
          <w:sz w:val="22"/>
          <w:szCs w:val="22"/>
          <w:color w:val="auto"/>
        </w:rPr>
      </w:pPr>
    </w:p>
    <w:p>
      <w:pPr>
        <w:ind w:left="-8" w:right="260" w:firstLine="757"/>
        <w:spacing w:after="0" w:line="236" w:lineRule="auto"/>
        <w:tabs>
          <w:tab w:leader="none" w:pos="101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or Asset Sale</w:t>
      </w:r>
      <w:r>
        <w:rPr>
          <w:rFonts w:ascii="Times New Roman" w:cs="Times New Roman" w:eastAsia="Times New Roman" w:hAnsi="Times New Roman"/>
          <w:sz w:val="22"/>
          <w:szCs w:val="22"/>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177"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mendments 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59" w:name="page60"/>
    <w:bookmarkEnd w:id="5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right="260" w:firstLine="757"/>
        <w:spacing w:after="0" w:line="239" w:lineRule="auto"/>
        <w:tabs>
          <w:tab w:leader="none" w:pos="101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180" w:lineRule="exact"/>
        <w:rPr>
          <w:rFonts w:ascii="Times New Roman" w:cs="Times New Roman" w:eastAsia="Times New Roman" w:hAnsi="Times New Roman"/>
          <w:sz w:val="22"/>
          <w:szCs w:val="22"/>
          <w:color w:val="auto"/>
        </w:rPr>
      </w:pPr>
    </w:p>
    <w:p>
      <w:pPr>
        <w:ind w:left="-8" w:firstLine="757"/>
        <w:spacing w:after="0" w:line="244" w:lineRule="auto"/>
        <w:tabs>
          <w:tab w:leader="none" w:pos="101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or other contributions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w:t>
      </w:r>
    </w:p>
    <w:p>
      <w:pPr>
        <w:spacing w:after="0" w:line="179" w:lineRule="exact"/>
        <w:rPr>
          <w:rFonts w:ascii="Times New Roman" w:cs="Times New Roman" w:eastAsia="Times New Roman" w:hAnsi="Times New Roman"/>
          <w:sz w:val="21"/>
          <w:szCs w:val="21"/>
          <w:color w:val="auto"/>
        </w:rPr>
      </w:pPr>
    </w:p>
    <w:p>
      <w:pPr>
        <w:ind w:left="-8" w:right="100" w:firstLine="8"/>
        <w:spacing w:after="0" w:line="246" w:lineRule="auto"/>
        <w:tabs>
          <w:tab w:leader="none" w:pos="501"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receipt of an Option pursuant to the Plan shall impose no obligation upon the Participant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any Shares covered by such Option. Nor shall the granting of an Option pursuant to the Plan constitute an agreement or an understanding, express or implied, on the part of the Company to employ the Participant for any specified period.</w:t>
      </w:r>
    </w:p>
    <w:p>
      <w:pPr>
        <w:spacing w:after="0" w:line="113" w:lineRule="exact"/>
        <w:rPr>
          <w:rFonts w:ascii="Times New Roman" w:cs="Times New Roman" w:eastAsia="Times New Roman" w:hAnsi="Times New Roman"/>
          <w:sz w:val="22"/>
          <w:szCs w:val="22"/>
          <w:b w:val="1"/>
          <w:bCs w:val="1"/>
          <w:color w:val="auto"/>
        </w:rPr>
      </w:pPr>
    </w:p>
    <w:p>
      <w:pPr>
        <w:jc w:val="both"/>
        <w:ind w:left="-8" w:right="320" w:firstLine="8"/>
        <w:spacing w:after="0" w:line="246" w:lineRule="auto"/>
        <w:tabs>
          <w:tab w:leader="none" w:pos="501"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ommunication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or other form of communication which the Company or a Participant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to give to the other shall be provided through such means as designated by the Committee, including but not limited to any paper or electronic method.</w:t>
      </w:r>
    </w:p>
    <w:p>
      <w:pPr>
        <w:spacing w:after="0" w:line="113" w:lineRule="exact"/>
        <w:rPr>
          <w:rFonts w:ascii="Times New Roman" w:cs="Times New Roman" w:eastAsia="Times New Roman" w:hAnsi="Times New Roman"/>
          <w:sz w:val="22"/>
          <w:szCs w:val="22"/>
          <w:b w:val="1"/>
          <w:bCs w:val="1"/>
          <w:color w:val="auto"/>
        </w:rPr>
      </w:pPr>
    </w:p>
    <w:p>
      <w:pPr>
        <w:ind w:left="512" w:hanging="512"/>
        <w:spacing w:after="0"/>
        <w:tabs>
          <w:tab w:leader="none" w:pos="51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 upon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right="140" w:firstLine="757"/>
        <w:spacing w:after="0" w:line="238" w:lineRule="auto"/>
        <w:tabs>
          <w:tab w:leader="none" w:pos="101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60" w:name="page61"/>
    <w:bookmarkEnd w:id="60"/>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(u)As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6" w:lineRule="exact"/>
        <w:rPr>
          <w:sz w:val="20"/>
          <w:szCs w:val="20"/>
          <w:color w:val="auto"/>
        </w:rPr>
      </w:pPr>
    </w:p>
    <w:p>
      <w:pPr>
        <w:jc w:val="both"/>
        <w:ind w:right="20" w:firstLine="8"/>
        <w:spacing w:after="0" w:line="246" w:lineRule="auto"/>
        <w:tabs>
          <w:tab w:leader="none" w:pos="50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will be administered and Options will be exercised in compliance with the 1933 Act, 1934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and all other applicable securities laws and Company policies, including without limitation, any insider trading policy of the Company.</w:t>
      </w:r>
    </w:p>
    <w:p>
      <w:pPr>
        <w:spacing w:after="0" w:line="113" w:lineRule="exact"/>
        <w:rPr>
          <w:rFonts w:ascii="Times New Roman" w:cs="Times New Roman" w:eastAsia="Times New Roman" w:hAnsi="Times New Roman"/>
          <w:sz w:val="22"/>
          <w:szCs w:val="22"/>
          <w:b w:val="1"/>
          <w:bCs w:val="1"/>
          <w:color w:val="auto"/>
        </w:rPr>
      </w:pPr>
    </w:p>
    <w:p>
      <w:pPr>
        <w:ind w:right="20" w:firstLine="8"/>
        <w:spacing w:after="0" w:line="241" w:lineRule="auto"/>
        <w:tabs>
          <w:tab w:leader="none" w:pos="50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shall become effective upon the earlier to occur of (i) its adoption by the Board and (ii)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w:t>
      </w:r>
    </w:p>
    <w:p>
      <w:pPr>
        <w:spacing w:after="0" w:line="117" w:lineRule="exact"/>
        <w:rPr>
          <w:rFonts w:ascii="Times New Roman" w:cs="Times New Roman" w:eastAsia="Times New Roman" w:hAnsi="Times New Roman"/>
          <w:sz w:val="22"/>
          <w:szCs w:val="22"/>
          <w:b w:val="1"/>
          <w:bCs w:val="1"/>
          <w:color w:val="auto"/>
        </w:rPr>
      </w:pPr>
    </w:p>
    <w:p>
      <w:pPr>
        <w:ind w:right="260" w:firstLine="8"/>
        <w:spacing w:after="0" w:line="246" w:lineRule="auto"/>
        <w:tabs>
          <w:tab w:leader="none" w:pos="50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all Options granted hereunder shall be construed in accordance with and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reference to choice of law principles and subject in all cases to the Code and the regulations thereunder.</w:t>
      </w:r>
    </w:p>
    <w:p>
      <w:pPr>
        <w:spacing w:after="0" w:line="113" w:lineRule="exact"/>
        <w:rPr>
          <w:rFonts w:ascii="Times New Roman" w:cs="Times New Roman" w:eastAsia="Times New Roman" w:hAnsi="Times New Roman"/>
          <w:sz w:val="22"/>
          <w:szCs w:val="22"/>
          <w:b w:val="1"/>
          <w:bCs w:val="1"/>
          <w:color w:val="auto"/>
        </w:rPr>
      </w:pPr>
    </w:p>
    <w:p>
      <w:pPr>
        <w:ind w:firstLine="8"/>
        <w:spacing w:after="0" w:line="257" w:lineRule="auto"/>
        <w:tabs>
          <w:tab w:leader="none" w:pos="509"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-U.S. P</w:t>
      </w:r>
      <w:r>
        <w:rPr>
          <w:rFonts w:ascii="Times New Roman" w:cs="Times New Roman" w:eastAsia="Times New Roman" w:hAnsi="Times New Roman"/>
          <w:sz w:val="13"/>
          <w:szCs w:val="13"/>
          <w:b w:val="1"/>
          <w:bCs w:val="1"/>
          <w:color w:val="auto"/>
        </w:rPr>
        <w:t>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under Section 423 of the Code, without the amendment of the Plan,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w:t>
      </w:r>
    </w:p>
    <w:p>
      <w:pPr>
        <w:spacing w:after="0" w:line="1" w:lineRule="exact"/>
        <w:rPr>
          <w:rFonts w:ascii="Times New Roman" w:cs="Times New Roman" w:eastAsia="Times New Roman" w:hAnsi="Times New Roman"/>
          <w:sz w:val="20"/>
          <w:szCs w:val="20"/>
          <w:b w:val="1"/>
          <w:bCs w:val="1"/>
          <w:color w:val="auto"/>
        </w:rPr>
      </w:pPr>
    </w:p>
    <w:p>
      <w:pPr>
        <w:ind w:right="240" w:firstLine="8"/>
        <w:spacing w:after="0" w:line="237" w:lineRule="auto"/>
        <w:tabs>
          <w:tab w:leader="none" w:pos="3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Component, and rights granted thereunder shall not be required by the terms of the Plan to comply with Section 423 of the Code.</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firstLine="8"/>
        <w:spacing w:after="0" w:line="233" w:lineRule="auto"/>
        <w:tabs>
          <w:tab w:leader="none" w:pos="501"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 </w:t>
      </w:r>
      <w:r>
        <w:rPr>
          <w:rFonts w:ascii="Times New Roman" w:cs="Times New Roman" w:eastAsia="Times New Roman" w:hAnsi="Times New Roman"/>
          <w:sz w:val="22"/>
          <w:szCs w:val="22"/>
          <w:color w:val="auto"/>
        </w:rPr>
        <w:t>The 423 Component is exempt from the application of Section 409A of the Code, and any ambiguities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1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627"/>
        </w:trPr>
        <w:tc>
          <w:tcPr>
            <w:tcW w:w="40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Nabeel Ahmed, certify that:</w:t>
      </w:r>
    </w:p>
    <w:p>
      <w:pPr>
        <w:spacing w:after="0" w:line="198"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1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Nabeel Ahmed</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Nabeel Ahmed</w:t>
            </w:r>
          </w:p>
        </w:tc>
      </w:tr>
      <w:tr>
        <w:trPr>
          <w:trHeight w:val="214"/>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1627"/>
        </w:trPr>
        <w:tc>
          <w:tcPr>
            <w:tcW w:w="40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ending March 31, 2025,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Trigg</w:t>
            </w:r>
          </w:p>
        </w:tc>
      </w:tr>
      <w:tr>
        <w:trPr>
          <w:trHeight w:val="191"/>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2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2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Nabeel Ahmed</w:t>
            </w:r>
          </w:p>
        </w:tc>
      </w:tr>
      <w:tr>
        <w:trPr>
          <w:trHeight w:val="191"/>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Nabeel Ahmed</w:t>
            </w:r>
          </w:p>
        </w:tc>
      </w:tr>
      <w:tr>
        <w:trPr>
          <w:trHeight w:val="214"/>
        </w:trPr>
        <w:tc>
          <w:tcPr>
            <w:tcW w:w="2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2"/>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04"/>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upperLetter"/>
      <w:start w:val="9"/>
    </w:lvl>
  </w:abstractNum>
  <w:abstractNum w:abstractNumId="7">
    <w:nsid w:val="189A769B"/>
    <w:multiLevelType w:val="hybridMultilevel"/>
    <w:lvl w:ilvl="0">
      <w:lvlJc w:val="left"/>
      <w:lvlText w:val="(%1)"/>
      <w:numFmt w:val="lowerRoman"/>
      <w:start w:val="3"/>
    </w:lvl>
  </w:abstractNum>
  <w:abstractNum w:abstractNumId="8">
    <w:nsid w:val="54E49EB4"/>
    <w:multiLevelType w:val="hybridMultilevel"/>
    <w:lvl w:ilvl="0">
      <w:lvlJc w:val="left"/>
      <w:lvlText w:val="(%1)"/>
      <w:numFmt w:val="lowerRoman"/>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2"/>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1"/>
    </w:lvl>
    <w:lvl w:ilvl="1">
      <w:lvlJc w:val="left"/>
      <w:lvlText w:val="(%2)"/>
      <w:numFmt w:val="lowerLetter"/>
      <w:start w:val="2"/>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4"/>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1)"/>
      <w:numFmt w:val="upperLetter"/>
      <w:start w:val="1"/>
    </w:lvl>
  </w:abstractNum>
  <w:abstractNum w:abstractNumId="19">
    <w:nsid w:val="22221A70"/>
    <w:multiLevelType w:val="hybridMultilevel"/>
    <w:lvl w:ilvl="0">
      <w:lvlJc w:val="left"/>
      <w:lvlText w:val="(%1)"/>
      <w:numFmt w:val="lowerLetter"/>
      <w:start w:val="1"/>
    </w:lvl>
    <w:lvl w:ilvl="1">
      <w:lvlJc w:val="left"/>
      <w:lvlText w:val="(%2)"/>
      <w:numFmt w:val="decimal"/>
      <w:start w:val="1"/>
    </w:lvl>
  </w:abstractNum>
  <w:abstractNum w:abstractNumId="20">
    <w:nsid w:val="4516DDE9"/>
    <w:multiLevelType w:val="hybridMultilevel"/>
    <w:lvl w:ilvl="0">
      <w:lvlJc w:val="left"/>
      <w:lvlText w:val="(%1)"/>
      <w:numFmt w:val="decimal"/>
      <w:start w:val="2"/>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3"/>
    </w:lvl>
    <w:lvl w:ilvl="1">
      <w:lvlJc w:val="left"/>
      <w:lvlText w:val="(%2)"/>
      <w:numFmt w:val="lowerLetter"/>
      <w:start w:val="1"/>
    </w:lvl>
  </w:abstractNum>
  <w:abstractNum w:abstractNumId="25">
    <w:nsid w:val="440BADFC"/>
    <w:multiLevelType w:val="hybridMultilevel"/>
    <w:lvl w:ilvl="0">
      <w:lvlJc w:val="left"/>
      <w:lvlText w:val="%1."/>
      <w:numFmt w:val="decimal"/>
      <w:start w:val="4"/>
    </w:lvl>
    <w:lvl w:ilvl="1">
      <w:lvlJc w:val="left"/>
      <w:lvlText w:val="(%2)"/>
      <w:numFmt w:val="lowerLetter"/>
      <w:start w:val="3"/>
    </w:lvl>
  </w:abstractNum>
  <w:abstractNum w:abstractNumId="26">
    <w:nsid w:val="5072367"/>
    <w:multiLevelType w:val="hybridMultilevel"/>
    <w:lvl w:ilvl="0">
      <w:lvlJc w:val="left"/>
      <w:lvlText w:val="%1"/>
      <w:numFmt w:val="decimal"/>
      <w:start w:val="1"/>
    </w:lvl>
    <w:lvl w:ilvl="1">
      <w:lvlJc w:val="left"/>
      <w:lvlText w:val="(%2)"/>
      <w:numFmt w:val="lowerLetter"/>
      <w:start w:val="5"/>
    </w:lvl>
  </w:abstractNum>
  <w:abstractNum w:abstractNumId="27">
    <w:nsid w:val="3804823E"/>
    <w:multiLevelType w:val="hybridMultilevel"/>
    <w:lvl w:ilvl="0">
      <w:lvlJc w:val="left"/>
      <w:lvlText w:val="%1."/>
      <w:numFmt w:val="decimal"/>
      <w:start w:val="6"/>
    </w:lvl>
    <w:lvl w:ilvl="1">
      <w:lvlJc w:val="left"/>
      <w:lvlText w:val="(%2)"/>
      <w:numFmt w:val="lowerLetter"/>
      <w:start w:val="6"/>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decimal"/>
      <w:start w:val="7"/>
    </w:lvl>
  </w:abstractNum>
  <w:abstractNum w:abstractNumId="30">
    <w:nsid w:val="5C482A97"/>
    <w:multiLevelType w:val="hybridMultilevel"/>
    <w:lvl w:ilvl="0">
      <w:lvlJc w:val="left"/>
      <w:lvlText w:val="%1."/>
      <w:numFmt w:val="decimal"/>
      <w:start w:val="9"/>
    </w:lvl>
    <w:lvl w:ilvl="1">
      <w:lvlJc w:val="left"/>
      <w:lvlText w:val="(%2)"/>
      <w:numFmt w:val="lowerRoman"/>
      <w:start w:val="1"/>
    </w:lvl>
  </w:abstractNum>
  <w:abstractNum w:abstractNumId="31">
    <w:nsid w:val="2463B9EA"/>
    <w:multiLevelType w:val="hybridMultilevel"/>
    <w:lvl w:ilvl="0">
      <w:lvlJc w:val="left"/>
      <w:lvlText w:val="%1"/>
      <w:numFmt w:val="decimal"/>
      <w:start w:val="423"/>
    </w:lvl>
    <w:lvl w:ilvl="1">
      <w:lvlJc w:val="left"/>
      <w:lvlText w:val="%2"/>
      <w:numFmt w:val="lowerRoman"/>
      <w:start w:val="1"/>
    </w:lvl>
  </w:abstractNum>
  <w:abstractNum w:abstractNumId="32">
    <w:nsid w:val="5E884ADC"/>
    <w:multiLevelType w:val="hybridMultilevel"/>
    <w:lvl w:ilvl="0">
      <w:lvlJc w:val="left"/>
      <w:lvlText w:val="(%1)"/>
      <w:numFmt w:val="lowerLetter"/>
      <w:start w:val="10"/>
    </w:lvl>
  </w:abstractNum>
  <w:abstractNum w:abstractNumId="33">
    <w:nsid w:val="51EAD36B"/>
    <w:multiLevelType w:val="hybridMultilevel"/>
    <w:lvl w:ilvl="0">
      <w:lvlJc w:val="left"/>
      <w:lvlText w:val="%1."/>
      <w:numFmt w:val="decimal"/>
      <w:start w:val="12"/>
    </w:lvl>
  </w:abstractNum>
  <w:abstractNum w:abstractNumId="34">
    <w:nsid w:val="2D517796"/>
    <w:multiLevelType w:val="hybridMultilevel"/>
    <w:lvl w:ilvl="0">
      <w:lvlJc w:val="left"/>
      <w:lvlText w:val="%1."/>
      <w:numFmt w:val="decimal"/>
      <w:start w:val="13"/>
    </w:lvl>
    <w:lvl w:ilvl="1">
      <w:lvlJc w:val="left"/>
      <w:lvlText w:val="(%2)"/>
      <w:numFmt w:val="lowerLetter"/>
      <w:start w:val="12"/>
    </w:lvl>
  </w:abstractNum>
  <w:abstractNum w:abstractNumId="35">
    <w:nsid w:val="580BD78F"/>
    <w:multiLevelType w:val="hybridMultilevel"/>
    <w:lvl w:ilvl="0">
      <w:lvlJc w:val="left"/>
      <w:lvlText w:val="%1."/>
      <w:numFmt w:val="decimal"/>
      <w:start w:val="16"/>
    </w:lvl>
  </w:abstractNum>
  <w:abstractNum w:abstractNumId="36">
    <w:nsid w:val="153EA438"/>
    <w:multiLevelType w:val="hybridMultilevel"/>
    <w:lvl w:ilvl="0">
      <w:lvlJc w:val="left"/>
      <w:lvlText w:val="%1."/>
      <w:numFmt w:val="decimal"/>
      <w:start w:val="17"/>
    </w:lvl>
    <w:lvl w:ilvl="1">
      <w:lvlJc w:val="left"/>
      <w:lvlText w:val="(%2)"/>
      <w:numFmt w:val="lowerLetter"/>
      <w:start w:val="15"/>
    </w:lvl>
  </w:abstractNum>
  <w:abstractNum w:abstractNumId="37">
    <w:nsid w:val="3855585C"/>
    <w:multiLevelType w:val="hybridMultilevel"/>
    <w:lvl w:ilvl="0">
      <w:lvlJc w:val="left"/>
      <w:lvlText w:val="%1"/>
      <w:numFmt w:val="decimal"/>
      <w:start w:val="1"/>
    </w:lvl>
    <w:lvl w:ilvl="1">
      <w:lvlJc w:val="left"/>
      <w:lvlText w:val="(%2)"/>
      <w:numFmt w:val="lowerLetter"/>
      <w:start w:val="18"/>
    </w:lvl>
  </w:abstractNum>
  <w:abstractNum w:abstractNumId="38">
    <w:nsid w:val="70A64E2A"/>
    <w:multiLevelType w:val="hybridMultilevel"/>
    <w:lvl w:ilvl="0">
      <w:lvlJc w:val="left"/>
      <w:lvlText w:val="%1."/>
      <w:numFmt w:val="decimal"/>
      <w:start w:val="20"/>
    </w:lvl>
    <w:lvl w:ilvl="1">
      <w:lvlJc w:val="left"/>
      <w:lvlText w:val="(%2)"/>
      <w:numFmt w:val="lowerLetter"/>
      <w:start w:val="20"/>
    </w:lvl>
  </w:abstractNum>
  <w:abstractNum w:abstractNumId="39">
    <w:nsid w:val="6A2342EC"/>
    <w:multiLevelType w:val="hybridMultilevel"/>
    <w:lvl w:ilvl="0">
      <w:lvlJc w:val="left"/>
      <w:lvlText w:val="%1."/>
      <w:numFmt w:val="decimal"/>
      <w:start w:val="23"/>
    </w:lvl>
  </w:abstractNum>
  <w:abstractNum w:abstractNumId="40">
    <w:nsid w:val="2A487CB0"/>
    <w:multiLevelType w:val="hybridMultilevel"/>
    <w:lvl w:ilvl="0">
      <w:lvlJc w:val="left"/>
      <w:lvlText w:val="%1"/>
      <w:numFmt w:val="decimal"/>
      <w:start w:val="423"/>
    </w:lvl>
  </w:abstractNum>
  <w:abstractNum w:abstractNumId="41">
    <w:nsid w:val="1D4ED43B"/>
    <w:multiLevelType w:val="hybridMultilevel"/>
    <w:lvl w:ilvl="0">
      <w:lvlJc w:val="left"/>
      <w:lvlText w:val="%1."/>
      <w:numFmt w:val="decimal"/>
      <w:start w:val="27"/>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jpe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jpeg"/><Relationship Id="rId221" Type="http://schemas.openxmlformats.org/officeDocument/2006/relationships/image" Target="media/image204.png"/><Relationship Id="rId222" Type="http://schemas.openxmlformats.org/officeDocument/2006/relationships/image" Target="media/image205.jpeg"/><Relationship Id="rId223" Type="http://schemas.openxmlformats.org/officeDocument/2006/relationships/image" Target="media/image206.png"/><Relationship Id="rId224" Type="http://schemas.openxmlformats.org/officeDocument/2006/relationships/image" Target="media/image207.jpeg"/><Relationship Id="rId225" Type="http://schemas.openxmlformats.org/officeDocument/2006/relationships/image" Target="media/image208.png"/><Relationship Id="rId226" Type="http://schemas.openxmlformats.org/officeDocument/2006/relationships/image" Target="media/image209.jpeg"/><Relationship Id="rId227" Type="http://schemas.openxmlformats.org/officeDocument/2006/relationships/image" Target="media/image210.png"/><Relationship Id="rId228" Type="http://schemas.openxmlformats.org/officeDocument/2006/relationships/image" Target="media/image211.jpeg"/><Relationship Id="rId229" Type="http://schemas.openxmlformats.org/officeDocument/2006/relationships/image" Target="media/image212.png"/><Relationship Id="rId230" Type="http://schemas.openxmlformats.org/officeDocument/2006/relationships/image" Target="media/image213.jpeg"/><Relationship Id="rId231" Type="http://schemas.openxmlformats.org/officeDocument/2006/relationships/image" Target="media/image214.png"/><Relationship Id="rId232" Type="http://schemas.openxmlformats.org/officeDocument/2006/relationships/image" Target="media/image215.jpeg"/><Relationship Id="rId233" Type="http://schemas.openxmlformats.org/officeDocument/2006/relationships/image" Target="media/image216.png"/><Relationship Id="rId234" Type="http://schemas.openxmlformats.org/officeDocument/2006/relationships/image" Target="media/image217.jpeg"/><Relationship Id="rId235" Type="http://schemas.openxmlformats.org/officeDocument/2006/relationships/image" Target="media/image218.png"/><Relationship Id="rId236" Type="http://schemas.openxmlformats.org/officeDocument/2006/relationships/image" Target="media/image219.jpeg"/><Relationship Id="rId237" Type="http://schemas.openxmlformats.org/officeDocument/2006/relationships/image" Target="media/image220.png"/><Relationship Id="rId238" Type="http://schemas.openxmlformats.org/officeDocument/2006/relationships/image" Target="media/image221.jpeg"/><Relationship Id="rId239" Type="http://schemas.openxmlformats.org/officeDocument/2006/relationships/image" Target="media/image222.png"/><Relationship Id="rId240" Type="http://schemas.openxmlformats.org/officeDocument/2006/relationships/image" Target="media/image223.jpeg"/><Relationship Id="rId241" Type="http://schemas.openxmlformats.org/officeDocument/2006/relationships/image" Target="media/image224.png"/><Relationship Id="rId242" Type="http://schemas.openxmlformats.org/officeDocument/2006/relationships/image" Target="media/image225.jpeg"/><Relationship Id="rId243" Type="http://schemas.openxmlformats.org/officeDocument/2006/relationships/image" Target="media/image226.png"/><Relationship Id="rId244" Type="http://schemas.openxmlformats.org/officeDocument/2006/relationships/image" Target="media/image227.jpe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186" Type="http://schemas.openxmlformats.org/officeDocument/2006/relationships/hyperlink" Target="https://www.sec.gov/Archives/edgar/data/1484612/000119312520241516/d941853dex31.htm" TargetMode="External"/><Relationship Id="rId187" Type="http://schemas.openxmlformats.org/officeDocument/2006/relationships/hyperlink" Target="https://www.sec.gov/Archives/edgar/data/1484612/000119312520241516/d941853dex32.htm" TargetMode="External"/><Relationship Id="rId188" Type="http://schemas.openxmlformats.org/officeDocument/2006/relationships/hyperlink" Target="https://www.sec.gov/Archives/edgar/data/1484612/000114036125001915/ny20040487x2_ex3-1.htm" TargetMode="External"/><Relationship Id="rId189" Type="http://schemas.openxmlformats.org/officeDocument/2006/relationships/hyperlink" Target="https://www.sec.gov/Archives/edgar/data/1484612/000119312525003545/d859629dex31.htm" TargetMode="External"/><Relationship Id="rId190" Type="http://schemas.openxmlformats.org/officeDocument/2006/relationships/hyperlink" Target="https://www.sec.gov/Archives/edgar/data/1484612/000119312520241516/d941853dex41.htm" TargetMode="External"/><Relationship Id="rId191" Type="http://schemas.openxmlformats.org/officeDocument/2006/relationships/hyperlink" Target="https://www.sec.gov/Archives/edgar/data/1484612/000119312520226746/d941853dex42.htm" TargetMode="External"/><Relationship Id="rId192" Type="http://schemas.openxmlformats.org/officeDocument/2006/relationships/hyperlink" Target="https://www.sec.gov/Archives/edgar/data/1484612/000119312520226746/d941853dex43.htm" TargetMode="External"/><Relationship Id="rId193" Type="http://schemas.openxmlformats.org/officeDocument/2006/relationships/hyperlink" Target="https://www.sec.gov/Archives/edgar/data/1484612/000119312520226746/d941853dex44.htm" TargetMode="External"/><Relationship Id="rId194" Type="http://schemas.openxmlformats.org/officeDocument/2006/relationships/hyperlink" Target="https://www.sec.gov/Archives/edgar/data/1484612/000156459021014563/om-ex45_324.htm" TargetMode="External"/><Relationship Id="rId195" Type="http://schemas.openxmlformats.org/officeDocument/2006/relationships/hyperlink" Target="https://www.sec.gov/Archives/edgar/data/1484612/000119312525003545/d8596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2025-05-08T05:14:06Z</dcterms:created>
  <dcterms:modified xsi:type="dcterms:W3CDTF">2025-05-08T05:14:06Z</dcterms:modified>
</cp:coreProperties>
</file>