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113030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500" w:hanging="3639"/>
        <w:spacing w:after="0" w:line="399" w:lineRule="auto"/>
        <w:tabs>
          <w:tab w:leader="none" w:pos="59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47"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-4445</wp:posOffset>
            </wp:positionV>
            <wp:extent cx="308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368"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2"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20-0514392</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67" w:lineRule="exact"/>
        <w:rPr>
          <w:sz w:val="24"/>
          <w:szCs w:val="24"/>
          <w:color w:val="auto"/>
        </w:rPr>
      </w:pPr>
    </w:p>
    <w:p>
      <w:pPr>
        <w:sectPr>
          <w:pgSz w:w="11900" w:h="16838" w:orient="portrait"/>
          <w:cols w:equalWidth="0" w:num="2">
            <w:col w:w="7480" w:space="460"/>
            <w:col w:w="3300"/>
          </w:cols>
          <w:pgMar w:left="320" w:top="368" w:right="339" w:bottom="1440" w:gutter="0" w:footer="0" w:header="0"/>
          <w:type w:val="continuous"/>
        </w:sectPr>
      </w:pPr>
    </w:p>
    <w:p>
      <w:pPr>
        <w:ind w:left="2280"/>
        <w:spacing w:after="0"/>
        <w:rPr>
          <w:sz w:val="20"/>
          <w:szCs w:val="20"/>
          <w:color w:val="auto"/>
        </w:rPr>
      </w:pPr>
      <w:r>
        <w:rPr>
          <w:rFonts w:ascii="Arial" w:cs="Arial" w:eastAsia="Arial" w:hAnsi="Arial"/>
          <w:sz w:val="14"/>
          <w:szCs w:val="14"/>
          <w:b w:val="1"/>
          <w:bCs w:val="1"/>
          <w:color w:val="auto"/>
        </w:rPr>
        <w:t>3052 Orchard Dr.</w:t>
      </w:r>
    </w:p>
    <w:p>
      <w:pPr>
        <w:spacing w:after="0" w:line="28" w:lineRule="exact"/>
        <w:rPr>
          <w:sz w:val="24"/>
          <w:szCs w:val="24"/>
          <w:color w:val="auto"/>
        </w:rPr>
      </w:pPr>
    </w:p>
    <w:p>
      <w:pPr>
        <w:ind w:left="2180"/>
        <w:spacing w:after="0"/>
        <w:tabs>
          <w:tab w:leader="none" w:pos="8240" w:val="left"/>
        </w:tabs>
        <w:rPr>
          <w:sz w:val="20"/>
          <w:szCs w:val="20"/>
          <w:color w:val="auto"/>
        </w:rPr>
      </w:pPr>
      <w:r>
        <w:rPr>
          <w:rFonts w:ascii="Arial" w:cs="Arial" w:eastAsia="Arial" w:hAnsi="Arial"/>
          <w:sz w:val="14"/>
          <w:szCs w:val="14"/>
          <w:b w:val="1"/>
          <w:bCs w:val="1"/>
          <w:color w:val="auto"/>
        </w:rPr>
        <w:t>San Jose, California</w:t>
      </w:r>
      <w:r>
        <w:rPr>
          <w:sz w:val="20"/>
          <w:szCs w:val="20"/>
          <w:color w:val="auto"/>
        </w:rPr>
        <w:tab/>
      </w:r>
      <w:r>
        <w:rPr>
          <w:rFonts w:ascii="Arial" w:cs="Arial" w:eastAsia="Arial" w:hAnsi="Arial"/>
          <w:sz w:val="12"/>
          <w:szCs w:val="12"/>
          <w:b w:val="1"/>
          <w:bCs w:val="1"/>
          <w:color w:val="auto"/>
        </w:rPr>
        <w:t>95134</w:t>
      </w:r>
    </w:p>
    <w:p>
      <w:pPr>
        <w:spacing w:after="0" w:line="60"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192"/>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9"/>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49" w:lineRule="exact"/>
        <w:rPr>
          <w:sz w:val="24"/>
          <w:szCs w:val="24"/>
          <w:color w:val="auto"/>
        </w:rPr>
      </w:pPr>
    </w:p>
    <w:p>
      <w:pPr>
        <w:ind w:right="120" w:firstLine="509"/>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right="80" w:firstLine="509"/>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20" w:firstLine="509"/>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40"/>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40"/>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26" w:lineRule="exact"/>
        <w:rPr>
          <w:sz w:val="24"/>
          <w:szCs w:val="24"/>
          <w:color w:val="auto"/>
        </w:rPr>
      </w:pPr>
    </w:p>
    <w:p>
      <w:pPr>
        <w:jc w:val="both"/>
        <w:ind w:right="60" w:firstLine="509"/>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22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right="180" w:firstLine="509"/>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October 29, 2021, the registrant had 47,094,315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40" w:type="dxa"/>
            <w:vAlign w:val="bottom"/>
            <w:gridSpan w:val="5"/>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9440" w:type="dxa"/>
            <w:vAlign w:val="bottom"/>
            <w:gridSpan w:val="19"/>
          </w:tcPr>
          <w:p>
            <w:pPr>
              <w:spacing w:after="0" w:line="182" w:lineRule="exact"/>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Borders>
              <w:top w:val="single" w:sz="8" w:color="0563C1"/>
            </w:tcBorders>
            <w:gridSpan w:val="10"/>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Condensed Balance Sheets</w:t>
              </w:r>
            </w:hyperlink>
          </w:p>
        </w:tc>
        <w:tc>
          <w:tcPr>
            <w:tcW w:w="7020" w:type="dxa"/>
            <w:vAlign w:val="bottom"/>
            <w:gridSpan w:val="9"/>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Borders>
              <w:bottom w:val="single" w:sz="8" w:color="0563C1"/>
            </w:tcBorders>
            <w:gridSpan w:val="11"/>
          </w:tcPr>
          <w:p>
            <w:pPr>
              <w:spacing w:after="0"/>
              <w:rPr>
                <w:rFonts w:ascii="Arial" w:cs="Arial" w:eastAsia="Arial" w:hAnsi="Arial"/>
                <w:sz w:val="18"/>
                <w:szCs w:val="18"/>
                <w:color w:val="0563C1"/>
                <w:w w:val="88"/>
              </w:rPr>
            </w:pPr>
            <w:hyperlink w:anchor="page4">
              <w:r>
                <w:rPr>
                  <w:rFonts w:ascii="Arial" w:cs="Arial" w:eastAsia="Arial" w:hAnsi="Arial"/>
                  <w:sz w:val="18"/>
                  <w:szCs w:val="18"/>
                  <w:color w:val="0563C1"/>
                  <w:w w:val="88"/>
                </w:rPr>
                <w:t>Condensed Statements of Operations</w:t>
              </w:r>
            </w:hyperlink>
          </w:p>
        </w:tc>
        <w:tc>
          <w:tcPr>
            <w:tcW w:w="6760" w:type="dxa"/>
            <w:vAlign w:val="bottom"/>
            <w:gridSpan w:val="8"/>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Borders>
              <w:bottom w:val="single" w:sz="8" w:color="0563C1"/>
            </w:tcBorders>
            <w:gridSpan w:val="14"/>
          </w:tcPr>
          <w:p>
            <w:pPr>
              <w:spacing w:after="0"/>
              <w:rPr>
                <w:rFonts w:ascii="Arial" w:cs="Arial" w:eastAsia="Arial" w:hAnsi="Arial"/>
                <w:sz w:val="18"/>
                <w:szCs w:val="18"/>
                <w:color w:val="0563C1"/>
                <w:w w:val="88"/>
              </w:rPr>
            </w:pPr>
            <w:hyperlink w:anchor="page5">
              <w:r>
                <w:rPr>
                  <w:rFonts w:ascii="Arial" w:cs="Arial" w:eastAsia="Arial" w:hAnsi="Arial"/>
                  <w:sz w:val="18"/>
                  <w:szCs w:val="18"/>
                  <w:color w:val="0563C1"/>
                  <w:w w:val="88"/>
                </w:rPr>
                <w:t>Condensed Statements of Comprehensive Loss</w:t>
              </w:r>
            </w:hyperlink>
          </w:p>
        </w:tc>
        <w:tc>
          <w:tcPr>
            <w:tcW w:w="6040" w:type="dxa"/>
            <w:vAlign w:val="bottom"/>
            <w:gridSpan w:val="5"/>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80" w:type="dxa"/>
            <w:vAlign w:val="bottom"/>
            <w:tcBorders>
              <w:bottom w:val="single" w:sz="8" w:color="0563C1"/>
            </w:tcBorders>
            <w:gridSpan w:val="18"/>
          </w:tcPr>
          <w:p>
            <w:pPr>
              <w:spacing w:after="0"/>
              <w:rPr>
                <w:rFonts w:ascii="Arial" w:cs="Arial" w:eastAsia="Arial" w:hAnsi="Arial"/>
                <w:sz w:val="18"/>
                <w:szCs w:val="18"/>
                <w:color w:val="0563C1"/>
                <w:w w:val="90"/>
              </w:rPr>
            </w:pPr>
            <w:hyperlink w:anchor="page6">
              <w:r>
                <w:rPr>
                  <w:rFonts w:ascii="Arial" w:cs="Arial" w:eastAsia="Arial" w:hAnsi="Arial"/>
                  <w:sz w:val="18"/>
                  <w:szCs w:val="18"/>
                  <w:color w:val="0563C1"/>
                  <w:w w:val="90"/>
                </w:rPr>
                <w:t>Condensed Statements of Redeemable Convertible Preferred Stock and Stockholders’ Equity (Deficit)</w:t>
              </w:r>
            </w:hyperlink>
          </w:p>
        </w:tc>
        <w:tc>
          <w:tcPr>
            <w:tcW w:w="2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40" w:type="dxa"/>
            <w:vAlign w:val="bottom"/>
            <w:gridSpan w:val="19"/>
          </w:tcPr>
          <w:p>
            <w:pPr>
              <w:spacing w:after="0"/>
              <w:rPr>
                <w:rFonts w:ascii="Arial" w:cs="Arial" w:eastAsia="Arial" w:hAnsi="Arial"/>
                <w:sz w:val="18"/>
                <w:szCs w:val="18"/>
                <w:color w:val="0563C1"/>
              </w:rPr>
            </w:pPr>
            <w:hyperlink w:anchor="page8">
              <w:r>
                <w:rPr>
                  <w:rFonts w:ascii="Arial" w:cs="Arial" w:eastAsia="Arial" w:hAnsi="Arial"/>
                  <w:sz w:val="18"/>
                  <w:szCs w:val="18"/>
                  <w:color w:val="0563C1"/>
                </w:rPr>
                <w:t>Condensed Statements of Cash Flows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40" w:type="dxa"/>
            <w:vAlign w:val="bottom"/>
            <w:gridSpan w:val="19"/>
          </w:tcPr>
          <w:p>
            <w:pPr>
              <w:spacing w:after="0"/>
              <w:rPr>
                <w:rFonts w:ascii="Arial" w:cs="Arial" w:eastAsia="Arial" w:hAnsi="Arial"/>
                <w:sz w:val="18"/>
                <w:szCs w:val="18"/>
                <w:color w:val="0563C1"/>
              </w:rPr>
            </w:pPr>
            <w:hyperlink w:anchor="page10">
              <w:r>
                <w:rPr>
                  <w:rFonts w:ascii="Arial" w:cs="Arial" w:eastAsia="Arial" w:hAnsi="Arial"/>
                  <w:sz w:val="18"/>
                  <w:szCs w:val="18"/>
                  <w:color w:val="0563C1"/>
                </w:rPr>
                <w:t>Notes to Condensed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9"/>
          </w:tcPr>
          <w:p>
            <w:pPr>
              <w:spacing w:after="0"/>
              <w:rPr>
                <w:rFonts w:ascii="Arial" w:cs="Arial" w:eastAsia="Arial" w:hAnsi="Arial"/>
                <w:sz w:val="18"/>
                <w:szCs w:val="18"/>
                <w:color w:val="0563C1"/>
              </w:rPr>
            </w:pPr>
            <w:hyperlink w:anchor="page17">
              <w:r>
                <w:rPr>
                  <w:rFonts w:ascii="Arial" w:cs="Arial" w:eastAsia="Arial" w:hAnsi="Arial"/>
                  <w:sz w:val="18"/>
                  <w:szCs w:val="18"/>
                  <w:color w:val="0563C1"/>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6"/>
          </w:tcPr>
          <w:p>
            <w:pPr>
              <w:spacing w:after="0"/>
              <w:rPr>
                <w:rFonts w:ascii="Arial" w:cs="Arial" w:eastAsia="Arial" w:hAnsi="Arial"/>
                <w:sz w:val="18"/>
                <w:szCs w:val="18"/>
                <w:color w:val="0563C1"/>
                <w:w w:val="92"/>
              </w:rPr>
            </w:pPr>
            <w:hyperlink w:anchor="page26">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tcPr>
          <w:p>
            <w:pPr>
              <w:spacing w:after="0"/>
              <w:rPr>
                <w:sz w:val="19"/>
                <w:szCs w:val="19"/>
                <w:color w:val="auto"/>
              </w:rPr>
            </w:pPr>
          </w:p>
        </w:tc>
        <w:tc>
          <w:tcPr>
            <w:tcW w:w="298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rFonts w:ascii="Arial" w:cs="Arial" w:eastAsia="Arial" w:hAnsi="Arial"/>
                <w:sz w:val="18"/>
                <w:szCs w:val="18"/>
                <w:color w:val="0563C1"/>
                <w:w w:val="88"/>
              </w:rPr>
            </w:pPr>
            <w:hyperlink w:anchor="page26">
              <w:r>
                <w:rPr>
                  <w:rFonts w:ascii="Arial" w:cs="Arial" w:eastAsia="Arial" w:hAnsi="Arial"/>
                  <w:sz w:val="18"/>
                  <w:szCs w:val="18"/>
                  <w:color w:val="0563C1"/>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640" w:type="dxa"/>
            <w:vAlign w:val="bottom"/>
            <w:gridSpan w:val="13"/>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563C1"/>
            </w:tcBorders>
            <w:gridSpan w:val="7"/>
          </w:tcPr>
          <w:p>
            <w:pPr>
              <w:spacing w:after="0"/>
              <w:rPr>
                <w:rFonts w:ascii="Arial" w:cs="Arial" w:eastAsia="Arial" w:hAnsi="Arial"/>
                <w:sz w:val="18"/>
                <w:szCs w:val="18"/>
                <w:color w:val="0563C1"/>
                <w:w w:val="97"/>
              </w:rPr>
            </w:pPr>
            <w:hyperlink w:anchor="page27">
              <w:r>
                <w:rPr>
                  <w:rFonts w:ascii="Arial" w:cs="Arial" w:eastAsia="Arial" w:hAnsi="Arial"/>
                  <w:sz w:val="18"/>
                  <w:szCs w:val="18"/>
                  <w:color w:val="0563C1"/>
                  <w:w w:val="97"/>
                </w:rPr>
                <w:t>OTHER INFORMATION</w:t>
              </w:r>
            </w:hyperlink>
          </w:p>
        </w:tc>
        <w:tc>
          <w:tcPr>
            <w:tcW w:w="7500" w:type="dxa"/>
            <w:vAlign w:val="bottom"/>
            <w:gridSpan w:val="1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rFonts w:ascii="Arial" w:cs="Arial" w:eastAsia="Arial" w:hAnsi="Arial"/>
                <w:sz w:val="18"/>
                <w:szCs w:val="18"/>
                <w:color w:val="0563C1"/>
              </w:rPr>
            </w:pPr>
            <w:hyperlink w:anchor="page27">
              <w:r>
                <w:rPr>
                  <w:rFonts w:ascii="Arial" w:cs="Arial" w:eastAsia="Arial" w:hAnsi="Arial"/>
                  <w:sz w:val="18"/>
                  <w:szCs w:val="18"/>
                  <w:color w:val="0563C1"/>
                </w:rPr>
                <w:t>Legal Proceedings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563C1"/>
              <w:bottom w:val="single" w:sz="8" w:color="0563C1"/>
            </w:tcBorders>
            <w:gridSpan w:val="2"/>
          </w:tcPr>
          <w:p>
            <w:pPr>
              <w:spacing w:after="0"/>
              <w:rPr>
                <w:rFonts w:ascii="Arial" w:cs="Arial" w:eastAsia="Arial" w:hAnsi="Arial"/>
                <w:sz w:val="18"/>
                <w:szCs w:val="18"/>
                <w:color w:val="0563C1"/>
                <w:w w:val="89"/>
              </w:rPr>
            </w:pPr>
            <w:hyperlink w:anchor="page27">
              <w:r>
                <w:rPr>
                  <w:rFonts w:ascii="Arial" w:cs="Arial" w:eastAsia="Arial" w:hAnsi="Arial"/>
                  <w:sz w:val="18"/>
                  <w:szCs w:val="18"/>
                  <w:color w:val="0563C1"/>
                  <w:w w:val="89"/>
                </w:rPr>
                <w:t>Risk Factors</w:t>
              </w:r>
            </w:hyperlink>
          </w:p>
        </w:tc>
        <w:tc>
          <w:tcPr>
            <w:tcW w:w="420" w:type="dxa"/>
            <w:vAlign w:val="bottom"/>
            <w:tcBorders>
              <w:top w:val="single" w:sz="8" w:color="0563C1"/>
            </w:tcBorders>
            <w:gridSpan w:val="2"/>
          </w:tcPr>
          <w:p>
            <w:pPr>
              <w:spacing w:after="0"/>
              <w:rPr>
                <w:sz w:val="19"/>
                <w:szCs w:val="19"/>
                <w:color w:val="auto"/>
              </w:rPr>
            </w:pPr>
          </w:p>
        </w:tc>
        <w:tc>
          <w:tcPr>
            <w:tcW w:w="8100" w:type="dxa"/>
            <w:vAlign w:val="bottom"/>
            <w:gridSpan w:val="15"/>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5"/>
          </w:tcPr>
          <w:p>
            <w:pPr>
              <w:spacing w:after="0"/>
              <w:rPr>
                <w:rFonts w:ascii="Arial" w:cs="Arial" w:eastAsia="Arial" w:hAnsi="Arial"/>
                <w:sz w:val="18"/>
                <w:szCs w:val="18"/>
                <w:color w:val="0563C1"/>
                <w:w w:val="89"/>
              </w:rPr>
            </w:pPr>
            <w:hyperlink w:anchor="page28">
              <w:r>
                <w:rPr>
                  <w:rFonts w:ascii="Arial" w:cs="Arial" w:eastAsia="Arial" w:hAnsi="Arial"/>
                  <w:sz w:val="18"/>
                  <w:szCs w:val="18"/>
                  <w:color w:val="0563C1"/>
                  <w:w w:val="89"/>
                </w:rPr>
                <w:t>Unregistered Sales of Equity Securities and Use of Proceeds</w:t>
              </w:r>
            </w:hyperlink>
          </w:p>
        </w:tc>
        <w:tc>
          <w:tcPr>
            <w:tcW w:w="5080" w:type="dxa"/>
            <w:vAlign w:val="bottom"/>
            <w:gridSpan w:val="4"/>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563C1"/>
            </w:tcBorders>
            <w:gridSpan w:val="9"/>
          </w:tcPr>
          <w:p>
            <w:pPr>
              <w:spacing w:after="0"/>
              <w:rPr>
                <w:rFonts w:ascii="Arial" w:cs="Arial" w:eastAsia="Arial" w:hAnsi="Arial"/>
                <w:sz w:val="18"/>
                <w:szCs w:val="18"/>
                <w:color w:val="0563C1"/>
                <w:w w:val="90"/>
              </w:rPr>
            </w:pPr>
            <w:hyperlink w:anchor="page29">
              <w:r>
                <w:rPr>
                  <w:rFonts w:ascii="Arial" w:cs="Arial" w:eastAsia="Arial" w:hAnsi="Arial"/>
                  <w:sz w:val="18"/>
                  <w:szCs w:val="18"/>
                  <w:color w:val="0563C1"/>
                  <w:w w:val="90"/>
                </w:rPr>
                <w:t>Defaults Upon Senior Securities</w:t>
              </w:r>
            </w:hyperlink>
          </w:p>
        </w:tc>
        <w:tc>
          <w:tcPr>
            <w:tcW w:w="7100" w:type="dxa"/>
            <w:vAlign w:val="bottom"/>
            <w:gridSpan w:val="10"/>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rFonts w:ascii="Arial" w:cs="Arial" w:eastAsia="Arial" w:hAnsi="Arial"/>
                <w:sz w:val="18"/>
                <w:szCs w:val="18"/>
                <w:color w:val="0563C1"/>
                <w:w w:val="91"/>
              </w:rPr>
            </w:pPr>
            <w:hyperlink w:anchor="page29">
              <w:r>
                <w:rPr>
                  <w:rFonts w:ascii="Arial" w:cs="Arial" w:eastAsia="Arial" w:hAnsi="Arial"/>
                  <w:sz w:val="18"/>
                  <w:szCs w:val="18"/>
                  <w:color w:val="0563C1"/>
                  <w:w w:val="91"/>
                </w:rPr>
                <w:t>Mine Safety Disclosures</w:t>
              </w:r>
            </w:hyperlink>
          </w:p>
        </w:tc>
        <w:tc>
          <w:tcPr>
            <w:tcW w:w="7660" w:type="dxa"/>
            <w:vAlign w:val="bottom"/>
            <w:gridSpan w:val="14"/>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440" w:type="dxa"/>
            <w:vAlign w:val="bottom"/>
            <w:gridSpan w:val="19"/>
          </w:tcPr>
          <w:p>
            <w:pPr>
              <w:spacing w:after="0"/>
              <w:rPr>
                <w:rFonts w:ascii="Arial" w:cs="Arial" w:eastAsia="Arial" w:hAnsi="Arial"/>
                <w:sz w:val="18"/>
                <w:szCs w:val="18"/>
                <w:color w:val="0563C1"/>
              </w:rPr>
            </w:pPr>
            <w:hyperlink w:anchor="page29">
              <w:r>
                <w:rPr>
                  <w:rFonts w:ascii="Arial" w:cs="Arial" w:eastAsia="Arial" w:hAnsi="Arial"/>
                  <w:sz w:val="18"/>
                  <w:szCs w:val="18"/>
                  <w:color w:val="0563C1"/>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rPr>
                <w:rFonts w:ascii="Arial" w:cs="Arial" w:eastAsia="Arial" w:hAnsi="Arial"/>
                <w:sz w:val="18"/>
                <w:szCs w:val="18"/>
                <w:color w:val="0563C1"/>
              </w:rPr>
            </w:pPr>
            <w:hyperlink w:anchor="page30">
              <w:r>
                <w:rPr>
                  <w:rFonts w:ascii="Arial" w:cs="Arial" w:eastAsia="Arial" w:hAnsi="Arial"/>
                  <w:sz w:val="18"/>
                  <w:szCs w:val="18"/>
                  <w:color w:val="0563C1"/>
                </w:rPr>
                <w:t>Exhibits</w:t>
              </w:r>
            </w:hyperlink>
          </w:p>
        </w:tc>
        <w:tc>
          <w:tcPr>
            <w:tcW w:w="8120" w:type="dxa"/>
            <w:vAlign w:val="bottom"/>
            <w:gridSpan w:val="16"/>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080" w:type="dxa"/>
            <w:vAlign w:val="bottom"/>
            <w:gridSpan w:val="3"/>
          </w:tcPr>
          <w:p>
            <w:pPr>
              <w:ind w:left="20"/>
              <w:spacing w:after="0"/>
              <w:rPr>
                <w:rFonts w:ascii="Arial" w:cs="Arial" w:eastAsia="Arial" w:hAnsi="Arial"/>
                <w:sz w:val="18"/>
                <w:szCs w:val="18"/>
                <w:color w:val="0563C1"/>
              </w:rPr>
            </w:pPr>
            <w:hyperlink w:anchor="page31">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83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80" w:type="dxa"/>
            <w:vAlign w:val="bottom"/>
          </w:tcPr>
          <w:p>
            <w:pPr>
              <w:jc w:val="center"/>
              <w:ind w:left="337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7780" w:type="dxa"/>
            <w:vAlign w:val="bottom"/>
          </w:tcPr>
          <w:p>
            <w:pPr>
              <w:jc w:val="center"/>
              <w:ind w:left="3370"/>
              <w:spacing w:after="0"/>
              <w:rPr>
                <w:sz w:val="20"/>
                <w:szCs w:val="20"/>
                <w:color w:val="auto"/>
              </w:rPr>
            </w:pPr>
            <w:r>
              <w:rPr>
                <w:rFonts w:ascii="Arial" w:cs="Arial" w:eastAsia="Arial" w:hAnsi="Arial"/>
                <w:sz w:val="18"/>
                <w:szCs w:val="18"/>
                <w:b w:val="1"/>
                <w:bCs w:val="1"/>
                <w:color w:val="auto"/>
                <w:w w:val="92"/>
              </w:rPr>
              <w:t>Outset Medical, Inc.</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780" w:type="dxa"/>
            <w:vAlign w:val="bottom"/>
          </w:tcPr>
          <w:p>
            <w:pPr>
              <w:jc w:val="center"/>
              <w:ind w:left="3370"/>
              <w:spacing w:after="0"/>
              <w:rPr>
                <w:sz w:val="20"/>
                <w:szCs w:val="20"/>
                <w:color w:val="auto"/>
              </w:rPr>
            </w:pPr>
            <w:r>
              <w:rPr>
                <w:rFonts w:ascii="Arial" w:cs="Arial" w:eastAsia="Arial" w:hAnsi="Arial"/>
                <w:sz w:val="18"/>
                <w:szCs w:val="18"/>
                <w:b w:val="1"/>
                <w:bCs w:val="1"/>
                <w:color w:val="auto"/>
                <w:w w:val="86"/>
              </w:rPr>
              <w:t>Condensed Balance Sheets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780" w:type="dxa"/>
            <w:vAlign w:val="bottom"/>
          </w:tcPr>
          <w:p>
            <w:pPr>
              <w:jc w:val="center"/>
              <w:ind w:left="337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63"/>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0"/>
        </w:trPr>
        <w:tc>
          <w:tcPr>
            <w:tcW w:w="7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230,508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294,972</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142,535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34,297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21"/>
                <w:szCs w:val="21"/>
                <w:color w:val="auto"/>
              </w:rPr>
            </w:pPr>
          </w:p>
        </w:tc>
      </w:tr>
      <w:tr>
        <w:trPr>
          <w:trHeight w:val="257"/>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433,301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345,911</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14,532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r>
      <w:tr>
        <w:trPr>
          <w:trHeight w:val="290"/>
        </w:trPr>
        <w:tc>
          <w:tcPr>
            <w:tcW w:w="7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488,804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2,702</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16,845</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11,389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 liability</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5,212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1"/>
                <w:szCs w:val="21"/>
                <w:color w:val="auto"/>
              </w:rPr>
            </w:pPr>
          </w:p>
        </w:tc>
      </w:tr>
      <w:tr>
        <w:trPr>
          <w:trHeight w:val="257"/>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41,405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noncurrent</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Term loan, noncurrent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29,740</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00" w:type="dxa"/>
            <w:vAlign w:val="bottom"/>
          </w:tcPr>
          <w:p>
            <w:pPr>
              <w:spacing w:after="0"/>
              <w:rPr>
                <w:sz w:val="21"/>
                <w:szCs w:val="21"/>
                <w:color w:val="auto"/>
              </w:rPr>
            </w:pPr>
          </w:p>
        </w:tc>
      </w:tr>
      <w:tr>
        <w:trPr>
          <w:trHeight w:val="250"/>
        </w:trPr>
        <w:tc>
          <w:tcPr>
            <w:tcW w:w="7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79,053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780" w:type="dxa"/>
            <w:vAlign w:val="bottom"/>
          </w:tcPr>
          <w:p>
            <w:pPr>
              <w:ind w:left="200"/>
              <w:spacing w:after="0"/>
              <w:rPr>
                <w:sz w:val="20"/>
                <w:szCs w:val="20"/>
                <w:color w:val="auto"/>
              </w:rPr>
            </w:pPr>
            <w:r>
              <w:rPr>
                <w:rFonts w:ascii="Arial" w:cs="Arial" w:eastAsia="Arial" w:hAnsi="Arial"/>
                <w:sz w:val="18"/>
                <w:szCs w:val="18"/>
                <w:color w:val="auto"/>
                <w:w w:val="91"/>
              </w:rPr>
              <w:t>Preferred stock, $0.001 par value; 5,000 shares authorized, and no shares issued and outstanding as of</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September 30, 2021 and December 31, 2020</w:t>
            </w:r>
          </w:p>
        </w:tc>
        <w:tc>
          <w:tcPr>
            <w:tcW w:w="1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Common stock, $0.001 par value; 300,000 shares authorized as of September 30, 2021 and December</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31, 2020; 47,018 and 42,722 shares issued and outstanding as of September 30, 2021 and December</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31, 2020, respectively</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994,486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822,624</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(584,762 )</w:t>
            </w:r>
          </w:p>
        </w:tc>
        <w:tc>
          <w:tcPr>
            <w:tcW w:w="16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(494,059 )</w:t>
            </w:r>
          </w:p>
        </w:tc>
      </w:tr>
      <w:tr>
        <w:trPr>
          <w:trHeight w:val="250"/>
        </w:trPr>
        <w:tc>
          <w:tcPr>
            <w:tcW w:w="7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409,751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8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488,804</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403,829</w:t>
            </w:r>
          </w:p>
        </w:tc>
        <w:tc>
          <w:tcPr>
            <w:tcW w:w="100" w:type="dxa"/>
            <w:vAlign w:val="bottom"/>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-5268595</wp:posOffset>
            </wp:positionV>
            <wp:extent cx="1797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-5268595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-4277360</wp:posOffset>
            </wp:positionV>
            <wp:extent cx="179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-4259580</wp:posOffset>
            </wp:positionV>
            <wp:extent cx="179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-4277360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-2945130</wp:posOffset>
            </wp:positionV>
            <wp:extent cx="1797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-1950720</wp:posOffset>
            </wp:positionV>
            <wp:extent cx="1797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-1950720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-193675</wp:posOffset>
            </wp:positionV>
            <wp:extent cx="1797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ind w:left="4140"/>
              <w:spacing w:after="0"/>
              <w:rPr>
                <w:sz w:val="20"/>
                <w:szCs w:val="20"/>
                <w:color w:val="auto"/>
              </w:rPr>
            </w:pPr>
            <w:r>
              <w:rPr>
                <w:rFonts w:ascii="Arial" w:cs="Arial" w:eastAsia="Arial" w:hAnsi="Arial"/>
                <w:sz w:val="18"/>
                <w:szCs w:val="18"/>
                <w:i w:val="1"/>
                <w:iCs w:val="1"/>
                <w:color w:val="auto"/>
                <w:w w:val="93"/>
              </w:rPr>
              <w:t>(in thousands, except per share amounts)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63"/>
        </w:trPr>
        <w:tc>
          <w:tcPr>
            <w:tcW w:w="5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2"/>
                <w:szCs w:val="22"/>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21,824</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10,812</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60,662</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13,788</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26,318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74,450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17,265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63,180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(5,126 )</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(13,454 )</w:t>
            </w:r>
          </w:p>
        </w:tc>
        <w:tc>
          <w:tcPr>
            <w:tcW w:w="0" w:type="dxa"/>
            <w:vAlign w:val="bottom"/>
          </w:tcPr>
          <w:p>
            <w:pPr>
              <w:spacing w:after="0"/>
              <w:rPr>
                <w:sz w:val="1"/>
                <w:szCs w:val="1"/>
                <w:color w:val="auto"/>
              </w:rPr>
            </w:pP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9,175</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25,331</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15,726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13,344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42,079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(30,138 )</w:t>
            </w: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(40,733 )</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(89,720 )</w:t>
            </w: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(85,852 )</w:t>
            </w: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Arial" w:cs="Arial" w:eastAsia="Arial" w:hAnsi="Arial"/>
                <w:sz w:val="18"/>
                <w:szCs w:val="18"/>
                <w:color w:val="auto"/>
              </w:rPr>
              <w:t>Interest income and other income (expense), net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(431 )</w:t>
            </w: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(428 )</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(1,284 )</w:t>
            </w: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(2,461 )</w:t>
            </w:r>
          </w:p>
        </w:tc>
        <w:tc>
          <w:tcPr>
            <w:tcW w:w="0" w:type="dxa"/>
            <w:vAlign w:val="bottom"/>
          </w:tcPr>
          <w:p>
            <w:pPr>
              <w:spacing w:after="0"/>
              <w:rPr>
                <w:sz w:val="1"/>
                <w:szCs w:val="1"/>
                <w:color w:val="auto"/>
              </w:rPr>
            </w:pPr>
          </w:p>
        </w:tc>
      </w:tr>
      <w:tr>
        <w:trPr>
          <w:trHeight w:val="242"/>
        </w:trPr>
        <w:tc>
          <w:tcPr>
            <w:tcW w:w="5900" w:type="dxa"/>
            <w:vAlign w:val="bottom"/>
          </w:tcPr>
          <w:p>
            <w:pPr>
              <w:ind w:left="200"/>
              <w:spacing w:after="0"/>
              <w:rPr>
                <w:sz w:val="20"/>
                <w:szCs w:val="20"/>
                <w:color w:val="auto"/>
              </w:rPr>
            </w:pPr>
            <w:r>
              <w:rPr>
                <w:rFonts w:ascii="Arial" w:cs="Arial" w:eastAsia="Arial" w:hAnsi="Arial"/>
                <w:sz w:val="18"/>
                <w:szCs w:val="18"/>
                <w:color w:val="auto"/>
              </w:rPr>
              <w:t>Change in fair value of redeemable convertible preferred stock</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5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term loan</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(1,567 )</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(1,567 )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(30,470 )</w:t>
            </w: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(42,294 )</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(90,629 )</w:t>
            </w:r>
          </w:p>
        </w:tc>
        <w:tc>
          <w:tcPr>
            <w:tcW w:w="2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(89,449 )</w:t>
            </w:r>
          </w:p>
        </w:tc>
        <w:tc>
          <w:tcPr>
            <w:tcW w:w="0" w:type="dxa"/>
            <w:vAlign w:val="bottom"/>
          </w:tcPr>
          <w:p>
            <w:pPr>
              <w:spacing w:after="0"/>
              <w:rPr>
                <w:sz w:val="1"/>
                <w:szCs w:val="1"/>
                <w:color w:val="auto"/>
              </w:rPr>
            </w:pPr>
          </w:p>
        </w:tc>
      </w:tr>
      <w:tr>
        <w:trPr>
          <w:trHeight w:val="257"/>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(30,470 )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(42,294 )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(90,703 )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(89,449 )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(30,470 )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(42,294 )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(90,703 )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(47,281 )</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(0.65 )</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(3.44 )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(1.96 )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(6.30 )</w:t>
            </w:r>
          </w:p>
        </w:tc>
        <w:tc>
          <w:tcPr>
            <w:tcW w:w="0" w:type="dxa"/>
            <w:vAlign w:val="bottom"/>
          </w:tcPr>
          <w:p>
            <w:pPr>
              <w:spacing w:after="0"/>
              <w:rPr>
                <w:sz w:val="1"/>
                <w:szCs w:val="1"/>
                <w:color w:val="auto"/>
              </w:rPr>
            </w:pPr>
          </w:p>
        </w:tc>
      </w:tr>
      <w:tr>
        <w:trPr>
          <w:trHeight w:val="203"/>
        </w:trPr>
        <w:tc>
          <w:tcPr>
            <w:tcW w:w="590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2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shd w:val="clear" w:color="auto" w:fill="CFF0FC"/>
          </w:tcPr>
          <w:p>
            <w:pPr>
              <w:spacing w:after="0"/>
              <w:rPr>
                <w:sz w:val="19"/>
                <w:szCs w:val="1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46,588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46,252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-4291330</wp:posOffset>
            </wp:positionV>
            <wp:extent cx="15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-4291330</wp:posOffset>
            </wp:positionV>
            <wp:extent cx="16319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-4291330</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-4291330</wp:posOffset>
            </wp:positionV>
            <wp:extent cx="596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-3630930</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-3630930</wp:posOffset>
            </wp:positionV>
            <wp:extent cx="16319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-3630930</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-3630930</wp:posOffset>
            </wp:positionV>
            <wp:extent cx="596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-2636520</wp:posOffset>
            </wp:positionV>
            <wp:extent cx="1543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-2636520</wp:posOffset>
            </wp:positionV>
            <wp:extent cx="1631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-2636520</wp:posOffset>
            </wp:positionV>
            <wp:extent cx="1371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-2636520</wp:posOffset>
            </wp:positionV>
            <wp:extent cx="596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-1496695</wp:posOffset>
            </wp:positionV>
            <wp:extent cx="1543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-1496695</wp:posOffset>
            </wp:positionV>
            <wp:extent cx="1631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-1496695</wp:posOffset>
            </wp:positionV>
            <wp:extent cx="1371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-1496695</wp:posOffset>
            </wp:positionV>
            <wp:extent cx="596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-1162050</wp:posOffset>
            </wp:positionV>
            <wp:extent cx="15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-1162050</wp:posOffset>
            </wp:positionV>
            <wp:extent cx="1631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-1162050</wp:posOffset>
            </wp:positionV>
            <wp:extent cx="1371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-1162050</wp:posOffset>
            </wp:positionV>
            <wp:extent cx="596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-642620</wp:posOffset>
            </wp:positionV>
            <wp:extent cx="154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-624840</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-642620</wp:posOffset>
            </wp:positionV>
            <wp:extent cx="163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-624840</wp:posOffset>
            </wp:positionV>
            <wp:extent cx="163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-642620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-624840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-642620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-624840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154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1543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1631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163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5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8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(30,470 )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(42,294 )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(90,703 )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(89,449 )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(21 )</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(30,462 )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(42,293 )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(90,724 )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(89,470 )</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-193675</wp:posOffset>
            </wp:positionV>
            <wp:extent cx="16319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-193675</wp:posOffset>
            </wp:positionV>
            <wp:extent cx="1543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4605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 of Redeemable Convertible Preferred Stock and Stockholders’ Equity (Deficit)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101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1010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Redeemable Convertible</w:t>
            </w:r>
          </w:p>
        </w:tc>
        <w:tc>
          <w:tcPr>
            <w:tcW w:w="140" w:type="dxa"/>
            <w:vAlign w:val="bottom"/>
          </w:tcPr>
          <w:p>
            <w:pPr>
              <w:spacing w:after="0"/>
              <w:rPr>
                <w:sz w:val="17"/>
                <w:szCs w:val="17"/>
                <w:color w:val="auto"/>
              </w:rPr>
            </w:pPr>
          </w:p>
        </w:tc>
      </w:tr>
      <w:tr>
        <w:trPr>
          <w:trHeight w:val="223"/>
        </w:trPr>
        <w:tc>
          <w:tcPr>
            <w:tcW w:w="3220" w:type="dxa"/>
            <w:vAlign w:val="bottom"/>
          </w:tcPr>
          <w:p>
            <w:pPr>
              <w:spacing w:after="0"/>
              <w:rPr>
                <w:sz w:val="19"/>
                <w:szCs w:val="19"/>
                <w:color w:val="auto"/>
              </w:rPr>
            </w:pPr>
          </w:p>
        </w:tc>
        <w:tc>
          <w:tcPr>
            <w:tcW w:w="18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Preferred Stock</w:t>
            </w:r>
          </w:p>
        </w:tc>
        <w:tc>
          <w:tcPr>
            <w:tcW w:w="140" w:type="dxa"/>
            <w:vAlign w:val="bottom"/>
          </w:tcPr>
          <w:p>
            <w:pPr>
              <w:spacing w:after="0"/>
              <w:rPr>
                <w:sz w:val="19"/>
                <w:szCs w:val="19"/>
                <w:color w:val="auto"/>
              </w:rPr>
            </w:pPr>
          </w:p>
        </w:tc>
      </w:tr>
      <w:tr>
        <w:trPr>
          <w:trHeight w:val="425"/>
        </w:trPr>
        <w:tc>
          <w:tcPr>
            <w:tcW w:w="3220" w:type="dxa"/>
            <w:vAlign w:val="bottom"/>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4"/>
                <w:szCs w:val="24"/>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8"/>
                <w:szCs w:val="18"/>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rPr>
              <w:t>Issuance of common stock through</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03"/>
        </w:trPr>
        <w:tc>
          <w:tcPr>
            <w:tcW w:w="3220" w:type="dxa"/>
            <w:vAlign w:val="bottom"/>
          </w:tcPr>
          <w:p>
            <w:pPr>
              <w:ind w:left="200"/>
              <w:spacing w:after="0"/>
              <w:rPr>
                <w:sz w:val="20"/>
                <w:szCs w:val="20"/>
                <w:color w:val="auto"/>
              </w:rPr>
            </w:pPr>
            <w:r>
              <w:rPr>
                <w:rFonts w:ascii="Arial" w:cs="Arial" w:eastAsia="Arial" w:hAnsi="Arial"/>
                <w:sz w:val="16"/>
                <w:szCs w:val="16"/>
                <w:color w:val="auto"/>
              </w:rPr>
              <w:t>employee stock</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6"/>
        </w:trPr>
        <w:tc>
          <w:tcPr>
            <w:tcW w:w="3220" w:type="dxa"/>
            <w:vAlign w:val="bottom"/>
          </w:tcPr>
          <w:p>
            <w:pPr>
              <w:ind w:left="280"/>
              <w:spacing w:after="0"/>
              <w:rPr>
                <w:sz w:val="20"/>
                <w:szCs w:val="20"/>
                <w:color w:val="auto"/>
              </w:rPr>
            </w:pPr>
            <w:r>
              <w:rPr>
                <w:rFonts w:ascii="Arial" w:cs="Arial" w:eastAsia="Arial" w:hAnsi="Arial"/>
                <w:sz w:val="16"/>
                <w:szCs w:val="16"/>
                <w:color w:val="auto"/>
              </w:rPr>
              <w:t>purchase plan</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9"/>
        </w:trPr>
        <w:tc>
          <w:tcPr>
            <w:tcW w:w="32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rPr>
              <w:t>Unrealized loss on available-for-sale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6"/>
        </w:trPr>
        <w:tc>
          <w:tcPr>
            <w:tcW w:w="32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3"/>
        </w:trPr>
        <w:tc>
          <w:tcPr>
            <w:tcW w:w="32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8"/>
                <w:szCs w:val="18"/>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rPr>
              <w:t>Issuance of common stock upon follow-on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06"/>
        </w:trPr>
        <w:tc>
          <w:tcPr>
            <w:tcW w:w="3220" w:type="dxa"/>
            <w:vAlign w:val="bottom"/>
          </w:tcPr>
          <w:p>
            <w:pPr>
              <w:ind w:left="280"/>
              <w:spacing w:after="0"/>
              <w:rPr>
                <w:sz w:val="20"/>
                <w:szCs w:val="20"/>
                <w:color w:val="auto"/>
              </w:rPr>
            </w:pPr>
            <w:r>
              <w:rPr>
                <w:rFonts w:ascii="Arial" w:cs="Arial" w:eastAsia="Arial" w:hAnsi="Arial"/>
                <w:sz w:val="16"/>
                <w:szCs w:val="16"/>
                <w:color w:val="auto"/>
              </w:rPr>
              <w:t>public offering, net of issuance costs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7"/>
                <w:szCs w:val="17"/>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w w:val="97"/>
              </w:rPr>
              <w:t>Issuance of common stock for settlement of</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06"/>
        </w:trPr>
        <w:tc>
          <w:tcPr>
            <w:tcW w:w="3220" w:type="dxa"/>
            <w:vAlign w:val="bottom"/>
          </w:tcPr>
          <w:p>
            <w:pPr>
              <w:ind w:left="320"/>
              <w:spacing w:after="0"/>
              <w:rPr>
                <w:sz w:val="20"/>
                <w:szCs w:val="20"/>
                <w:color w:val="auto"/>
              </w:rPr>
            </w:pPr>
            <w:r>
              <w:rPr>
                <w:rFonts w:ascii="Arial" w:cs="Arial" w:eastAsia="Arial" w:hAnsi="Arial"/>
                <w:sz w:val="16"/>
                <w:szCs w:val="16"/>
                <w:color w:val="auto"/>
              </w:rPr>
              <w:t>RSUs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7"/>
                <w:szCs w:val="17"/>
                <w:color w:val="auto"/>
              </w:rPr>
            </w:pPr>
          </w:p>
        </w:tc>
      </w:tr>
      <w:tr>
        <w:trPr>
          <w:trHeight w:val="229"/>
        </w:trPr>
        <w:tc>
          <w:tcPr>
            <w:tcW w:w="322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rPr>
              <w:t>Unrealized loss on available-for-sale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6"/>
        </w:trPr>
        <w:tc>
          <w:tcPr>
            <w:tcW w:w="32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8"/>
                <w:szCs w:val="18"/>
                <w:color w:val="auto"/>
              </w:rPr>
            </w:pPr>
          </w:p>
        </w:tc>
      </w:tr>
      <w:tr>
        <w:trPr>
          <w:trHeight w:val="225"/>
        </w:trPr>
        <w:tc>
          <w:tcPr>
            <w:tcW w:w="3220" w:type="dxa"/>
            <w:vAlign w:val="bottom"/>
          </w:tcPr>
          <w:p>
            <w:pPr>
              <w:ind w:left="200"/>
              <w:spacing w:after="0"/>
              <w:rPr>
                <w:sz w:val="20"/>
                <w:szCs w:val="20"/>
                <w:color w:val="auto"/>
              </w:rPr>
            </w:pPr>
            <w:r>
              <w:rPr>
                <w:rFonts w:ascii="Arial" w:cs="Arial" w:eastAsia="Arial" w:hAnsi="Arial"/>
                <w:sz w:val="16"/>
                <w:szCs w:val="16"/>
                <w:color w:val="auto"/>
              </w:rPr>
              <w:t>Issuance of common stock through</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03"/>
        </w:trPr>
        <w:tc>
          <w:tcPr>
            <w:tcW w:w="3220" w:type="dxa"/>
            <w:vAlign w:val="bottom"/>
          </w:tcPr>
          <w:p>
            <w:pPr>
              <w:ind w:left="200"/>
              <w:spacing w:after="0"/>
              <w:rPr>
                <w:sz w:val="20"/>
                <w:szCs w:val="20"/>
                <w:color w:val="auto"/>
              </w:rPr>
            </w:pPr>
            <w:r>
              <w:rPr>
                <w:rFonts w:ascii="Arial" w:cs="Arial" w:eastAsia="Arial" w:hAnsi="Arial"/>
                <w:sz w:val="16"/>
                <w:szCs w:val="16"/>
                <w:color w:val="auto"/>
              </w:rPr>
              <w:t>employee</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6"/>
        </w:trPr>
        <w:tc>
          <w:tcPr>
            <w:tcW w:w="3220" w:type="dxa"/>
            <w:vAlign w:val="bottom"/>
          </w:tcPr>
          <w:p>
            <w:pPr>
              <w:ind w:left="280"/>
              <w:spacing w:after="0"/>
              <w:rPr>
                <w:sz w:val="20"/>
                <w:szCs w:val="20"/>
                <w:color w:val="auto"/>
              </w:rPr>
            </w:pPr>
            <w:r>
              <w:rPr>
                <w:rFonts w:ascii="Arial" w:cs="Arial" w:eastAsia="Arial" w:hAnsi="Arial"/>
                <w:sz w:val="16"/>
                <w:szCs w:val="16"/>
                <w:color w:val="auto"/>
              </w:rPr>
              <w:t>stock purchase plan</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7"/>
                <w:szCs w:val="17"/>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w w:val="97"/>
              </w:rPr>
              <w:t>Issuance of common stock for settlement of</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06"/>
        </w:trPr>
        <w:tc>
          <w:tcPr>
            <w:tcW w:w="3220" w:type="dxa"/>
            <w:vAlign w:val="bottom"/>
          </w:tcPr>
          <w:p>
            <w:pPr>
              <w:ind w:left="280"/>
              <w:spacing w:after="0"/>
              <w:rPr>
                <w:sz w:val="20"/>
                <w:szCs w:val="20"/>
                <w:color w:val="auto"/>
              </w:rPr>
            </w:pPr>
            <w:r>
              <w:rPr>
                <w:rFonts w:ascii="Arial" w:cs="Arial" w:eastAsia="Arial" w:hAnsi="Arial"/>
                <w:sz w:val="16"/>
                <w:szCs w:val="16"/>
                <w:color w:val="auto"/>
              </w:rPr>
              <w:t>RSUs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7"/>
                <w:szCs w:val="17"/>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6"/>
        </w:trPr>
        <w:tc>
          <w:tcPr>
            <w:tcW w:w="3220" w:type="dxa"/>
            <w:vAlign w:val="bottom"/>
          </w:tcPr>
          <w:p>
            <w:pPr>
              <w:ind w:left="200"/>
              <w:spacing w:after="0"/>
              <w:rPr>
                <w:sz w:val="20"/>
                <w:szCs w:val="20"/>
                <w:color w:val="auto"/>
              </w:rPr>
            </w:pPr>
            <w:r>
              <w:rPr>
                <w:rFonts w:ascii="Arial" w:cs="Arial" w:eastAsia="Arial" w:hAnsi="Arial"/>
                <w:sz w:val="16"/>
                <w:szCs w:val="16"/>
                <w:color w:val="auto"/>
              </w:rPr>
              <w:t>Unrealized income on available-for-sale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6"/>
        </w:trPr>
        <w:tc>
          <w:tcPr>
            <w:tcW w:w="32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19"/>
                <w:szCs w:val="19"/>
                <w:color w:val="auto"/>
              </w:rPr>
            </w:pPr>
          </w:p>
        </w:tc>
      </w:tr>
      <w:tr>
        <w:trPr>
          <w:trHeight w:val="223"/>
        </w:trPr>
        <w:tc>
          <w:tcPr>
            <w:tcW w:w="32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r>
      <w:tr>
        <w:trPr>
          <w:trHeight w:val="263"/>
        </w:trPr>
        <w:tc>
          <w:tcPr>
            <w:tcW w:w="3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-1719580</wp:posOffset>
            </wp:positionV>
            <wp:extent cx="1200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-1880870</wp:posOffset>
            </wp:positionV>
            <wp:extent cx="9017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1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1"/>
              </w:rPr>
              <w:t>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82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w:t>
            </w: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Stockholde</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820" w:type="dxa"/>
            <w:vAlign w:val="bottom"/>
            <w:tcBorders>
              <w:bottom w:val="single" w:sz="8" w:color="auto"/>
            </w:tcBorders>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ive</w:t>
            </w: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ed</w:t>
            </w:r>
          </w:p>
        </w:tc>
        <w:tc>
          <w:tcPr>
            <w:tcW w:w="940" w:type="dxa"/>
            <w:vAlign w:val="bottom"/>
            <w:gridSpan w:val="3"/>
          </w:tcPr>
          <w:p>
            <w:pPr>
              <w:ind w:left="80"/>
              <w:spacing w:after="0"/>
              <w:rPr>
                <w:sz w:val="20"/>
                <w:szCs w:val="20"/>
                <w:color w:val="auto"/>
              </w:rPr>
            </w:pPr>
            <w:r>
              <w:rPr>
                <w:rFonts w:ascii="Arial" w:cs="Arial" w:eastAsia="Arial" w:hAnsi="Arial"/>
                <w:sz w:val="16"/>
                <w:szCs w:val="16"/>
                <w:b w:val="1"/>
                <w:bCs w:val="1"/>
                <w:color w:val="auto"/>
              </w:rPr>
              <w:t>rs’ Equity</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(Loss)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Deficit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(Deficit)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42,722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822,624</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(494,059 )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328,609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(9 )</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(30,025 )</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(30,025 )</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42,888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830,694</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(524,084 )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306,645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149,082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149,085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(20 )</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29"/>
        </w:trPr>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(30,208 )</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(30,208 )</w:t>
            </w:r>
          </w:p>
        </w:tc>
        <w:tc>
          <w:tcPr>
            <w:tcW w:w="0" w:type="dxa"/>
            <w:vAlign w:val="bottom"/>
          </w:tcPr>
          <w:p>
            <w:pPr>
              <w:spacing w:after="0"/>
              <w:rPr>
                <w:sz w:val="1"/>
                <w:szCs w:val="1"/>
                <w:color w:val="auto"/>
              </w:rPr>
            </w:pPr>
          </w:p>
        </w:tc>
      </w:tr>
      <w:tr>
        <w:trPr>
          <w:trHeight w:val="23"/>
        </w:trPr>
        <w:tc>
          <w:tcPr>
            <w:tcW w:w="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46,225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985,436</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(554,292 )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431,162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(30,470 )</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(30,470 )</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47,018</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994,486</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(20 )</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(584,762 )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409,751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-3848100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-3556635</wp:posOffset>
            </wp:positionV>
            <wp:extent cx="7132320" cy="5740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5740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-2708275</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-2288540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-1719580</wp:posOffset>
            </wp:positionV>
            <wp:extent cx="1200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-1719580</wp:posOffset>
            </wp:positionV>
            <wp:extent cx="10287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-1719580</wp:posOffset>
            </wp:positionV>
            <wp:extent cx="10287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-1719580</wp:posOffset>
            </wp:positionV>
            <wp:extent cx="1200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-1719580</wp:posOffset>
            </wp:positionV>
            <wp:extent cx="1200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-1719580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-1567815</wp:posOffset>
            </wp:positionV>
            <wp:extent cx="7132320" cy="403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-890905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-599440</wp:posOffset>
            </wp:positionV>
            <wp:extent cx="7132320" cy="612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61277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160" w:space="0"/>
            <w:col w:w="6080"/>
          </w:cols>
          <w:pgMar w:left="320" w:top="135"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156210</wp:posOffset>
            </wp:positionV>
            <wp:extent cx="34290" cy="736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73660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0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Redeemable Convertible</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(Deficit)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147,214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409,446</w:t>
            </w:r>
          </w:p>
        </w:tc>
        <w:tc>
          <w:tcPr>
            <w:tcW w:w="220" w:type="dxa"/>
            <w:vAlign w:val="bottom"/>
            <w:tcBorders>
              <w:right w:val="single" w:sz="8" w:color="auto"/>
            </w:tcBorders>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w:t>
            </w:r>
          </w:p>
        </w:tc>
        <w:tc>
          <w:tcPr>
            <w:tcW w:w="860" w:type="dxa"/>
            <w:vAlign w:val="bottom"/>
            <w:gridSpan w:val="2"/>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(372,567 )</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(372,187 )</w:t>
            </w:r>
          </w:p>
        </w:tc>
        <w:tc>
          <w:tcPr>
            <w:tcW w:w="0" w:type="dxa"/>
            <w:vAlign w:val="bottom"/>
          </w:tcPr>
          <w:p>
            <w:pPr>
              <w:spacing w:after="0"/>
              <w:rPr>
                <w:sz w:val="1"/>
                <w:szCs w:val="1"/>
                <w:color w:val="auto"/>
              </w:rPr>
            </w:pPr>
          </w:p>
        </w:tc>
      </w:tr>
      <w:tr>
        <w:trPr>
          <w:trHeight w:val="184"/>
        </w:trPr>
        <w:tc>
          <w:tcPr>
            <w:tcW w:w="3200" w:type="dxa"/>
            <w:vAlign w:val="bottom"/>
          </w:tcPr>
          <w:p>
            <w:pPr>
              <w:ind w:left="200"/>
              <w:spacing w:after="0"/>
              <w:rPr>
                <w:sz w:val="20"/>
                <w:szCs w:val="20"/>
                <w:color w:val="auto"/>
              </w:rPr>
            </w:pPr>
            <w:r>
              <w:rPr>
                <w:rFonts w:ascii="Arial" w:cs="Arial" w:eastAsia="Arial" w:hAnsi="Arial"/>
                <w:sz w:val="14"/>
                <w:szCs w:val="14"/>
                <w:color w:val="auto"/>
              </w:rPr>
              <w:t>Issuance of Series E redeemable convertible</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80"/>
              <w:spacing w:after="0"/>
              <w:rPr>
                <w:sz w:val="20"/>
                <w:szCs w:val="20"/>
                <w:color w:val="auto"/>
              </w:rPr>
            </w:pPr>
            <w:r>
              <w:rPr>
                <w:rFonts w:ascii="Arial" w:cs="Arial" w:eastAsia="Arial" w:hAnsi="Arial"/>
                <w:sz w:val="14"/>
                <w:szCs w:val="14"/>
                <w:color w:val="auto"/>
              </w:rPr>
              <w:t>preferred stock, net of issuance costs</w:t>
            </w:r>
          </w:p>
        </w:tc>
        <w:tc>
          <w:tcPr>
            <w:tcW w:w="840" w:type="dxa"/>
            <w:vAlign w:val="bottom"/>
          </w:tcPr>
          <w:p>
            <w:pPr>
              <w:jc w:val="right"/>
              <w:spacing w:after="0"/>
              <w:rPr>
                <w:sz w:val="20"/>
                <w:szCs w:val="20"/>
                <w:color w:val="auto"/>
              </w:rPr>
            </w:pPr>
            <w:r>
              <w:rPr>
                <w:rFonts w:ascii="Arial" w:cs="Arial" w:eastAsia="Arial" w:hAnsi="Arial"/>
                <w:sz w:val="14"/>
                <w:szCs w:val="14"/>
                <w:color w:val="auto"/>
              </w:rPr>
              <w:t>57,782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126,758</w:t>
            </w:r>
          </w:p>
        </w:tc>
        <w:tc>
          <w:tcPr>
            <w:tcW w:w="220" w:type="dxa"/>
            <w:vAlign w:val="bottom"/>
            <w:tcBorders>
              <w:right w:val="single" w:sz="8" w:color="auto"/>
            </w:tcBorders>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on</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settlement of accrued dividend</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(41,763 )</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4,850</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41,763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0"/>
              <w:spacing w:after="0"/>
              <w:rPr>
                <w:sz w:val="20"/>
                <w:szCs w:val="20"/>
                <w:color w:val="auto"/>
              </w:rPr>
            </w:pPr>
            <w:r>
              <w:rPr>
                <w:rFonts w:ascii="Arial" w:cs="Arial" w:eastAsia="Arial" w:hAnsi="Arial"/>
                <w:sz w:val="14"/>
                <w:szCs w:val="14"/>
                <w:color w:val="auto"/>
              </w:rPr>
              <w:t>Deemed dividend on settlement of</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80"/>
              <w:spacing w:after="0"/>
              <w:rPr>
                <w:sz w:val="20"/>
                <w:szCs w:val="20"/>
                <w:color w:val="auto"/>
              </w:rPr>
            </w:pPr>
            <w:r>
              <w:rPr>
                <w:rFonts w:ascii="Arial" w:cs="Arial" w:eastAsia="Arial" w:hAnsi="Arial"/>
                <w:sz w:val="14"/>
                <w:szCs w:val="14"/>
                <w:color w:val="auto"/>
              </w:rPr>
              <w:t>accrued dividend</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(42,530 )</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42,530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42,530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 option exercises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available-for-sale</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securities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(35 )</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4"/>
        </w:trPr>
        <w:tc>
          <w:tcPr>
            <w:tcW w:w="3200" w:type="dxa"/>
            <w:vAlign w:val="bottom"/>
          </w:tcPr>
          <w:p>
            <w:pPr>
              <w:ind w:left="200"/>
              <w:spacing w:after="0"/>
              <w:rPr>
                <w:sz w:val="20"/>
                <w:szCs w:val="20"/>
                <w:color w:val="auto"/>
              </w:rPr>
            </w:pPr>
            <w:r>
              <w:rPr>
                <w:rFonts w:ascii="Arial" w:cs="Arial" w:eastAsia="Arial" w:hAnsi="Arial"/>
                <w:sz w:val="14"/>
                <w:szCs w:val="14"/>
                <w:color w:val="auto"/>
              </w:rPr>
              <w:t>Adjustment to redemption value on</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80"/>
              <w:spacing w:after="0"/>
              <w:rPr>
                <w:sz w:val="20"/>
                <w:szCs w:val="20"/>
                <w:color w:val="auto"/>
              </w:rPr>
            </w:pPr>
            <w:r>
              <w:rPr>
                <w:rFonts w:ascii="Arial" w:cs="Arial" w:eastAsia="Arial" w:hAnsi="Arial"/>
                <w:sz w:val="14"/>
                <w:szCs w:val="14"/>
                <w:color w:val="auto"/>
              </w:rPr>
              <w:t>redeemable convertible preferred stock</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362</w:t>
            </w:r>
          </w:p>
        </w:tc>
        <w:tc>
          <w:tcPr>
            <w:tcW w:w="220" w:type="dxa"/>
            <w:vAlign w:val="bottom"/>
            <w:tcBorders>
              <w:right w:val="single" w:sz="8" w:color="auto"/>
            </w:tcBorders>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(362 )</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(362 )</w:t>
            </w:r>
          </w:p>
        </w:tc>
        <w:tc>
          <w:tcPr>
            <w:tcW w:w="0" w:type="dxa"/>
            <w:vAlign w:val="bottom"/>
          </w:tcPr>
          <w:p>
            <w:pPr>
              <w:spacing w:after="0"/>
              <w:rPr>
                <w:sz w:val="1"/>
                <w:szCs w:val="1"/>
                <w:color w:val="auto"/>
              </w:rPr>
            </w:pPr>
          </w:p>
        </w:tc>
      </w:tr>
      <w:tr>
        <w:trPr>
          <w:trHeight w:val="197"/>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(20,650 )</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(20,650 )</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204,996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452,273</w:t>
            </w:r>
          </w:p>
        </w:tc>
        <w:tc>
          <w:tcPr>
            <w:tcW w:w="220" w:type="dxa"/>
            <w:vAlign w:val="bottom"/>
            <w:tcBorders>
              <w:right w:val="single" w:sz="8" w:color="auto"/>
            </w:tcBorders>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5,776</w:t>
            </w:r>
          </w:p>
        </w:tc>
        <w:tc>
          <w:tcPr>
            <w:tcW w:w="18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84,877</w:t>
            </w:r>
          </w:p>
        </w:tc>
        <w:tc>
          <w:tcPr>
            <w:tcW w:w="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(393,217 )</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(308,347 )</w:t>
            </w: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 option exercises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available-for-sale</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securities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(26,505 )</w:t>
            </w: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(26,505 )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452,273</w:t>
            </w:r>
          </w:p>
        </w:tc>
        <w:tc>
          <w:tcPr>
            <w:tcW w:w="220" w:type="dxa"/>
            <w:vAlign w:val="bottom"/>
            <w:tcBorders>
              <w:right w:val="single" w:sz="8" w:color="auto"/>
            </w:tcBorders>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5,802</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85,640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(419,722 )</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(334,076 )</w:t>
            </w:r>
          </w:p>
        </w:tc>
        <w:tc>
          <w:tcPr>
            <w:tcW w:w="0" w:type="dxa"/>
            <w:vAlign w:val="bottom"/>
          </w:tcPr>
          <w:p>
            <w:pPr>
              <w:spacing w:after="0"/>
              <w:rPr>
                <w:sz w:val="1"/>
                <w:szCs w:val="1"/>
                <w:color w:val="auto"/>
              </w:rPr>
            </w:pPr>
          </w:p>
        </w:tc>
      </w:tr>
      <w:tr>
        <w:trPr>
          <w:trHeight w:val="184"/>
        </w:trPr>
        <w:tc>
          <w:tcPr>
            <w:tcW w:w="3200" w:type="dxa"/>
            <w:vAlign w:val="bottom"/>
          </w:tcPr>
          <w:p>
            <w:pPr>
              <w:ind w:left="200"/>
              <w:spacing w:after="0"/>
              <w:rPr>
                <w:sz w:val="20"/>
                <w:szCs w:val="20"/>
                <w:color w:val="auto"/>
              </w:rPr>
            </w:pPr>
            <w:r>
              <w:rPr>
                <w:rFonts w:ascii="Arial" w:cs="Arial" w:eastAsia="Arial" w:hAnsi="Arial"/>
                <w:sz w:val="14"/>
                <w:szCs w:val="14"/>
                <w:color w:val="auto"/>
                <w:w w:val="98"/>
              </w:rPr>
              <w:t>Issuance of common stock upon net exercises of</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80"/>
              <w:spacing w:after="0"/>
              <w:rPr>
                <w:sz w:val="20"/>
                <w:szCs w:val="20"/>
                <w:color w:val="auto"/>
              </w:rPr>
            </w:pPr>
            <w:r>
              <w:rPr>
                <w:rFonts w:ascii="Arial" w:cs="Arial" w:eastAsia="Arial" w:hAnsi="Arial"/>
                <w:sz w:val="14"/>
                <w:szCs w:val="14"/>
                <w:color w:val="auto"/>
                <w:w w:val="96"/>
              </w:rPr>
              <w:t>Series B redeemable convertible preferred stock</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80"/>
              <w:spacing w:after="0"/>
              <w:rPr>
                <w:sz w:val="20"/>
                <w:szCs w:val="20"/>
                <w:color w:val="auto"/>
              </w:rPr>
            </w:pPr>
            <w:r>
              <w:rPr>
                <w:rFonts w:ascii="Arial" w:cs="Arial" w:eastAsia="Arial" w:hAnsi="Arial"/>
                <w:sz w:val="14"/>
                <w:szCs w:val="14"/>
                <w:color w:val="auto"/>
              </w:rPr>
              <w:t>warrants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exercises of Series C redeemable</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convertible preferred stock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4,288</w:t>
            </w: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200" w:type="dxa"/>
            <w:vAlign w:val="bottom"/>
          </w:tcPr>
          <w:p>
            <w:pPr>
              <w:ind w:left="200"/>
              <w:spacing w:after="0"/>
              <w:rPr>
                <w:sz w:val="20"/>
                <w:szCs w:val="20"/>
                <w:color w:val="auto"/>
              </w:rPr>
            </w:pPr>
            <w:r>
              <w:rPr>
                <w:rFonts w:ascii="Arial" w:cs="Arial" w:eastAsia="Arial" w:hAnsi="Arial"/>
                <w:sz w:val="14"/>
                <w:szCs w:val="14"/>
                <w:color w:val="auto"/>
              </w:rPr>
              <w:t>Conversion of Series A redeemable convertible</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80"/>
              <w:spacing w:after="0"/>
              <w:rPr>
                <w:sz w:val="20"/>
                <w:szCs w:val="20"/>
                <w:color w:val="auto"/>
              </w:rPr>
            </w:pPr>
            <w:r>
              <w:rPr>
                <w:rFonts w:ascii="Arial" w:cs="Arial" w:eastAsia="Arial" w:hAnsi="Arial"/>
                <w:sz w:val="14"/>
                <w:szCs w:val="14"/>
                <w:color w:val="auto"/>
              </w:rPr>
              <w:t>preferred stock warrants to common stock</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80"/>
              <w:spacing w:after="0"/>
              <w:rPr>
                <w:sz w:val="20"/>
                <w:szCs w:val="20"/>
                <w:color w:val="auto"/>
              </w:rPr>
            </w:pPr>
            <w:r>
              <w:rPr>
                <w:rFonts w:ascii="Arial" w:cs="Arial" w:eastAsia="Arial" w:hAnsi="Arial"/>
                <w:sz w:val="14"/>
                <w:szCs w:val="14"/>
                <w:color w:val="auto"/>
              </w:rPr>
              <w:t>warrants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Conversion of redeemable convertible preferred</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stock to common stock upon initial public</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offering</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(206,651 )</w:t>
            </w:r>
          </w:p>
        </w:tc>
        <w:tc>
          <w:tcPr>
            <w:tcW w:w="12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(456,561 )</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26,167</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26</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456,535</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456,561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0"/>
              <w:spacing w:after="0"/>
              <w:rPr>
                <w:sz w:val="20"/>
                <w:szCs w:val="20"/>
                <w:color w:val="auto"/>
              </w:rPr>
            </w:pPr>
            <w:r>
              <w:rPr>
                <w:rFonts w:ascii="Arial" w:cs="Arial" w:eastAsia="Arial" w:hAnsi="Arial"/>
                <w:sz w:val="14"/>
                <w:szCs w:val="14"/>
                <w:color w:val="auto"/>
              </w:rPr>
              <w:t>Issuance of common stock upon initial public</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80"/>
              <w:spacing w:after="0"/>
              <w:rPr>
                <w:sz w:val="20"/>
                <w:szCs w:val="20"/>
                <w:color w:val="auto"/>
              </w:rPr>
            </w:pPr>
            <w:r>
              <w:rPr>
                <w:rFonts w:ascii="Arial" w:cs="Arial" w:eastAsia="Arial" w:hAnsi="Arial"/>
                <w:sz w:val="14"/>
                <w:szCs w:val="14"/>
                <w:color w:val="auto"/>
              </w:rPr>
              <w:t>offering, net of issuance costs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10,294</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10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254,795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254,805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Reclassification of redeemable convertible</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preferred stock warrant liability to equity</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373</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13,908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0"/>
              <w:spacing w:after="0"/>
              <w:rPr>
                <w:sz w:val="20"/>
                <w:szCs w:val="20"/>
                <w:color w:val="auto"/>
              </w:rPr>
            </w:pPr>
            <w:r>
              <w:rPr>
                <w:rFonts w:ascii="Arial" w:cs="Arial" w:eastAsia="Arial" w:hAnsi="Arial"/>
                <w:sz w:val="14"/>
                <w:szCs w:val="14"/>
                <w:color w:val="auto"/>
              </w:rPr>
              <w:t>Unrealized gain on available-for-sale securities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(42,294 )</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(42,294 )</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42,701</w:t>
            </w:r>
          </w:p>
        </w:tc>
        <w:tc>
          <w:tcPr>
            <w:tcW w:w="18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42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816,306</w:t>
            </w:r>
          </w:p>
        </w:tc>
        <w:tc>
          <w:tcPr>
            <w:tcW w:w="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(462,016 )</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354,333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-3348355</wp:posOffset>
            </wp:positionV>
            <wp:extent cx="1289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-3492500</wp:posOffset>
            </wp:positionV>
            <wp:extent cx="10731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7315" cy="16256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-3348355</wp:posOffset>
            </wp:positionV>
            <wp:extent cx="1200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-3348355</wp:posOffset>
            </wp:positionV>
            <wp:extent cx="1200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-3348355</wp:posOffset>
            </wp:positionV>
            <wp:extent cx="1111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-3348355</wp:posOffset>
            </wp:positionV>
            <wp:extent cx="1117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-3348355</wp:posOffset>
            </wp:positionV>
            <wp:extent cx="1111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-3348355</wp:posOffset>
            </wp:positionV>
            <wp:extent cx="431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-2729230</wp:posOffset>
            </wp:positionV>
            <wp:extent cx="3429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-159385</wp:posOffset>
            </wp:positionV>
            <wp:extent cx="1289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-303530</wp:posOffset>
            </wp:positionV>
            <wp:extent cx="3934460" cy="316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34460" cy="31686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50"/>
        </w:trPr>
        <w:tc>
          <w:tcPr>
            <w:tcW w:w="7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(90,703 )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(89,449 )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Accretion of discount on investments,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accounts receivable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Provision for inventories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12,653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Loss on extinguishment of term loan</w:t>
            </w:r>
          </w:p>
        </w:tc>
        <w:tc>
          <w:tcPr>
            <w:tcW w:w="24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(12,838 )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(3,197 )</w:t>
            </w: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(17,925 )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(9,236 )</w:t>
            </w: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(5,397 )</w:t>
            </w: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(2,151 )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Accrued warranty liability</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(217 )</w:t>
            </w: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(617 )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22"/>
                <w:szCs w:val="22"/>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(97,588 )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(73,175 )</w:t>
            </w: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FF0FC"/>
          </w:tcPr>
          <w:p>
            <w:pPr>
              <w:spacing w:after="0"/>
              <w:rPr>
                <w:sz w:val="22"/>
                <w:szCs w:val="22"/>
                <w:color w:val="auto"/>
              </w:rPr>
            </w:pPr>
          </w:p>
        </w:tc>
        <w:tc>
          <w:tcPr>
            <w:tcW w:w="136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(2,257 )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(6,446 )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 securities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(148,132 )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(32,884 )</w:t>
            </w:r>
          </w:p>
        </w:tc>
      </w:tr>
      <w:tr>
        <w:trPr>
          <w:trHeight w:val="250"/>
        </w:trPr>
        <w:tc>
          <w:tcPr>
            <w:tcW w:w="768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Sales and maturities of investment securities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24,300</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32,919</w:t>
            </w:r>
          </w:p>
        </w:tc>
        <w:tc>
          <w:tcPr>
            <w:tcW w:w="100" w:type="dxa"/>
            <w:vAlign w:val="bottom"/>
            <w:tcBorders>
              <w:bottom w:val="single" w:sz="8" w:color="CFF0FC"/>
            </w:tcBorders>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(126,089 )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(6,411 )</w:t>
            </w:r>
          </w:p>
        </w:tc>
      </w:tr>
      <w:tr>
        <w:trPr>
          <w:trHeight w:val="24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upon initial and follow-on public offerings,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issuance costs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255,728</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cash exercise of redeemable convertible preferred stock warrants</w:t>
            </w:r>
          </w:p>
        </w:tc>
        <w:tc>
          <w:tcPr>
            <w:tcW w:w="24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redeemable convertible preferred stock,</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issuance costs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126,758</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stock option exercises and employee stock purchase plan purchases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10,128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term loan, net of issuance costs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Repayment of term loan and extinguishment costs</w:t>
            </w:r>
          </w:p>
        </w:tc>
        <w:tc>
          <w:tcPr>
            <w:tcW w:w="24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(30,985 )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 of finance lease</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(8 )</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159,213</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386,555</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(64,464 )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306,969</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of beginning of period</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328,283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37,669</w:t>
            </w:r>
          </w:p>
        </w:tc>
        <w:tc>
          <w:tcPr>
            <w:tcW w:w="100" w:type="dxa"/>
            <w:vAlign w:val="bottom"/>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as of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263,819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-4017010</wp:posOffset>
            </wp:positionV>
            <wp:extent cx="1803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-4017010</wp:posOffset>
            </wp:positionV>
            <wp:extent cx="596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-3201035</wp:posOffset>
            </wp:positionV>
            <wp:extent cx="20574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-3201035</wp:posOffset>
            </wp:positionV>
            <wp:extent cx="8509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-1435100</wp:posOffset>
            </wp:positionV>
            <wp:extent cx="205740"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-1435100</wp:posOffset>
            </wp:positionV>
            <wp:extent cx="8509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-753745</wp:posOffset>
            </wp:positionV>
            <wp:extent cx="1803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-736600</wp:posOffset>
            </wp:positionV>
            <wp:extent cx="1803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-753745</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-736600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-402590</wp:posOffset>
            </wp:positionV>
            <wp:extent cx="1803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-385445</wp:posOffset>
            </wp:positionV>
            <wp:extent cx="1803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-402590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-385445</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1803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803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37"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Nine Months Ended 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1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Transfer of inventories to property and equipment</w:t>
            </w: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Deemed dividend on settlement of accrued dividend</w:t>
            </w: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Adjustment to redemption value on redeemable convertible preferred stock</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redeemable convertible preferred stock into common stock upon</w:t>
            </w:r>
          </w:p>
        </w:tc>
        <w:tc>
          <w:tcPr>
            <w:tcW w:w="1100" w:type="dxa"/>
            <w:vAlign w:val="bottom"/>
            <w:vMerge w:val="restart"/>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456,561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initial public offering</w:t>
            </w:r>
          </w:p>
        </w:tc>
        <w:tc>
          <w:tcPr>
            <w:tcW w:w="1100" w:type="dxa"/>
            <w:vAlign w:val="bottom"/>
            <w:vMerge w:val="continue"/>
            <w:shd w:val="clear" w:color="auto" w:fill="CFF0FC"/>
          </w:tcPr>
          <w:p>
            <w:pPr>
              <w:spacing w:after="0"/>
              <w:rPr>
                <w:sz w:val="21"/>
                <w:szCs w:val="21"/>
                <w:color w:val="auto"/>
              </w:rPr>
            </w:pPr>
          </w:p>
        </w:tc>
        <w:tc>
          <w:tcPr>
            <w:tcW w:w="520" w:type="dxa"/>
            <w:vAlign w:val="bottom"/>
            <w:vMerge w:val="continue"/>
            <w:shd w:val="clear" w:color="auto" w:fill="CFF0FC"/>
          </w:tcPr>
          <w:p>
            <w:pPr>
              <w:spacing w:after="0"/>
              <w:rPr>
                <w:sz w:val="21"/>
                <w:szCs w:val="21"/>
                <w:color w:val="auto"/>
              </w:rPr>
            </w:pPr>
          </w:p>
        </w:tc>
        <w:tc>
          <w:tcPr>
            <w:tcW w:w="620" w:type="dxa"/>
            <w:vAlign w:val="bottom"/>
            <w:gridSpan w:val="2"/>
            <w:vMerge w:val="continue"/>
            <w:shd w:val="clear" w:color="auto" w:fill="CFF0FC"/>
          </w:tcPr>
          <w:p>
            <w:pPr>
              <w:spacing w:after="0"/>
              <w:rPr>
                <w:sz w:val="21"/>
                <w:szCs w:val="21"/>
                <w:color w:val="auto"/>
              </w:rPr>
            </w:pPr>
          </w:p>
        </w:tc>
        <w:tc>
          <w:tcPr>
            <w:tcW w:w="1240" w:type="dxa"/>
            <w:vAlign w:val="bottom"/>
            <w:vMerge w:val="continue"/>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Reclassification of redeemable convertible preferred stock warrant liability for</w:t>
            </w:r>
          </w:p>
        </w:tc>
        <w:tc>
          <w:tcPr>
            <w:tcW w:w="1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0"/>
              <w:spacing w:after="0"/>
              <w:rPr>
                <w:sz w:val="20"/>
                <w:szCs w:val="20"/>
                <w:color w:val="auto"/>
              </w:rPr>
            </w:pPr>
            <w:r>
              <w:rPr>
                <w:rFonts w:ascii="Arial" w:cs="Arial" w:eastAsia="Arial" w:hAnsi="Arial"/>
                <w:sz w:val="18"/>
                <w:szCs w:val="18"/>
                <w:color w:val="auto"/>
              </w:rPr>
              <w:t>conversion of Series A redeemable preferred stock warrants into common</w:t>
            </w:r>
          </w:p>
        </w:tc>
        <w:tc>
          <w:tcPr>
            <w:tcW w:w="1100" w:type="dxa"/>
            <w:vAlign w:val="bottom"/>
            <w:vMerge w:val="restart"/>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3" w:lineRule="exact"/>
              <w:rPr>
                <w:sz w:val="20"/>
                <w:szCs w:val="20"/>
                <w:color w:val="auto"/>
              </w:rPr>
            </w:pPr>
            <w:r>
              <w:rPr>
                <w:rFonts w:ascii="Arial" w:cs="Arial" w:eastAsia="Arial" w:hAnsi="Arial"/>
                <w:sz w:val="18"/>
                <w:szCs w:val="18"/>
                <w:color w:val="auto"/>
              </w:rPr>
              <w:t>stock warrants</w:t>
            </w:r>
          </w:p>
        </w:tc>
        <w:tc>
          <w:tcPr>
            <w:tcW w:w="11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Reclassification of redeemable convertible preferred stock warrant liability to</w:t>
            </w:r>
          </w:p>
        </w:tc>
        <w:tc>
          <w:tcPr>
            <w:tcW w:w="1100" w:type="dxa"/>
            <w:vAlign w:val="bottom"/>
            <w:vMerge w:val="restart"/>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9"/>
                <w:szCs w:val="19"/>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additional paid-in capital</w:t>
            </w: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680" w:type="dxa"/>
            <w:vAlign w:val="bottom"/>
          </w:tcPr>
          <w:p>
            <w:pPr>
              <w:ind w:left="20"/>
              <w:spacing w:after="0"/>
              <w:rPr>
                <w:sz w:val="20"/>
                <w:szCs w:val="20"/>
                <w:color w:val="auto"/>
              </w:rPr>
            </w:pPr>
            <w:r>
              <w:rPr>
                <w:rFonts w:ascii="Arial" w:cs="Arial" w:eastAsia="Arial" w:hAnsi="Arial"/>
                <w:sz w:val="18"/>
                <w:szCs w:val="18"/>
                <w:color w:val="auto"/>
              </w:rPr>
              <w:t>Issuance of common stock on settlement of accrued dividend</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Initial public offering issuance costs included in accrued expenses</w:t>
            </w: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-2039620</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-2022475</wp:posOffset>
            </wp:positionV>
            <wp:extent cx="154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-2039620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-2022475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-1662430</wp:posOffset>
            </wp:positionV>
            <wp:extent cx="1543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-1645285</wp:posOffset>
            </wp:positionV>
            <wp:extent cx="1543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-1662430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-1645285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-1165225</wp:posOffset>
            </wp:positionV>
            <wp:extent cx="1543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-1148080</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-1165225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-1148080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-401955</wp:posOffset>
            </wp:positionV>
            <wp:extent cx="154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1543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-401955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-385445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543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543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35" w:lineRule="exact"/>
        <w:rPr>
          <w:sz w:val="20"/>
          <w:szCs w:val="20"/>
          <w:color w:val="auto"/>
        </w:rPr>
      </w:pPr>
    </w:p>
    <w:p>
      <w:pPr>
        <w:ind w:firstLine="569"/>
        <w:spacing w:after="0" w:line="270" w:lineRule="auto"/>
        <w:rPr>
          <w:sz w:val="20"/>
          <w:szCs w:val="20"/>
          <w:color w:val="auto"/>
        </w:rPr>
      </w:pPr>
      <w:r>
        <w:rPr>
          <w:rFonts w:ascii="Arial" w:cs="Arial" w:eastAsia="Arial" w:hAnsi="Arial"/>
          <w:sz w:val="18"/>
          <w:szCs w:val="18"/>
          <w:color w:val="auto"/>
        </w:rPr>
        <w:t>Outset Medical, Inc. (the “Company”) is a medical technology company pioneering a first-of-its-kind technology to reduce the cost and complexity of dialysis. The Tablo® Hemodialysis System, U.S. Food and Drug Administration ("FDA") cleared for use from the hospital to the home, represents a significant technological advancement that transforms the dialysis experience for patients and operationally simplifies it for providers. Tablo serves as a single enterprise solution that can be utilized across the continuum of care, allowing dialysis to be delivered anytime, anywhere and by anyone. The integration of water purification and on-demand dialysate production enables Tablo to serve as a dialysis clinic on wheels, with 2-way wireless data transmission and a proprietary data analytics platform powering a new holistic approach to dialysis care. The Company’s headquarters are located in San Jose, CA.</w:t>
      </w:r>
    </w:p>
    <w:p>
      <w:pPr>
        <w:spacing w:after="0" w:line="84" w:lineRule="exact"/>
        <w:rPr>
          <w:sz w:val="20"/>
          <w:szCs w:val="20"/>
          <w:color w:val="auto"/>
        </w:rPr>
      </w:pPr>
    </w:p>
    <w:p>
      <w:pPr>
        <w:ind w:right="20" w:firstLine="569"/>
        <w:spacing w:after="0" w:line="290" w:lineRule="auto"/>
        <w:rPr>
          <w:sz w:val="20"/>
          <w:szCs w:val="20"/>
          <w:color w:val="auto"/>
        </w:rPr>
      </w:pPr>
      <w:r>
        <w:rPr>
          <w:rFonts w:ascii="Arial" w:cs="Arial" w:eastAsia="Arial" w:hAnsi="Arial"/>
          <w:sz w:val="17"/>
          <w:szCs w:val="17"/>
          <w:color w:val="auto"/>
        </w:rPr>
        <w:t>The Company’s registration statement on Form S-1 related to its initial public offering (“IPO”) was declared effective by the Securities and Exchange Commission (“SEC”) on September 14, 2020, and the Company’s common stock began trading on the Nasdaq Global Select Market on September 15, 2020. Upon the completion of the IPO, the Company sold 10,294,000 shares of common stock (which included 1,343,000 shares that were sold pursuant to the full exercise of the underwriters’ option to purchase additional shares in connection with the IPO) at a price to the public of $27.00 per share. Including the full exercise of the underwriters’ option to purchase additional shares, the Company received aggregate net proceeds of $254.8 million after deducting offering costs, underwriting discounts and commissions of $23.1 million.</w:t>
      </w:r>
    </w:p>
    <w:p>
      <w:pPr>
        <w:spacing w:after="0" w:line="68" w:lineRule="exact"/>
        <w:rPr>
          <w:sz w:val="20"/>
          <w:szCs w:val="20"/>
          <w:color w:val="auto"/>
        </w:rPr>
      </w:pPr>
    </w:p>
    <w:p>
      <w:pPr>
        <w:ind w:right="220" w:firstLine="569"/>
        <w:spacing w:after="0" w:line="275" w:lineRule="auto"/>
        <w:rPr>
          <w:sz w:val="20"/>
          <w:szCs w:val="20"/>
          <w:color w:val="auto"/>
        </w:rPr>
      </w:pPr>
      <w:r>
        <w:rPr>
          <w:rFonts w:ascii="Arial" w:cs="Arial" w:eastAsia="Arial" w:hAnsi="Arial"/>
          <w:sz w:val="18"/>
          <w:szCs w:val="18"/>
          <w:color w:val="auto"/>
        </w:rPr>
        <w:t>On April 13, 2021, the Company completed a follow-on public offering and sold 2,946,000 shares of common stock (which included 446,000 shares that were offered and sold pursuant to the full exercise of the underwriters’ option to purchase additional shares) at a price to the public of $53.50 per share. The Company received aggregate net proceeds of approximately $149.1 million after deducting offering costs, underwriting discounts and commissions of $8.5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31" w:lineRule="exact"/>
        <w:rPr>
          <w:sz w:val="20"/>
          <w:szCs w:val="20"/>
          <w:color w:val="auto"/>
        </w:rPr>
      </w:pPr>
    </w:p>
    <w:p>
      <w:pPr>
        <w:ind w:firstLine="569"/>
        <w:spacing w:after="0" w:line="269" w:lineRule="auto"/>
        <w:rPr>
          <w:sz w:val="20"/>
          <w:szCs w:val="20"/>
          <w:color w:val="auto"/>
        </w:rPr>
      </w:pPr>
      <w:r>
        <w:rPr>
          <w:rFonts w:ascii="Arial" w:cs="Arial" w:eastAsia="Arial" w:hAnsi="Arial"/>
          <w:sz w:val="18"/>
          <w:szCs w:val="18"/>
          <w:color w:val="auto"/>
        </w:rPr>
        <w:t>In September 2020, the Company’s board of directors and shareholders approved a certificate of amendment to the amended and restated certificate of incorporation to effect a reverse split of shares of the Company’s common stock on a 7.9-for-one basis (the “Reverse Stock Split”) effective as of September 8, 2020.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these condensed financial statements have been retrospectively adjusted to reflect the effect of the Reverse Stock Split for all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1" w:lineRule="exact"/>
        <w:rPr>
          <w:sz w:val="20"/>
          <w:szCs w:val="20"/>
          <w:color w:val="auto"/>
        </w:rPr>
      </w:pPr>
    </w:p>
    <w:p>
      <w:pPr>
        <w:jc w:val="both"/>
        <w:ind w:right="60" w:firstLine="569"/>
        <w:spacing w:after="0" w:line="279"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nine months ended September 30, 2021 and 2020, the Company incurred a net loss of $90.7 million and $89.4 million, respectively. As of September 30, 2021, the Company had an accumulated deficit of $584.8 million.</w:t>
      </w:r>
    </w:p>
    <w:p>
      <w:pPr>
        <w:spacing w:after="0" w:line="75" w:lineRule="exact"/>
        <w:rPr>
          <w:sz w:val="20"/>
          <w:szCs w:val="20"/>
          <w:color w:val="auto"/>
        </w:rPr>
      </w:pPr>
    </w:p>
    <w:p>
      <w:pPr>
        <w:ind w:right="60" w:firstLine="569"/>
        <w:spacing w:after="0" w:line="311" w:lineRule="auto"/>
        <w:rPr>
          <w:sz w:val="20"/>
          <w:szCs w:val="20"/>
          <w:color w:val="auto"/>
        </w:rPr>
      </w:pPr>
      <w:r>
        <w:rPr>
          <w:rFonts w:ascii="Arial" w:cs="Arial" w:eastAsia="Arial" w:hAnsi="Arial"/>
          <w:sz w:val="16"/>
          <w:szCs w:val="16"/>
          <w:color w:val="auto"/>
        </w:rPr>
        <w:t>As of September 30, 2021, the Company had cash, cash equivalents and short-term investments of $373.0 million, which are available to fund future operations, and restricted cash of $33.3 million, for a total cash, cash equivalents, restricted cash and short-term investments balance of $406.4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and short-term investments, which include the proceeds from the IPO and the follow-on public offering, and cash generated from revenues from its products and services, will be sufficient to meet its anticipated needs for at least the next 12 months from the issuance date of the accompanying condensed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firstLine="569"/>
        <w:spacing w:after="0" w:line="309" w:lineRule="auto"/>
        <w:rPr>
          <w:sz w:val="20"/>
          <w:szCs w:val="20"/>
          <w:color w:val="auto"/>
        </w:rPr>
      </w:pPr>
      <w:r>
        <w:rPr>
          <w:rFonts w:ascii="Arial" w:cs="Arial" w:eastAsia="Arial" w:hAnsi="Arial"/>
          <w:sz w:val="16"/>
          <w:szCs w:val="16"/>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three-and nine-month period are also unaudited. The results of operations for the three and nine months ended September 30, 2021 are not necessarily indicative of the results of operations to be anticipated for any other future annual or interim period. The condensed balance sheet as of December 31, 2020 included herein was derived from the audited financial statements as of that date.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 w:name="page11"/>
    <w:bookmarkEnd w:id="10"/>
    <w:p>
      <w:pPr>
        <w:ind w:right="20" w:firstLine="569"/>
        <w:spacing w:after="0" w:line="279" w:lineRule="auto"/>
        <w:rPr>
          <w:sz w:val="20"/>
          <w:szCs w:val="20"/>
          <w:color w:val="auto"/>
        </w:rPr>
      </w:pPr>
      <w:r>
        <w:rPr>
          <w:rFonts w:ascii="Arial" w:cs="Arial" w:eastAsia="Arial" w:hAnsi="Arial"/>
          <w:sz w:val="18"/>
          <w:szCs w:val="18"/>
          <w:color w:val="auto"/>
        </w:rPr>
        <w:t>These unaudited condensed financial statements should be read in conjunction with the Company’s audited financial statements and related notes for the year ended December 31, 2020, which are included in the Annual Report on Form 10-K for the fiscal year ended December 31, 2020 filed with SEC on March 22, 2021 (“2020 Annual Report”).</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share amounts disclosed in the notes to the condensed financial statements are rounded to the nearest thousand except for per share data.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ind w:right="480" w:firstLine="562"/>
        <w:spacing w:after="0" w:line="279" w:lineRule="auto"/>
        <w:rPr>
          <w:sz w:val="20"/>
          <w:szCs w:val="20"/>
          <w:color w:val="auto"/>
        </w:rPr>
      </w:pPr>
      <w:r>
        <w:rPr>
          <w:rFonts w:ascii="Arial" w:cs="Arial" w:eastAsia="Arial" w:hAnsi="Arial"/>
          <w:sz w:val="18"/>
          <w:szCs w:val="18"/>
          <w:color w:val="auto"/>
        </w:rPr>
        <w:t>During the three and nine months ended September 30, 2021, there have been no changes to the Company’s significant accounting policies as described in its 2020 Annual Report that have had a material impact on the Company’s condensed financial statements and related notes, except as described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31" w:lineRule="exact"/>
        <w:rPr>
          <w:sz w:val="20"/>
          <w:szCs w:val="20"/>
          <w:color w:val="auto"/>
        </w:rPr>
      </w:pPr>
    </w:p>
    <w:p>
      <w:pPr>
        <w:ind w:firstLine="569"/>
        <w:spacing w:after="0" w:line="293" w:lineRule="auto"/>
        <w:rPr>
          <w:sz w:val="20"/>
          <w:szCs w:val="20"/>
          <w:color w:val="auto"/>
        </w:rPr>
      </w:pPr>
      <w:r>
        <w:rPr>
          <w:rFonts w:ascii="Arial" w:cs="Arial" w:eastAsia="Arial" w:hAnsi="Arial"/>
          <w:sz w:val="18"/>
          <w:szCs w:val="18"/>
          <w:color w:val="auto"/>
        </w:rPr>
        <w:t>As of September 30, 2021 and December 31, 2020, the restricted cash balance of $33.3 million primarily relates to contractual obligations under the SVB Loan and Security Agreement (see Note 7) and collateral for building leases in San Jose, CA and Tijuana Mexico.</w:t>
      </w:r>
    </w:p>
    <w:p>
      <w:pPr>
        <w:spacing w:after="0" w:line="62" w:lineRule="exact"/>
        <w:rPr>
          <w:sz w:val="20"/>
          <w:szCs w:val="20"/>
          <w:color w:val="auto"/>
        </w:rPr>
      </w:pPr>
    </w:p>
    <w:p>
      <w:pPr>
        <w:ind w:right="640" w:firstLine="569"/>
        <w:spacing w:after="0" w:line="293"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21"/>
                <w:szCs w:val="21"/>
                <w:color w:val="auto"/>
              </w:rPr>
            </w:pPr>
          </w:p>
        </w:tc>
      </w:tr>
      <w:tr>
        <w:trPr>
          <w:trHeight w:val="25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230,508</w:t>
            </w:r>
          </w:p>
        </w:tc>
        <w:tc>
          <w:tcPr>
            <w:tcW w:w="6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311,327</w:t>
            </w:r>
          </w:p>
        </w:tc>
        <w:tc>
          <w:tcPr>
            <w:tcW w:w="80" w:type="dxa"/>
            <w:vAlign w:val="bottom"/>
            <w:shd w:val="clear" w:color="auto" w:fill="CFF0FC"/>
          </w:tcPr>
          <w:p>
            <w:pPr>
              <w:spacing w:after="0"/>
              <w:rPr>
                <w:sz w:val="22"/>
                <w:szCs w:val="22"/>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33,311</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33,311</w:t>
            </w:r>
          </w:p>
        </w:tc>
        <w:tc>
          <w:tcPr>
            <w:tcW w:w="80" w:type="dxa"/>
            <w:vAlign w:val="bottom"/>
          </w:tcPr>
          <w:p>
            <w:pPr>
              <w:spacing w:after="0"/>
              <w:rPr>
                <w:sz w:val="21"/>
                <w:szCs w:val="21"/>
                <w:color w:val="auto"/>
              </w:rPr>
            </w:pPr>
          </w:p>
        </w:tc>
      </w:tr>
      <w:tr>
        <w:trPr>
          <w:trHeight w:val="290"/>
        </w:trPr>
        <w:tc>
          <w:tcPr>
            <w:tcW w:w="58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263,819</w:t>
            </w:r>
          </w:p>
        </w:tc>
        <w:tc>
          <w:tcPr>
            <w:tcW w:w="2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344,638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-25400</wp:posOffset>
            </wp:positionV>
            <wp:extent cx="128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1289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right="340" w:firstLine="569"/>
        <w:spacing w:after="0" w:line="329" w:lineRule="auto"/>
        <w:rPr>
          <w:sz w:val="20"/>
          <w:szCs w:val="20"/>
          <w:color w:val="auto"/>
        </w:rPr>
      </w:pPr>
      <w:r>
        <w:rPr>
          <w:rFonts w:ascii="Arial" w:cs="Arial" w:eastAsia="Arial" w:hAnsi="Arial"/>
          <w:sz w:val="16"/>
          <w:szCs w:val="16"/>
          <w:color w:val="auto"/>
        </w:rPr>
        <w:t>Stock-based compensation expense relates to stock options with a service-based vesting condition, stock options with performance and market-based vesting conditions, stock purchase rights under the Company’s Employee Stock Purchase Plan (“ESPP”), restricted stock units (“RSUs”) and performance stock units (“PSUs”). Stock-based compensation expense for the Company’s stock-based awards is based on their grant date fair value.</w:t>
      </w:r>
    </w:p>
    <w:p>
      <w:pPr>
        <w:spacing w:after="0" w:line="40" w:lineRule="exact"/>
        <w:rPr>
          <w:sz w:val="20"/>
          <w:szCs w:val="20"/>
          <w:color w:val="auto"/>
        </w:rPr>
      </w:pPr>
    </w:p>
    <w:p>
      <w:pPr>
        <w:ind w:right="140" w:firstLine="569"/>
        <w:spacing w:after="0" w:line="319" w:lineRule="auto"/>
        <w:rPr>
          <w:sz w:val="20"/>
          <w:szCs w:val="20"/>
          <w:color w:val="auto"/>
        </w:rPr>
      </w:pPr>
      <w:r>
        <w:rPr>
          <w:rFonts w:ascii="Arial" w:cs="Arial" w:eastAsia="Arial" w:hAnsi="Arial"/>
          <w:sz w:val="16"/>
          <w:szCs w:val="16"/>
          <w:color w:val="auto"/>
        </w:rPr>
        <w:t>Service-based options granted to an optionee generally vest at a rate of 25% on the first anniversary of the original vesting date, with the balance vesting monthly over the remaining three years. 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48" w:lineRule="exact"/>
        <w:rPr>
          <w:sz w:val="20"/>
          <w:szCs w:val="20"/>
          <w:color w:val="auto"/>
        </w:rPr>
      </w:pPr>
    </w:p>
    <w:p>
      <w:pPr>
        <w:ind w:right="240" w:firstLine="569"/>
        <w:spacing w:after="0" w:line="296" w:lineRule="auto"/>
        <w:rPr>
          <w:sz w:val="20"/>
          <w:szCs w:val="20"/>
          <w:color w:val="auto"/>
        </w:rPr>
      </w:pPr>
      <w:r>
        <w:rPr>
          <w:rFonts w:ascii="Arial" w:cs="Arial" w:eastAsia="Arial" w:hAnsi="Arial"/>
          <w:sz w:val="17"/>
          <w:szCs w:val="17"/>
          <w:color w:val="auto"/>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w:t>
      </w:r>
    </w:p>
    <w:p>
      <w:pPr>
        <w:spacing w:after="0" w:line="62" w:lineRule="exact"/>
        <w:rPr>
          <w:sz w:val="20"/>
          <w:szCs w:val="20"/>
          <w:color w:val="auto"/>
        </w:rPr>
      </w:pPr>
    </w:p>
    <w:p>
      <w:pPr>
        <w:ind w:right="20" w:firstLine="569"/>
        <w:spacing w:after="0" w:line="275" w:lineRule="auto"/>
        <w:rPr>
          <w:sz w:val="20"/>
          <w:szCs w:val="20"/>
          <w:color w:val="auto"/>
        </w:rPr>
      </w:pPr>
      <w:r>
        <w:rPr>
          <w:rFonts w:ascii="Arial" w:cs="Arial" w:eastAsia="Arial" w:hAnsi="Arial"/>
          <w:sz w:val="18"/>
          <w:szCs w:val="18"/>
          <w:color w:val="auto"/>
        </w:rPr>
        <w:t>For stock options with performance and market-based vesting conditions, stock-based compensation expense is recognized when it is considered probable that the performance vesting condition will be satisfied. Stock-based compensation expense related to these options is recognized using the accelerated attribution method and not reversed if the achievement of the market condition does not occur. The fair value of these stock options is estimated using the Monte Carlo approach.</w:t>
      </w:r>
    </w:p>
    <w:p>
      <w:pPr>
        <w:spacing w:after="0" w:line="77" w:lineRule="exact"/>
        <w:rPr>
          <w:sz w:val="20"/>
          <w:szCs w:val="20"/>
          <w:color w:val="auto"/>
        </w:rPr>
      </w:pPr>
    </w:p>
    <w:p>
      <w:pPr>
        <w:ind w:firstLine="569"/>
        <w:spacing w:after="0" w:line="286" w:lineRule="auto"/>
        <w:rPr>
          <w:sz w:val="20"/>
          <w:szCs w:val="20"/>
          <w:color w:val="auto"/>
        </w:rPr>
      </w:pPr>
      <w:r>
        <w:rPr>
          <w:rFonts w:ascii="Arial" w:cs="Arial" w:eastAsia="Arial" w:hAnsi="Arial"/>
          <w:sz w:val="17"/>
          <w:szCs w:val="17"/>
          <w:color w:val="auto"/>
        </w:rPr>
        <w:t>RSUs granted to an optionee generally vest at a rate of 25% on the first anniversary of the original vesting date, with the balance vesting quarterly over the remaining three years. The fair value of RSUs and PSUs with a service- or performance-based vesting condition is based on the market price of the Company’s common stock on the date of grant. The determination of the stock-based compensation expense related to PSUs with a performance-based vesting condition to be recognized requires the use of certain estimates and assumptions. At each reporting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approach. Stock-based compensation expense related to these PSUs is recognized using the accelerated attribution method and not reversed if the achievement of the market condition does not occur.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right="20" w:firstLine="569"/>
        <w:spacing w:after="0" w:line="303" w:lineRule="auto"/>
        <w:rPr>
          <w:sz w:val="20"/>
          <w:szCs w:val="20"/>
          <w:color w:val="auto"/>
        </w:rPr>
      </w:pPr>
      <w:r>
        <w:rPr>
          <w:rFonts w:ascii="Arial" w:cs="Arial" w:eastAsia="Arial" w:hAnsi="Arial"/>
          <w:sz w:val="17"/>
          <w:szCs w:val="17"/>
          <w:color w:val="auto"/>
        </w:rPr>
        <w:t xml:space="preserve">In December 2019, the Financial Accounting Standards Board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2019-12”), which simplifies the accounting for income taxes, primarily by eliminating certain exceptions to ASC 740. The Company early adopted ASU 2019-12 on a modified retrospective basis as of January 1, 2021, which did not have a material impact on the condensed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31" w:lineRule="exact"/>
        <w:rPr>
          <w:sz w:val="20"/>
          <w:szCs w:val="20"/>
          <w:color w:val="auto"/>
        </w:rPr>
      </w:pPr>
    </w:p>
    <w:p>
      <w:pPr>
        <w:ind w:right="120" w:firstLine="562"/>
        <w:spacing w:after="0" w:line="286"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requires an entity to utilize a new impairment model known as the current expected credit loss (“CECL”) model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which defers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3. Revenue and Deferred Revenue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7"/>
        </w:trPr>
        <w:tc>
          <w:tcPr>
            <w:tcW w:w="58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Revenue by source consists of the following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1"/>
              </w:rPr>
              <w:t>Three Months Ended September</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c>
          <w:tcPr>
            <w:tcW w:w="8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r>
      <w:tr>
        <w:trPr>
          <w:trHeight w:val="256"/>
        </w:trPr>
        <w:tc>
          <w:tcPr>
            <w:tcW w:w="580" w:type="dxa"/>
            <w:vAlign w:val="bottom"/>
          </w:tcPr>
          <w:p>
            <w:pPr>
              <w:spacing w:after="0"/>
              <w:rPr>
                <w:sz w:val="22"/>
                <w:szCs w:val="22"/>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Consoles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15,423</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47,046</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22,230</w:t>
            </w:r>
          </w:p>
        </w:tc>
        <w:tc>
          <w:tcPr>
            <w:tcW w:w="80" w:type="dxa"/>
            <w:vAlign w:val="bottom"/>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Consumables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80" w:type="dxa"/>
            <w:vAlign w:val="bottom"/>
          </w:tcPr>
          <w:p>
            <w:pPr>
              <w:spacing w:after="0"/>
              <w:rPr>
                <w:sz w:val="21"/>
                <w:szCs w:val="21"/>
                <w:color w:val="auto"/>
              </w:rPr>
            </w:pPr>
          </w:p>
        </w:tc>
      </w:tr>
      <w:tr>
        <w:trPr>
          <w:trHeight w:val="256"/>
        </w:trPr>
        <w:tc>
          <w:tcPr>
            <w:tcW w:w="580" w:type="dxa"/>
            <w:vAlign w:val="bottom"/>
          </w:tcPr>
          <w:p>
            <w:pPr>
              <w:spacing w:after="0"/>
              <w:rPr>
                <w:sz w:val="22"/>
                <w:szCs w:val="22"/>
                <w:color w:val="auto"/>
              </w:rPr>
            </w:pPr>
          </w:p>
        </w:tc>
        <w:tc>
          <w:tcPr>
            <w:tcW w:w="4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product revenue</w:t>
            </w: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21,824</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60,662</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26,435</w:t>
            </w:r>
          </w:p>
        </w:tc>
        <w:tc>
          <w:tcPr>
            <w:tcW w:w="80" w:type="dxa"/>
            <w:vAlign w:val="bottom"/>
            <w:shd w:val="clear" w:color="auto" w:fill="CFF0FC"/>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8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4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13,756</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1289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128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117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11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ind w:right="320" w:firstLine="569"/>
        <w:spacing w:after="0" w:line="293" w:lineRule="auto"/>
        <w:rPr>
          <w:sz w:val="20"/>
          <w:szCs w:val="20"/>
          <w:color w:val="auto"/>
        </w:rPr>
      </w:pPr>
      <w:r>
        <w:rPr>
          <w:rFonts w:ascii="Arial" w:cs="Arial" w:eastAsia="Arial" w:hAnsi="Arial"/>
          <w:sz w:val="18"/>
          <w:szCs w:val="18"/>
          <w:color w:val="auto"/>
        </w:rPr>
        <w:t>For the three and nine months ended September 30, 2021, $1.3 million and $3.9 million of consoles revenue were from console operating lease arrangements, compared to $0.7 million and $1.9 million for the three and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 and Contract Liabilities</w:t>
      </w:r>
    </w:p>
    <w:p>
      <w:pPr>
        <w:spacing w:after="0" w:line="131" w:lineRule="exact"/>
        <w:rPr>
          <w:sz w:val="20"/>
          <w:szCs w:val="20"/>
          <w:color w:val="auto"/>
        </w:rPr>
      </w:pPr>
    </w:p>
    <w:p>
      <w:pPr>
        <w:ind w:right="100" w:firstLine="569"/>
        <w:spacing w:after="0" w:line="303" w:lineRule="auto"/>
        <w:rPr>
          <w:sz w:val="20"/>
          <w:szCs w:val="20"/>
          <w:color w:val="auto"/>
        </w:rPr>
      </w:pPr>
      <w:r>
        <w:rPr>
          <w:rFonts w:ascii="Arial" w:cs="Arial" w:eastAsia="Arial" w:hAnsi="Arial"/>
          <w:sz w:val="17"/>
          <w:szCs w:val="17"/>
          <w:color w:val="auto"/>
        </w:rPr>
        <w:t>As of September 30, 2021, the aggregate amount of the transaction price allocated to the remaining performance obligations related to customer service contracts that are unsatisfied or partially unsatisfied was $5.3 million, which is recorded as deferred revenue on the Company’s condensed balance sheets. Of that amount, $5.2 million will be recognized as revenue during the next 12 months and $0.1 million thereafter.</w:t>
      </w:r>
    </w:p>
    <w:p>
      <w:pPr>
        <w:spacing w:after="0" w:line="56" w:lineRule="exact"/>
        <w:rPr>
          <w:sz w:val="20"/>
          <w:szCs w:val="20"/>
          <w:color w:val="auto"/>
        </w:rPr>
      </w:pPr>
    </w:p>
    <w:p>
      <w:pPr>
        <w:ind w:firstLine="569"/>
        <w:spacing w:after="0" w:line="296" w:lineRule="auto"/>
        <w:rPr>
          <w:sz w:val="20"/>
          <w:szCs w:val="20"/>
          <w:color w:val="auto"/>
        </w:rPr>
      </w:pPr>
      <w:r>
        <w:rPr>
          <w:rFonts w:ascii="Arial" w:cs="Arial" w:eastAsia="Arial" w:hAnsi="Arial"/>
          <w:sz w:val="17"/>
          <w:szCs w:val="17"/>
          <w:color w:val="auto"/>
        </w:rPr>
        <w:t>The contract liabilities consist of deferred revenue which represents payments received in advance of revenue recognition related to console service agreements and for prepayments for products or services yet to be delivered. Revenue under these agreements is recognized over the related service period or as products are delivered. Revenue recorded during the three and nine months ended September 30, 2021 included $0.4 million and $3.0 million, respectively, of previously deferred revenue that was included in contract liabilities as of December 31,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8"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Fair Value Measurements</w:t>
      </w:r>
    </w:p>
    <w:p>
      <w:pPr>
        <w:spacing w:after="0" w:line="135" w:lineRule="exact"/>
        <w:rPr>
          <w:sz w:val="20"/>
          <w:szCs w:val="20"/>
          <w:color w:val="auto"/>
        </w:rPr>
      </w:pPr>
    </w:p>
    <w:p>
      <w:pPr>
        <w:ind w:right="140" w:firstLine="569"/>
        <w:spacing w:after="0" w:line="293"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Valuation</w:t>
            </w:r>
          </w:p>
        </w:tc>
        <w:tc>
          <w:tcPr>
            <w:tcW w:w="140" w:type="dxa"/>
            <w:vAlign w:val="bottom"/>
          </w:tcPr>
          <w:p>
            <w:pPr>
              <w:spacing w:after="0"/>
              <w:rPr>
                <w:sz w:val="19"/>
                <w:szCs w:val="19"/>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Hierarchy</w:t>
            </w: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220" w:type="dxa"/>
            <w:vAlign w:val="bottom"/>
            <w:tcBorders>
              <w:right w:val="single" w:sz="8" w:color="CFF0FC"/>
            </w:tcBorders>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75,606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75,606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220" w:type="dxa"/>
            <w:vAlign w:val="bottom"/>
            <w:tcBorders>
              <w:right w:val="single" w:sz="8" w:color="CFF0FC"/>
            </w:tcBorders>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22"/>
                <w:szCs w:val="22"/>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13,084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111,656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220" w:type="dxa"/>
            <w:vAlign w:val="bottom"/>
            <w:tcBorders>
              <w:right w:val="single" w:sz="8" w:color="CFF0FC"/>
            </w:tcBorders>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15,791</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0"/>
              <w:spacing w:after="0"/>
              <w:rPr>
                <w:sz w:val="20"/>
                <w:szCs w:val="20"/>
                <w:color w:val="auto"/>
              </w:rPr>
            </w:pPr>
            <w:r>
              <w:rPr>
                <w:rFonts w:ascii="Arial" w:cs="Arial" w:eastAsia="Arial" w:hAnsi="Arial"/>
                <w:sz w:val="18"/>
                <w:szCs w:val="18"/>
                <w:color w:val="auto"/>
              </w:rPr>
              <w:t>Yankee debt securities</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00" w:type="dxa"/>
            <w:vAlign w:val="bottom"/>
            <w:shd w:val="clear" w:color="auto" w:fill="CFF0FC"/>
          </w:tcPr>
          <w:p>
            <w:pPr>
              <w:jc w:val="center"/>
              <w:ind w:right="1810"/>
              <w:spacing w:after="0"/>
              <w:rPr>
                <w:sz w:val="20"/>
                <w:szCs w:val="20"/>
                <w:color w:val="auto"/>
              </w:rPr>
            </w:pPr>
            <w:r>
              <w:rPr>
                <w:rFonts w:ascii="Arial" w:cs="Arial" w:eastAsia="Arial" w:hAnsi="Arial"/>
                <w:sz w:val="18"/>
                <w:szCs w:val="18"/>
                <w:color w:val="auto"/>
                <w:w w:val="88"/>
              </w:rPr>
              <w:t>Total cash equivalents and</w:t>
            </w:r>
          </w:p>
        </w:tc>
        <w:tc>
          <w:tcPr>
            <w:tcW w:w="106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218,161</w:t>
            </w:r>
          </w:p>
        </w:tc>
        <w:tc>
          <w:tcPr>
            <w:tcW w:w="220" w:type="dxa"/>
            <w:vAlign w:val="bottom"/>
            <w:vMerge w:val="restart"/>
            <w:shd w:val="clear" w:color="auto" w:fill="CFF0FC"/>
          </w:tcPr>
          <w:p>
            <w:pPr>
              <w:spacing w:after="0"/>
              <w:rPr>
                <w:sz w:val="21"/>
                <w:szCs w:val="2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vMerge w:val="restart"/>
            <w:shd w:val="clear" w:color="auto" w:fill="CFF0FC"/>
          </w:tcPr>
          <w:p>
            <w:pPr>
              <w:spacing w:after="0"/>
              <w:rPr>
                <w:sz w:val="21"/>
                <w:szCs w:val="2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(33 )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218,141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jc w:val="center"/>
              <w:ind w:right="1810"/>
              <w:spacing w:after="0" w:line="203" w:lineRule="exact"/>
              <w:rPr>
                <w:sz w:val="20"/>
                <w:szCs w:val="20"/>
                <w:color w:val="auto"/>
              </w:rPr>
            </w:pPr>
            <w:r>
              <w:rPr>
                <w:rFonts w:ascii="Arial" w:cs="Arial" w:eastAsia="Arial" w:hAnsi="Arial"/>
                <w:sz w:val="18"/>
                <w:szCs w:val="18"/>
                <w:color w:val="auto"/>
                <w:w w:val="90"/>
              </w:rPr>
              <w:t>short-term investments</w:t>
            </w:r>
          </w:p>
        </w:tc>
        <w:tc>
          <w:tcPr>
            <w:tcW w:w="106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060" w:type="dxa"/>
            <w:vAlign w:val="bottom"/>
            <w:tcBorders>
              <w:right w:val="single" w:sz="8" w:color="CFF0FC"/>
            </w:tcBorders>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Aggregate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220" w:type="dxa"/>
            <w:vAlign w:val="bottom"/>
            <w:tcBorders>
              <w:right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rPr>
              <w:t>Level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220" w:type="dxa"/>
            <w:vAlign w:val="bottom"/>
            <w:tcBorders>
              <w:right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rPr>
              <w:t>Level 1</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00" w:type="dxa"/>
            <w:vAlign w:val="bottom"/>
            <w:shd w:val="clear" w:color="auto" w:fill="CFF0FC"/>
          </w:tcPr>
          <w:p>
            <w:pPr>
              <w:jc w:val="center"/>
              <w:ind w:right="1810"/>
              <w:spacing w:after="0"/>
              <w:rPr>
                <w:sz w:val="20"/>
                <w:szCs w:val="20"/>
                <w:color w:val="auto"/>
              </w:rPr>
            </w:pPr>
            <w:r>
              <w:rPr>
                <w:rFonts w:ascii="Arial" w:cs="Arial" w:eastAsia="Arial" w:hAnsi="Arial"/>
                <w:sz w:val="18"/>
                <w:szCs w:val="18"/>
                <w:color w:val="auto"/>
                <w:w w:val="88"/>
              </w:rPr>
              <w:t>Total cash equivalents and</w:t>
            </w:r>
          </w:p>
        </w:tc>
        <w:tc>
          <w:tcPr>
            <w:tcW w:w="106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75,953</w:t>
            </w:r>
          </w:p>
        </w:tc>
        <w:tc>
          <w:tcPr>
            <w:tcW w:w="220" w:type="dxa"/>
            <w:vAlign w:val="bottom"/>
            <w:vMerge w:val="restart"/>
            <w:shd w:val="clear" w:color="auto" w:fill="CFF0FC"/>
          </w:tcPr>
          <w:p>
            <w:pPr>
              <w:spacing w:after="0"/>
              <w:rPr>
                <w:sz w:val="21"/>
                <w:szCs w:val="2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restart"/>
            <w:shd w:val="clear" w:color="auto" w:fill="CFF0FC"/>
          </w:tcPr>
          <w:p>
            <w:pPr>
              <w:spacing w:after="0"/>
              <w:rPr>
                <w:sz w:val="21"/>
                <w:szCs w:val="2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21"/>
                <w:szCs w:val="2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75,954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jc w:val="center"/>
              <w:ind w:right="1810"/>
              <w:spacing w:after="0" w:line="203" w:lineRule="exact"/>
              <w:rPr>
                <w:sz w:val="20"/>
                <w:szCs w:val="20"/>
                <w:color w:val="auto"/>
              </w:rPr>
            </w:pPr>
            <w:r>
              <w:rPr>
                <w:rFonts w:ascii="Arial" w:cs="Arial" w:eastAsia="Arial" w:hAnsi="Arial"/>
                <w:sz w:val="18"/>
                <w:szCs w:val="18"/>
                <w:color w:val="auto"/>
                <w:w w:val="90"/>
              </w:rPr>
              <w:t>short-term investments</w:t>
            </w:r>
          </w:p>
        </w:tc>
        <w:tc>
          <w:tcPr>
            <w:tcW w:w="10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-2185035</wp:posOffset>
            </wp:positionV>
            <wp:extent cx="1454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-2167890</wp:posOffset>
            </wp:positionV>
            <wp:extent cx="1454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-2185035</wp:posOffset>
            </wp:positionV>
            <wp:extent cx="128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-2167890</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-2185035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-2167890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-2185035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-2167890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1454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1454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128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128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1289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September 30, 2021, the remaining contractual maturities for available-for-sale securities were between one month to seventeen months.</w:t>
      </w:r>
    </w:p>
    <w:p>
      <w:pPr>
        <w:spacing w:after="0" w:line="154" w:lineRule="exact"/>
        <w:rPr>
          <w:sz w:val="20"/>
          <w:szCs w:val="20"/>
          <w:color w:val="auto"/>
        </w:rPr>
      </w:pPr>
    </w:p>
    <w:p>
      <w:pPr>
        <w:ind w:right="140" w:firstLine="569"/>
        <w:spacing w:after="0" w:line="314" w:lineRule="auto"/>
        <w:rPr>
          <w:sz w:val="20"/>
          <w:szCs w:val="20"/>
          <w:color w:val="auto"/>
        </w:rPr>
      </w:pPr>
      <w:r>
        <w:rPr>
          <w:rFonts w:ascii="Arial" w:cs="Arial" w:eastAsia="Arial" w:hAnsi="Arial"/>
          <w:sz w:val="16"/>
          <w:szCs w:val="16"/>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There were no unrealized losses for securities in an unrealized loss position for more than 12 months as of September 30, 2021. During the three and nine months ended September 30, 2021 and 2020, the Company did not recognize other-than-temporary impairment losses related to its investment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5. Balance Sheet Components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gridSpan w:val="2"/>
          </w:tcPr>
          <w:p>
            <w:pPr>
              <w:ind w:left="580"/>
              <w:spacing w:after="0"/>
              <w:rPr>
                <w:sz w:val="20"/>
                <w:szCs w:val="20"/>
                <w:color w:val="auto"/>
              </w:rPr>
            </w:pPr>
            <w:r>
              <w:rPr>
                <w:rFonts w:ascii="Arial" w:cs="Arial" w:eastAsia="Arial" w:hAnsi="Arial"/>
                <w:sz w:val="18"/>
                <w:szCs w:val="18"/>
                <w:color w:val="auto"/>
              </w:rPr>
              <w:t>Inventories consist of the following (in thousands):</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Work in process</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34,297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18,384</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80" w:type="dxa"/>
            <w:vAlign w:val="bottom"/>
            <w:vMerge w:val="restart"/>
          </w:tcPr>
          <w:p>
            <w:pPr>
              <w:jc w:val="right"/>
              <w:ind w:right="11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-699135</wp:posOffset>
            </wp:positionV>
            <wp:extent cx="12890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-699135</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Accrued expenses and other current liabilities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432435</wp:posOffset>
            </wp:positionV>
            <wp:extent cx="570039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inventory</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professional services</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rebate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w:t>
      </w:r>
    </w:p>
    <w:p>
      <w:pPr>
        <w:spacing w:after="0" w:line="9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63"/>
        </w:trPr>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4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3,049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3,576</w:t>
            </w:r>
          </w:p>
        </w:tc>
      </w:tr>
      <w:tr>
        <w:trPr>
          <w:trHeight w:val="257"/>
        </w:trPr>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57"/>
        </w:trPr>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57"/>
        </w:trPr>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63"/>
        </w:trPr>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7,903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200"/>
            <w:col w:w="4280"/>
          </w:cols>
          <w:pgMar w:left="320" w:top="584" w:right="35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Warranty Liability</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 in accrued warranty liability is presented in the following table (in thousands):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5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FF0FC"/>
          </w:tcPr>
          <w:p>
            <w:pPr>
              <w:spacing w:after="0"/>
              <w:rPr>
                <w:sz w:val="22"/>
                <w:szCs w:val="22"/>
                <w:color w:val="auto"/>
              </w:rPr>
            </w:pPr>
          </w:p>
        </w:tc>
      </w:tr>
      <w:tr>
        <w:trPr>
          <w:trHeight w:val="250"/>
        </w:trPr>
        <w:tc>
          <w:tcPr>
            <w:tcW w:w="5780" w:type="dxa"/>
            <w:vAlign w:val="bottom"/>
          </w:tcPr>
          <w:p>
            <w:pPr>
              <w:spacing w:after="0"/>
              <w:rPr>
                <w:sz w:val="20"/>
                <w:szCs w:val="20"/>
                <w:color w:val="auto"/>
              </w:rPr>
            </w:pPr>
            <w:r>
              <w:rPr>
                <w:rFonts w:ascii="Arial" w:cs="Arial" w:eastAsia="Arial" w:hAnsi="Arial"/>
                <w:sz w:val="18"/>
                <w:szCs w:val="18"/>
                <w:color w:val="auto"/>
              </w:rPr>
              <w:t>Additions charged to cost of product revenue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21"/>
                <w:szCs w:val="21"/>
                <w:color w:val="auto"/>
              </w:rPr>
            </w:pPr>
          </w:p>
        </w:tc>
      </w:tr>
      <w:tr>
        <w:trPr>
          <w:trHeight w:val="25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Consumption</w:t>
            </w:r>
          </w:p>
        </w:tc>
        <w:tc>
          <w:tcPr>
            <w:tcW w:w="1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(4,929 )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(3,647 )</w:t>
            </w:r>
          </w:p>
        </w:tc>
      </w:tr>
      <w:tr>
        <w:trPr>
          <w:trHeight w:val="256"/>
        </w:trPr>
        <w:tc>
          <w:tcPr>
            <w:tcW w:w="57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Borders>
              <w:top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top w:val="single" w:sz="8" w:color="CFF0FC"/>
            </w:tcBorders>
          </w:tcPr>
          <w:p>
            <w:pPr>
              <w:spacing w:after="0"/>
              <w:rPr>
                <w:sz w:val="22"/>
                <w:szCs w:val="22"/>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-193675</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5" w:lineRule="exact"/>
        <w:rPr>
          <w:sz w:val="20"/>
          <w:szCs w:val="20"/>
          <w:color w:val="auto"/>
        </w:rPr>
      </w:pPr>
    </w:p>
    <w:p>
      <w:pPr>
        <w:ind w:right="8480" w:firstLine="8"/>
        <w:spacing w:after="0" w:line="36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340" w:firstLine="569"/>
        <w:spacing w:after="0" w:line="262" w:lineRule="auto"/>
        <w:rPr>
          <w:sz w:val="20"/>
          <w:szCs w:val="20"/>
          <w:color w:val="auto"/>
        </w:rPr>
      </w:pPr>
      <w:r>
        <w:rPr>
          <w:rFonts w:ascii="Arial" w:cs="Arial" w:eastAsia="Arial" w:hAnsi="Arial"/>
          <w:sz w:val="17"/>
          <w:szCs w:val="17"/>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ind w:firstLine="569"/>
        <w:spacing w:after="0" w:line="239"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940" w:type="dxa"/>
            <w:vAlign w:val="bottom"/>
            <w:gridSpan w:val="2"/>
          </w:tcPr>
          <w:p>
            <w:pPr>
              <w:jc w:val="center"/>
              <w:ind w:right="2030"/>
              <w:spacing w:after="0"/>
              <w:rPr>
                <w:sz w:val="20"/>
                <w:szCs w:val="20"/>
                <w:color w:val="auto"/>
              </w:rPr>
            </w:pPr>
            <w:r>
              <w:rPr>
                <w:rFonts w:ascii="Arial" w:cs="Arial" w:eastAsia="Arial" w:hAnsi="Arial"/>
                <w:sz w:val="18"/>
                <w:szCs w:val="18"/>
                <w:color w:val="auto"/>
                <w:w w:val="91"/>
              </w:rPr>
              <w:t>Term loan consists of the following (in thousands):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11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114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Principal of term loan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(260 )</w:t>
            </w:r>
          </w:p>
        </w:tc>
        <w:tc>
          <w:tcPr>
            <w:tcW w:w="1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r>
      <w:tr>
        <w:trPr>
          <w:trHeight w:val="290"/>
        </w:trPr>
        <w:tc>
          <w:tcPr>
            <w:tcW w:w="1140" w:type="dxa"/>
            <w:vAlign w:val="bottom"/>
          </w:tcPr>
          <w:p>
            <w:pPr>
              <w:spacing w:after="0"/>
              <w:rPr>
                <w:sz w:val="24"/>
                <w:szCs w:val="24"/>
                <w:color w:val="auto"/>
              </w:rPr>
            </w:pPr>
          </w:p>
        </w:tc>
        <w:tc>
          <w:tcPr>
            <w:tcW w:w="5800" w:type="dxa"/>
            <w:vAlign w:val="bottom"/>
            <w:tcBorders>
              <w:bottom w:val="single" w:sz="8" w:color="CFF0FC"/>
            </w:tcBorders>
            <w:shd w:val="clear" w:color="auto" w:fill="CFF0FC"/>
          </w:tcPr>
          <w:p>
            <w:pPr>
              <w:jc w:val="center"/>
              <w:ind w:right="3190"/>
              <w:spacing w:after="0"/>
              <w:rPr>
                <w:sz w:val="20"/>
                <w:szCs w:val="20"/>
                <w:color w:val="auto"/>
              </w:rPr>
            </w:pPr>
            <w:r>
              <w:rPr>
                <w:rFonts w:ascii="Arial" w:cs="Arial" w:eastAsia="Arial" w:hAnsi="Arial"/>
                <w:sz w:val="18"/>
                <w:szCs w:val="18"/>
                <w:color w:val="auto"/>
                <w:w w:val="90"/>
              </w:rPr>
              <w:t>Total term loan, noncurrent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1454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1454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04" w:lineRule="exact"/>
        <w:rPr>
          <w:sz w:val="20"/>
          <w:szCs w:val="20"/>
          <w:color w:val="auto"/>
        </w:rPr>
      </w:pPr>
    </w:p>
    <w:p>
      <w:pPr>
        <w:ind w:right="360" w:firstLine="569"/>
        <w:spacing w:after="0" w:line="261"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63" w:lineRule="exact"/>
        <w:rPr>
          <w:sz w:val="20"/>
          <w:szCs w:val="20"/>
          <w:color w:val="auto"/>
        </w:rPr>
      </w:pPr>
    </w:p>
    <w:p>
      <w:pPr>
        <w:ind w:right="40" w:firstLine="569"/>
        <w:spacing w:after="0" w:line="243" w:lineRule="auto"/>
        <w:rPr>
          <w:sz w:val="20"/>
          <w:szCs w:val="20"/>
          <w:color w:val="auto"/>
        </w:rPr>
      </w:pPr>
      <w:r>
        <w:rPr>
          <w:rFonts w:ascii="Arial" w:cs="Arial" w:eastAsia="Arial" w:hAnsi="Arial"/>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the greater of (A) 0.5% above the Prime Rate as reported in the Wall Street Journal and (B) 3.75% (3.75% as of September 30, 2021). The Company is obligated to maintain a restricted cash balance greater or equal to the outstanding principal balance of $30.0 million of the SVB Term Loan.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14" w:name="page15"/>
    <w:bookmarkEnd w:id="14"/>
    <w:p>
      <w:pPr>
        <w:ind w:right="120" w:firstLine="569"/>
        <w:spacing w:after="0" w:line="319" w:lineRule="auto"/>
        <w:rPr>
          <w:sz w:val="20"/>
          <w:szCs w:val="20"/>
          <w:color w:val="auto"/>
        </w:rPr>
      </w:pPr>
      <w:r>
        <w:rPr>
          <w:rFonts w:ascii="Arial" w:cs="Arial" w:eastAsia="Arial" w:hAnsi="Arial"/>
          <w:sz w:val="16"/>
          <w:szCs w:val="16"/>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 Term Loan.</w:t>
      </w:r>
    </w:p>
    <w:p>
      <w:pPr>
        <w:spacing w:after="0" w:line="48" w:lineRule="exact"/>
        <w:rPr>
          <w:sz w:val="20"/>
          <w:szCs w:val="20"/>
          <w:color w:val="auto"/>
        </w:rPr>
      </w:pPr>
    </w:p>
    <w:p>
      <w:pPr>
        <w:ind w:right="20" w:firstLine="569"/>
        <w:spacing w:after="0" w:line="292" w:lineRule="auto"/>
        <w:rPr>
          <w:sz w:val="20"/>
          <w:szCs w:val="20"/>
          <w:color w:val="auto"/>
        </w:rPr>
      </w:pPr>
      <w:r>
        <w:rPr>
          <w:rFonts w:ascii="Arial" w:cs="Arial" w:eastAsia="Arial" w:hAnsi="Arial"/>
          <w:sz w:val="17"/>
          <w:szCs w:val="17"/>
          <w:color w:val="auto"/>
        </w:rPr>
        <w:t>In the event of a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66" w:lineRule="exact"/>
        <w:rPr>
          <w:sz w:val="20"/>
          <w:szCs w:val="20"/>
          <w:color w:val="auto"/>
        </w:rPr>
      </w:pPr>
    </w:p>
    <w:p>
      <w:pPr>
        <w:ind w:firstLine="569"/>
        <w:spacing w:after="0" w:line="275" w:lineRule="auto"/>
        <w:rPr>
          <w:sz w:val="20"/>
          <w:szCs w:val="20"/>
          <w:color w:val="auto"/>
        </w:rPr>
      </w:pPr>
      <w:r>
        <w:rPr>
          <w:rFonts w:ascii="Arial" w:cs="Arial" w:eastAsia="Arial" w:hAnsi="Arial"/>
          <w:sz w:val="18"/>
          <w:szCs w:val="18"/>
          <w:color w:val="auto"/>
        </w:rPr>
        <w:t>Debt issuance costs paid directly to SVB and other debt issuance costs amounting to $0.4 million were accounted for as discounts on the SVB Term Loan. These debt discounts, along with the final payment fee, are being amortized over the term of the SVB Term Loan using the effective interest rate method. As of September 30, 2021, the unamortized debt discount was $0.3 million, which is recorded as a direct deduction from the SVB Term Loan on the accompanying condensed balance sheets.</w:t>
      </w:r>
    </w:p>
    <w:p>
      <w:pPr>
        <w:spacing w:after="0" w:line="168" w:lineRule="exact"/>
        <w:rPr>
          <w:sz w:val="20"/>
          <w:szCs w:val="20"/>
          <w:color w:val="auto"/>
        </w:rPr>
      </w:pPr>
    </w:p>
    <w:p>
      <w:pPr>
        <w:ind w:right="9360" w:firstLine="8"/>
        <w:spacing w:after="0" w:line="407"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Incentive Plan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jc w:val="both"/>
        <w:ind w:right="120" w:firstLine="569"/>
        <w:spacing w:after="0" w:line="248" w:lineRule="auto"/>
        <w:rPr>
          <w:sz w:val="20"/>
          <w:szCs w:val="20"/>
          <w:color w:val="auto"/>
        </w:rPr>
      </w:pPr>
      <w:r>
        <w:rPr>
          <w:rFonts w:ascii="Arial" w:cs="Arial" w:eastAsia="Arial" w:hAnsi="Arial"/>
          <w:sz w:val="18"/>
          <w:szCs w:val="18"/>
          <w:color w:val="auto"/>
        </w:rPr>
        <w:t>On January 1, 2021, the number of shares of common stock reserved for the issuance of awards under the Company’s 2020 Equity Incentive Plan (the “2020 Plan”) was increased by 1,709,000 shares as a result of the automatic increase pursuant to the 2020 Plan. As of September 30, 2021, 4,466,000 shares were reserved for future issuance under the 2020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Share Purchase Plan (ESPP)</w:t>
      </w:r>
    </w:p>
    <w:p>
      <w:pPr>
        <w:spacing w:after="0" w:line="104" w:lineRule="exact"/>
        <w:rPr>
          <w:sz w:val="20"/>
          <w:szCs w:val="20"/>
          <w:color w:val="auto"/>
        </w:rPr>
      </w:pPr>
    </w:p>
    <w:p>
      <w:pPr>
        <w:ind w:right="140" w:firstLine="569"/>
        <w:spacing w:after="0" w:line="270" w:lineRule="auto"/>
        <w:rPr>
          <w:sz w:val="20"/>
          <w:szCs w:val="20"/>
          <w:color w:val="auto"/>
        </w:rPr>
      </w:pPr>
      <w:r>
        <w:rPr>
          <w:rFonts w:ascii="Arial" w:cs="Arial" w:eastAsia="Arial" w:hAnsi="Arial"/>
          <w:sz w:val="17"/>
          <w:szCs w:val="17"/>
          <w:color w:val="auto"/>
        </w:rPr>
        <w:t>On January 1, 2021, the number of shares of common stock reserved for purchase under the Company’s Employee Share Purchase Plan (“ESPP”) was increased by 427,000 shares as a result of the automatic increase pursuant to the ESPP. As of September 30, 2021, 999,000 shares of common stock were reserved for issuance in connection with the current and future offering periods under the ESPP.</w:t>
      </w:r>
    </w:p>
    <w:p>
      <w:pPr>
        <w:spacing w:after="0" w:line="56"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color w:val="auto"/>
        </w:rPr>
        <w:t>The price at which common stock is purchased under the ESPP is equal to 85% of the fair market value of the common stock on the first day of the offering period or the purchase date, whichever is lower. During the three and nine months ended September 30, 2021, 36,000 and 116,000 shares, respectively, of common stock were issued under the ESPP. No shares of common stock were issued during the three and nine months ended September 30, 2020 as the ESPP was adopted in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c>
          <w:tcPr>
            <w:tcW w:w="80" w:type="dxa"/>
            <w:vAlign w:val="bottom"/>
          </w:tcPr>
          <w:p>
            <w:pPr>
              <w:spacing w:after="0"/>
              <w:rPr>
                <w:sz w:val="20"/>
                <w:szCs w:val="20"/>
                <w:color w:val="auto"/>
              </w:rPr>
            </w:pPr>
          </w:p>
        </w:tc>
      </w:tr>
      <w:tr>
        <w:trPr>
          <w:trHeight w:val="263"/>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2"/>
                <w:szCs w:val="22"/>
                <w:color w:val="auto"/>
              </w:rPr>
            </w:pPr>
          </w:p>
        </w:tc>
      </w:tr>
      <w:tr>
        <w:trPr>
          <w:trHeight w:val="250"/>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r>
      <w:tr>
        <w:trPr>
          <w:trHeight w:val="25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22"/>
                <w:szCs w:val="22"/>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3,326</w:t>
            </w:r>
          </w:p>
        </w:tc>
        <w:tc>
          <w:tcPr>
            <w:tcW w:w="80" w:type="dxa"/>
            <w:vAlign w:val="bottom"/>
          </w:tcPr>
          <w:p>
            <w:pPr>
              <w:spacing w:after="0"/>
              <w:rPr>
                <w:sz w:val="21"/>
                <w:szCs w:val="21"/>
                <w:color w:val="auto"/>
              </w:rPr>
            </w:pPr>
          </w:p>
        </w:tc>
      </w:tr>
      <w:tr>
        <w:trPr>
          <w:trHeight w:val="26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80" w:type="dxa"/>
            <w:vAlign w:val="bottom"/>
            <w:shd w:val="clear" w:color="auto" w:fill="CFF0FC"/>
          </w:tcPr>
          <w:p>
            <w:pPr>
              <w:spacing w:after="0"/>
              <w:rPr>
                <w:sz w:val="22"/>
                <w:szCs w:val="22"/>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80" w:type="dxa"/>
            <w:vAlign w:val="bottom"/>
          </w:tcPr>
          <w:p>
            <w:pPr>
              <w:spacing w:after="0"/>
              <w:rPr>
                <w:sz w:val="21"/>
                <w:szCs w:val="21"/>
                <w:color w:val="auto"/>
              </w:rPr>
            </w:pPr>
          </w:p>
        </w:tc>
      </w:tr>
      <w:tr>
        <w:trPr>
          <w:trHeight w:val="290"/>
        </w:trPr>
        <w:tc>
          <w:tcPr>
            <w:tcW w:w="5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13,908</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289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 Options with Performance and Market Conditions</w:t>
      </w:r>
    </w:p>
    <w:p>
      <w:pPr>
        <w:spacing w:after="0" w:line="104" w:lineRule="exact"/>
        <w:rPr>
          <w:sz w:val="20"/>
          <w:szCs w:val="20"/>
          <w:color w:val="auto"/>
        </w:rPr>
      </w:pPr>
    </w:p>
    <w:p>
      <w:pPr>
        <w:ind w:right="100" w:firstLine="569"/>
        <w:spacing w:after="0" w:line="241" w:lineRule="auto"/>
        <w:rPr>
          <w:sz w:val="20"/>
          <w:szCs w:val="20"/>
          <w:color w:val="auto"/>
        </w:rPr>
      </w:pPr>
      <w:r>
        <w:rPr>
          <w:rFonts w:ascii="Arial" w:cs="Arial" w:eastAsia="Arial" w:hAnsi="Arial"/>
          <w:sz w:val="18"/>
          <w:szCs w:val="18"/>
          <w:color w:val="auto"/>
        </w:rPr>
        <w:t>As of December 31, 2020, the Company had 1,933,000 outstanding stock options with performance and market-based vesting conditions. The options vest over the requisite service period if the Company achieves both (i) a performance condition tied to a liquidity event, which includes the effectiveness of an IPO, and (ii) certain market conditions, provided the optionee is providing services on the date of the event. As of September 30, 2021, all outstanding stock options with performance and market-based vesting conditions were fully vested and the related stock-based compensation expense was recognized in full.</w:t>
      </w:r>
    </w:p>
    <w:p>
      <w:pPr>
        <w:spacing w:after="0" w:line="81" w:lineRule="exact"/>
        <w:rPr>
          <w:sz w:val="20"/>
          <w:szCs w:val="20"/>
          <w:color w:val="auto"/>
        </w:rPr>
      </w:pPr>
    </w:p>
    <w:p>
      <w:pPr>
        <w:jc w:val="both"/>
        <w:ind w:right="100" w:firstLine="569"/>
        <w:spacing w:after="0" w:line="284" w:lineRule="auto"/>
        <w:rPr>
          <w:sz w:val="20"/>
          <w:szCs w:val="20"/>
          <w:color w:val="auto"/>
        </w:rPr>
      </w:pPr>
      <w:r>
        <w:rPr>
          <w:rFonts w:ascii="Arial" w:cs="Arial" w:eastAsia="Arial" w:hAnsi="Arial"/>
          <w:sz w:val="16"/>
          <w:szCs w:val="16"/>
          <w:color w:val="auto"/>
        </w:rPr>
        <w:t>For the nine months ended September 30, 2021, the Company recorded stock-based compensation expense of $4.3 million, related to these stock options. For the three months ended September 30, 2021, the Company reversed stock-based compensation expense of $0.1 million related to these stock options due to forfeitures. Stock-based compensation expense of $13.4 million related to these stock options was recognized for the three and nine months ended September 30, 2020 as the performance vesting condition was satisfied upon the closing of the IPO in September 2020.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ind w:right="320" w:firstLine="569"/>
        <w:spacing w:after="0" w:line="279" w:lineRule="auto"/>
        <w:rPr>
          <w:sz w:val="20"/>
          <w:szCs w:val="20"/>
          <w:color w:val="auto"/>
        </w:rPr>
      </w:pPr>
      <w:r>
        <w:rPr>
          <w:rFonts w:ascii="Arial" w:cs="Arial" w:eastAsia="Arial" w:hAnsi="Arial"/>
          <w:sz w:val="18"/>
          <w:szCs w:val="18"/>
          <w:color w:val="auto"/>
        </w:rPr>
        <w:t>For each of the three and nine months ended September 30, 2021 and 2020, the Company incurred an income tax provision of an insignificant amount. The U.S. federal and state net deferred tax assets have been fully offset by a valuation allowance, as the Company believes it is not more likely than not that the deferred tax assets will be realized.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35" w:lineRule="exact"/>
        <w:rPr>
          <w:sz w:val="20"/>
          <w:szCs w:val="20"/>
          <w:color w:val="auto"/>
        </w:rPr>
      </w:pPr>
    </w:p>
    <w:p>
      <w:pPr>
        <w:ind w:right="860" w:firstLine="569"/>
        <w:spacing w:after="0" w:line="293"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attributable to common stockholders is as follows (in thousands, except per share amounts):</w:t>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7"/>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41"/>
        </w:trPr>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7"/>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(30,470 )</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(42,294 )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(90,703 )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(89,449 )</w:t>
            </w:r>
          </w:p>
        </w:tc>
        <w:tc>
          <w:tcPr>
            <w:tcW w:w="0" w:type="dxa"/>
            <w:vAlign w:val="bottom"/>
          </w:tcPr>
          <w:p>
            <w:pPr>
              <w:spacing w:after="0"/>
              <w:rPr>
                <w:sz w:val="1"/>
                <w:szCs w:val="1"/>
                <w:color w:val="auto"/>
              </w:rPr>
            </w:pPr>
          </w:p>
        </w:tc>
      </w:tr>
      <w:tr>
        <w:trPr>
          <w:trHeight w:val="249"/>
        </w:trPr>
        <w:tc>
          <w:tcPr>
            <w:tcW w:w="5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Adjustment to redemption value on redeemable</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convertible preferred stock</w:t>
            </w:r>
          </w:p>
        </w:tc>
        <w:tc>
          <w:tcPr>
            <w:tcW w:w="22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50"/>
        </w:trPr>
        <w:tc>
          <w:tcPr>
            <w:tcW w:w="5100" w:type="dxa"/>
            <w:vAlign w:val="bottom"/>
          </w:tcPr>
          <w:p>
            <w:pPr>
              <w:ind w:left="180"/>
              <w:spacing w:after="0"/>
              <w:rPr>
                <w:sz w:val="20"/>
                <w:szCs w:val="20"/>
                <w:color w:val="auto"/>
              </w:rPr>
            </w:pPr>
            <w:r>
              <w:rPr>
                <w:rFonts w:ascii="Arial" w:cs="Arial" w:eastAsia="Arial" w:hAnsi="Arial"/>
                <w:sz w:val="18"/>
                <w:szCs w:val="18"/>
                <w:color w:val="auto"/>
              </w:rPr>
              <w:t>Deemed dividend on settlement of accrued dividend</w:t>
            </w:r>
          </w:p>
        </w:tc>
        <w:tc>
          <w:tcPr>
            <w:tcW w:w="22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(30,470 )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(42,294 )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(90,703 )</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(47,281 )</w:t>
            </w:r>
          </w:p>
        </w:tc>
        <w:tc>
          <w:tcPr>
            <w:tcW w:w="0" w:type="dxa"/>
            <w:vAlign w:val="bottom"/>
          </w:tcPr>
          <w:p>
            <w:pPr>
              <w:spacing w:after="0"/>
              <w:rPr>
                <w:sz w:val="1"/>
                <w:szCs w:val="1"/>
                <w:color w:val="auto"/>
              </w:rPr>
            </w:pPr>
          </w:p>
        </w:tc>
      </w:tr>
      <w:tr>
        <w:trPr>
          <w:trHeight w:val="243"/>
        </w:trPr>
        <w:tc>
          <w:tcPr>
            <w:tcW w:w="51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Weighted-average shares of common stock,</w:t>
            </w:r>
          </w:p>
        </w:tc>
        <w:tc>
          <w:tcPr>
            <w:tcW w:w="220" w:type="dxa"/>
            <w:vAlign w:val="bottom"/>
            <w:shd w:val="clear" w:color="auto" w:fill="CFF0FC"/>
          </w:tcPr>
          <w:p>
            <w:pPr>
              <w:spacing w:after="0"/>
              <w:rPr>
                <w:sz w:val="21"/>
                <w:szCs w:val="2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46,588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12,299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46,252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0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(0.65 )</w:t>
            </w:r>
          </w:p>
        </w:tc>
        <w:tc>
          <w:tcPr>
            <w:tcW w:w="120" w:type="dxa"/>
            <w:vAlign w:val="bottom"/>
          </w:tcPr>
          <w:p>
            <w:pPr>
              <w:spacing w:after="0"/>
              <w:rPr>
                <w:sz w:val="20"/>
                <w:szCs w:val="2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(3.44 )</w:t>
            </w:r>
          </w:p>
        </w:tc>
        <w:tc>
          <w:tcPr>
            <w:tcW w:w="100" w:type="dxa"/>
            <w:vAlign w:val="bottom"/>
          </w:tcPr>
          <w:p>
            <w:pPr>
              <w:spacing w:after="0"/>
              <w:rPr>
                <w:sz w:val="20"/>
                <w:szCs w:val="2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(6.30 )</w:t>
            </w:r>
          </w:p>
        </w:tc>
        <w:tc>
          <w:tcPr>
            <w:tcW w:w="0" w:type="dxa"/>
            <w:vAlign w:val="bottom"/>
          </w:tcPr>
          <w:p>
            <w:pPr>
              <w:spacing w:after="0"/>
              <w:rPr>
                <w:sz w:val="1"/>
                <w:szCs w:val="1"/>
                <w:color w:val="auto"/>
              </w:rPr>
            </w:pPr>
          </w:p>
        </w:tc>
      </w:tr>
      <w:tr>
        <w:trPr>
          <w:trHeight w:val="203"/>
        </w:trPr>
        <w:tc>
          <w:tcPr>
            <w:tcW w:w="5100" w:type="dxa"/>
            <w:vAlign w:val="bottom"/>
          </w:tcPr>
          <w:p>
            <w:pPr>
              <w:ind w:left="320"/>
              <w:spacing w:after="0" w:line="203" w:lineRule="exact"/>
              <w:rPr>
                <w:sz w:val="20"/>
                <w:szCs w:val="20"/>
                <w:color w:val="auto"/>
              </w:rPr>
            </w:pPr>
            <w:r>
              <w:rPr>
                <w:rFonts w:ascii="Arial" w:cs="Arial" w:eastAsia="Arial" w:hAnsi="Arial"/>
                <w:sz w:val="18"/>
                <w:szCs w:val="18"/>
                <w:color w:val="auto"/>
              </w:rPr>
              <w:t>basic and diluted</w:t>
            </w:r>
          </w:p>
        </w:tc>
        <w:tc>
          <w:tcPr>
            <w:tcW w:w="2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-1100455</wp:posOffset>
            </wp:positionV>
            <wp:extent cx="179705" cy="3340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9705" cy="33401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-1100455</wp:posOffset>
            </wp:positionV>
            <wp:extent cx="162560" cy="3340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2560" cy="33401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-1100455</wp:posOffset>
            </wp:positionV>
            <wp:extent cx="162560" cy="3340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2560" cy="33401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-1100455</wp:posOffset>
            </wp:positionV>
            <wp:extent cx="93980" cy="3340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-313690</wp:posOffset>
            </wp:positionV>
            <wp:extent cx="1543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-313690</wp:posOffset>
            </wp:positionV>
            <wp:extent cx="13716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-313690</wp:posOffset>
            </wp:positionV>
            <wp:extent cx="13716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-313690</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ind w:right="440" w:firstLine="569"/>
        <w:spacing w:after="0" w:line="293"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loss per share due to their anti-dilutive effect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3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3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Warrant to purchase common stock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committed under ESPP</w:t>
            </w:r>
          </w:p>
        </w:tc>
        <w:tc>
          <w:tcPr>
            <w:tcW w:w="124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8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62"/>
        </w:trPr>
        <w:tc>
          <w:tcPr>
            <w:tcW w:w="580" w:type="dxa"/>
            <w:vAlign w:val="bottom"/>
          </w:tcPr>
          <w:p>
            <w:pPr>
              <w:spacing w:after="0"/>
              <w:rPr>
                <w:sz w:val="24"/>
                <w:szCs w:val="24"/>
                <w:color w:val="auto"/>
              </w:rPr>
            </w:pPr>
          </w:p>
        </w:tc>
        <w:tc>
          <w:tcPr>
            <w:tcW w:w="396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14</w:t>
            </w: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-539115</wp:posOffset>
            </wp:positionV>
            <wp:extent cx="1200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-521970</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-710565</wp:posOffset>
            </wp:positionV>
            <wp:extent cx="1200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-539115</wp:posOffset>
            </wp:positionV>
            <wp:extent cx="1200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-521970</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-710565</wp:posOffset>
            </wp:positionV>
            <wp:extent cx="1200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-539115</wp:posOffset>
            </wp:positionV>
            <wp:extent cx="120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-521970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-710565</wp:posOffset>
            </wp:positionV>
            <wp:extent cx="1200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-539115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-521970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-710565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180" w:firstLine="562"/>
        <w:spacing w:after="0" w:line="314"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Annual Report on Form 10-K for the fiscal year ended December 31, 2020 filed with the Securities and Exchange Commission (“SEC”) on March 22, 2021 (“2020 Annual Report”). As used in this Quarterly Report, references to the “Company,” “we,” “us,” “our,” or similar terms refer to Outset Medical, Inc.</w:t>
      </w:r>
    </w:p>
    <w:p>
      <w:pPr>
        <w:spacing w:after="0" w:line="38" w:lineRule="exact"/>
        <w:rPr>
          <w:sz w:val="20"/>
          <w:szCs w:val="20"/>
          <w:color w:val="auto"/>
        </w:rPr>
      </w:pPr>
    </w:p>
    <w:p>
      <w:pPr>
        <w:ind w:right="20" w:firstLine="562"/>
        <w:spacing w:after="0" w:line="252"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40" w:firstLine="569"/>
        <w:spacing w:after="0" w:line="270" w:lineRule="auto"/>
        <w:rPr>
          <w:sz w:val="20"/>
          <w:szCs w:val="20"/>
          <w:color w:val="auto"/>
        </w:rPr>
      </w:pPr>
      <w:r>
        <w:rPr>
          <w:rFonts w:ascii="Arial" w:cs="Arial" w:eastAsia="Arial" w:hAnsi="Arial"/>
          <w:sz w:val="16"/>
          <w:szCs w:val="16"/>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enables Tablo to serve as a dialysis clinic on wheels and allows providers to standardize to a single technology platform from the hospital to the home. Tablo is also intelligent and connected, with automated documentation and the ability to integrate with electronic medical record reporting, along with streamlined remote machine management designed to maximize device uptime. 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cleared by the U.S. Food and Drug Administration (“FDA”) for use in the hospital, clinic or home setting.</w:t>
      </w:r>
    </w:p>
    <w:p>
      <w:pPr>
        <w:spacing w:after="0" w:line="63" w:lineRule="exact"/>
        <w:rPr>
          <w:sz w:val="20"/>
          <w:szCs w:val="20"/>
          <w:color w:val="auto"/>
        </w:rPr>
      </w:pPr>
    </w:p>
    <w:p>
      <w:pPr>
        <w:ind w:firstLine="569"/>
        <w:spacing w:after="0" w:line="238" w:lineRule="auto"/>
        <w:rPr>
          <w:sz w:val="20"/>
          <w:szCs w:val="20"/>
          <w:color w:val="auto"/>
        </w:rPr>
      </w:pPr>
      <w:r>
        <w:rPr>
          <w:rFonts w:ascii="Arial" w:cs="Arial" w:eastAsia="Arial" w:hAnsi="Arial"/>
          <w:sz w:val="18"/>
          <w:szCs w:val="18"/>
          <w:color w:val="auto"/>
        </w:rPr>
        <w:t>We designed Tablo from the ground up to be a single enterprise solution that can be utilized across the continuum of care, allowing dialysis to be delivered anytime, anywhere and by anyone. Tablo is comprised of a compact console with integrated water purification, on-demand dialysate production and a simple-to-use touchscreen interface. With Tablo, we are bringing data to dialysis. Tablo is built to live in a connected setting with cloud-based system monitoring, patient analytics, remote treatment monitoring and clinical recordkeeping and the ability to activate new capabilities and enhancements through wireless software updates. Tablo’s data analytics and connectivity also enable predictive and preventative maintenance designed to maximize machine uptime. Unlike existing hemodialysis machines, which have limited clinical versatility across care settings and are generally burdened by specialized and expensive infrastructure, Tablo is a single enterprise dialysis solution that can be seamlessly utilized across different care settings and for multiple clinical needs.</w:t>
      </w:r>
    </w:p>
    <w:p>
      <w:pPr>
        <w:spacing w:after="0" w:line="86" w:lineRule="exact"/>
        <w:rPr>
          <w:sz w:val="20"/>
          <w:szCs w:val="20"/>
          <w:color w:val="auto"/>
        </w:rPr>
      </w:pPr>
    </w:p>
    <w:p>
      <w:pPr>
        <w:ind w:right="100" w:firstLine="569"/>
        <w:spacing w:after="0" w:line="239"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While the COVID-19 pandemic has presented opportunities to demonstrate the real-world benefits of Tablo over traditional machines, we believe these benefits, in addition to the other advantages of Tablo, are continuing to drive customer purchasing decisions.</w:t>
      </w:r>
    </w:p>
    <w:p>
      <w:pPr>
        <w:spacing w:after="0" w:line="83" w:lineRule="exact"/>
        <w:rPr>
          <w:sz w:val="20"/>
          <w:szCs w:val="20"/>
          <w:color w:val="auto"/>
        </w:rPr>
      </w:pPr>
    </w:p>
    <w:p>
      <w:pPr>
        <w:ind w:right="60" w:firstLine="569"/>
        <w:spacing w:after="0" w:line="239" w:lineRule="auto"/>
        <w:rPr>
          <w:sz w:val="20"/>
          <w:szCs w:val="20"/>
          <w:color w:val="auto"/>
        </w:rPr>
      </w:pPr>
      <w:r>
        <w:rPr>
          <w:rFonts w:ascii="Arial" w:cs="Arial" w:eastAsia="Arial" w:hAnsi="Arial"/>
          <w:sz w:val="18"/>
          <w:szCs w:val="18"/>
          <w:color w:val="auto"/>
        </w:rPr>
        <w:t>Tablo is also well suited for home-based dialysis. Tablo was cleared by the FDA for use in patients with acute and/or chronic renal failure in September 2014. Subsequently, on March 31, 2020, Tablo was cleared by the FDA for patient use in the home. Our ability to reduce training time, patient dropout, preparation and set up time, and the total treatment time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and grow this market successfully, we are focused on refining our home distribution, logistics and support systems to help ensure they are ready for rapid scale. We are also working with providers, patients and payors to increase awareness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right="220"/>
        <w:spacing w:after="0" w:line="261" w:lineRule="auto"/>
        <w:rPr>
          <w:sz w:val="20"/>
          <w:szCs w:val="20"/>
          <w:color w:val="auto"/>
        </w:rPr>
      </w:pPr>
      <w:r>
        <w:rPr>
          <w:rFonts w:ascii="Arial" w:cs="Arial" w:eastAsia="Arial" w:hAnsi="Arial"/>
          <w:sz w:val="18"/>
          <w:szCs w:val="18"/>
          <w:color w:val="auto"/>
        </w:rPr>
        <w:t>and adoption of transitional care units (“TCUs”) as a bridge to home based therapy. To demonstrate the cost advantages of Tablo in the home setting, we will also be collecting additional patient clinical experience and outcomes data.</w:t>
      </w:r>
    </w:p>
    <w:p>
      <w:pPr>
        <w:spacing w:after="0" w:line="76" w:lineRule="exact"/>
        <w:rPr>
          <w:sz w:val="20"/>
          <w:szCs w:val="20"/>
          <w:color w:val="auto"/>
        </w:rPr>
      </w:pPr>
    </w:p>
    <w:p>
      <w:pPr>
        <w:ind w:right="20" w:firstLine="569"/>
        <w:spacing w:after="0" w:line="290" w:lineRule="auto"/>
        <w:rPr>
          <w:sz w:val="20"/>
          <w:szCs w:val="20"/>
          <w:color w:val="auto"/>
        </w:rPr>
      </w:pPr>
      <w:r>
        <w:rPr>
          <w:rFonts w:ascii="Arial" w:cs="Arial" w:eastAsia="Arial" w:hAnsi="Arial"/>
          <w:sz w:val="17"/>
          <w:szCs w:val="17"/>
          <w:color w:val="auto"/>
        </w:rPr>
        <w:t>We sell our solutions through our direct sales organization, which covers most major metropolitan markets in the United States. As of September 30, 2021, our sales organization is comprised of 34 capital sales team members, responsible for generating new customer demand for Tablo, and 77 clinical sales team members responsible for driving utilization and fleet expansion of Tablo consoles at existing customer sites. In addition, our field service team comprised of 88 members provides maintenance services and product support to Tablo customers.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68" w:lineRule="exact"/>
        <w:rPr>
          <w:sz w:val="20"/>
          <w:szCs w:val="20"/>
          <w:color w:val="auto"/>
        </w:rPr>
      </w:pPr>
    </w:p>
    <w:p>
      <w:pPr>
        <w:ind w:firstLine="569"/>
        <w:spacing w:after="0" w:line="272" w:lineRule="auto"/>
        <w:rPr>
          <w:sz w:val="20"/>
          <w:szCs w:val="20"/>
          <w:color w:val="auto"/>
        </w:rPr>
      </w:pPr>
      <w:r>
        <w:rPr>
          <w:rFonts w:ascii="Arial" w:cs="Arial" w:eastAsia="Arial" w:hAnsi="Arial"/>
          <w:sz w:val="18"/>
          <w:szCs w:val="18"/>
          <w:color w:val="auto"/>
        </w:rPr>
        <w:t>We are continuing to execute a well-defined strategy designed to expand gross margins. First, we have successfully begun production at our own console manufacturing facility. Second, we are adding a second-source contract manufacturer for our cartridges to help gain higher efficiency and lower material and logistics cost. Third, we will continue to drive scale across our console platform to leverage our supply base and help improve our manufacturing efficiency. Fourth, we will continue to utilize our cloud-based data system, as well as enhanced product performance, to help drive down the cost of service.</w:t>
      </w:r>
    </w:p>
    <w:p>
      <w:pPr>
        <w:spacing w:after="0" w:line="83" w:lineRule="exact"/>
        <w:rPr>
          <w:sz w:val="20"/>
          <w:szCs w:val="20"/>
          <w:color w:val="auto"/>
        </w:rPr>
      </w:pPr>
    </w:p>
    <w:p>
      <w:pPr>
        <w:ind w:right="180" w:firstLine="569"/>
        <w:spacing w:after="0" w:line="296" w:lineRule="auto"/>
        <w:rPr>
          <w:sz w:val="20"/>
          <w:szCs w:val="20"/>
          <w:color w:val="auto"/>
        </w:rPr>
      </w:pPr>
      <w:r>
        <w:rPr>
          <w:rFonts w:ascii="Arial" w:cs="Arial" w:eastAsia="Arial" w:hAnsi="Arial"/>
          <w:sz w:val="17"/>
          <w:szCs w:val="17"/>
          <w:color w:val="auto"/>
        </w:rPr>
        <w:t>We generate revenue primarily from the initial sale of Tablo consoles, and recurring sales of per-treatment consumables, including the Tablo cartridge, which generates significant total revenue over the life of the console. We generate additional revenue via annual service contracts and shipping and handling charged to customers. Our total revenue was $26.3 million and $13.8 million for the three months ended September 30, 2021 and 2020, respectively, and $74.5 million and $32.7 million for the nine months ended September 30, 2021 and 2020, respectively.</w:t>
      </w:r>
    </w:p>
    <w:p>
      <w:pPr>
        <w:spacing w:after="0" w:line="62" w:lineRule="exact"/>
        <w:rPr>
          <w:sz w:val="20"/>
          <w:szCs w:val="20"/>
          <w:color w:val="auto"/>
        </w:rPr>
      </w:pPr>
    </w:p>
    <w:p>
      <w:pPr>
        <w:jc w:val="both"/>
        <w:ind w:right="40" w:firstLine="569"/>
        <w:spacing w:after="0" w:line="279" w:lineRule="auto"/>
        <w:rPr>
          <w:sz w:val="20"/>
          <w:szCs w:val="20"/>
          <w:color w:val="auto"/>
        </w:rPr>
      </w:pPr>
      <w:r>
        <w:rPr>
          <w:rFonts w:ascii="Arial" w:cs="Arial" w:eastAsia="Arial" w:hAnsi="Arial"/>
          <w:sz w:val="18"/>
          <w:szCs w:val="18"/>
          <w:color w:val="auto"/>
        </w:rPr>
        <w:t>For the three months ended September 30, 2021 and 2020, we incurred net losses of $30.5 million and $42.3 million, respectively, and for the nine months ended September 30, 2021 and 2020, we incurred net losses of $90.7 million and $89.4 million, respectively. As of September 30, 2021, we had an accumulated deficit of $584.8 million.</w:t>
      </w:r>
    </w:p>
    <w:p>
      <w:pPr>
        <w:spacing w:after="0" w:line="75" w:lineRule="exact"/>
        <w:rPr>
          <w:sz w:val="20"/>
          <w:szCs w:val="20"/>
          <w:color w:val="auto"/>
        </w:rPr>
      </w:pPr>
    </w:p>
    <w:p>
      <w:pPr>
        <w:ind w:right="180" w:firstLine="569"/>
        <w:spacing w:after="0" w:line="272" w:lineRule="auto"/>
        <w:rPr>
          <w:sz w:val="20"/>
          <w:szCs w:val="20"/>
          <w:color w:val="auto"/>
        </w:rPr>
      </w:pPr>
      <w:r>
        <w:rPr>
          <w:rFonts w:ascii="Arial" w:cs="Arial" w:eastAsia="Arial" w:hAnsi="Arial"/>
          <w:sz w:val="18"/>
          <w:szCs w:val="18"/>
          <w:color w:val="auto"/>
        </w:rPr>
        <w:t>On September 17, 2020, we completed our initial public offering (“IPO”), in which we sold 10,293,777 shares of common stock (which included 1,342,666 shares that were offered and sold pursuant to the full exercise of the IPO underwriters’ option to purchase additional shares in connection with the IPO) at a price to the public of $27.00 per share. We received aggregate net proceeds of approximately $254.8 million after deducting offering costs, underwriting discounts and commissions of approximately $23.1 million. Upon the closing of the IPO, all of our outstanding redeemable convertible preferred stock automatically converted into shares of common stock.</w:t>
      </w:r>
    </w:p>
    <w:p>
      <w:pPr>
        <w:spacing w:after="0" w:line="83" w:lineRule="exact"/>
        <w:rPr>
          <w:sz w:val="20"/>
          <w:szCs w:val="20"/>
          <w:color w:val="auto"/>
        </w:rPr>
      </w:pPr>
    </w:p>
    <w:p>
      <w:pPr>
        <w:jc w:val="both"/>
        <w:ind w:right="20" w:firstLine="569"/>
        <w:spacing w:after="0" w:line="329" w:lineRule="auto"/>
        <w:rPr>
          <w:sz w:val="20"/>
          <w:szCs w:val="20"/>
          <w:color w:val="auto"/>
        </w:rPr>
      </w:pPr>
      <w:r>
        <w:rPr>
          <w:rFonts w:ascii="Arial" w:cs="Arial" w:eastAsia="Arial" w:hAnsi="Arial"/>
          <w:sz w:val="16"/>
          <w:szCs w:val="16"/>
          <w:color w:val="auto"/>
        </w:rPr>
        <w:t>On April 13, 2021, we completed a follow-on public offering and sold 2,945,864 shares of our common stock (which included 445,864 shares that were offered and sold pursuant to the full exercise of the underwriters’ option to purchase additional shares) at a price to the public of $53.50 per share. We received aggregate net proceeds of approximately $149.1 million after deducting offering costs, underwriting discounts and commissions of $8.5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COVID-19 pandemic</w:t>
      </w:r>
    </w:p>
    <w:p>
      <w:pPr>
        <w:spacing w:after="0" w:line="131" w:lineRule="exact"/>
        <w:rPr>
          <w:sz w:val="20"/>
          <w:szCs w:val="20"/>
          <w:color w:val="auto"/>
        </w:rPr>
      </w:pPr>
    </w:p>
    <w:p>
      <w:pPr>
        <w:ind w:firstLine="569"/>
        <w:spacing w:after="0" w:line="314" w:lineRule="auto"/>
        <w:rPr>
          <w:sz w:val="20"/>
          <w:szCs w:val="20"/>
          <w:color w:val="auto"/>
        </w:rPr>
      </w:pPr>
      <w:r>
        <w:rPr>
          <w:rFonts w:ascii="Arial" w:cs="Arial" w:eastAsia="Arial" w:hAnsi="Arial"/>
          <w:sz w:val="16"/>
          <w:szCs w:val="16"/>
          <w:color w:val="auto"/>
        </w:rPr>
        <w:t>We believe that the COVID-19 pandemic has highlighted the limitations of traditional machines and the benefits of Tablo, driving an increase in demand for Tablo during 2020. We also believe the advantages of Tablo highlighted by the pandemic are now embedded as one of the many factors driving our customers’ purchasing decisions and do not expect to experience significant revenue driven solely by COVID-19 in future periods. However, the duration and extent of the COVID-19 pandemic remain uncertain, particularly in light of ongoing vaccination efforts and emerging variant strains of the virus, and we cannot predict with certainty the ultimate impact of the COVID-19 pandemic and related containment measures on our business.</w:t>
      </w:r>
    </w:p>
    <w:p>
      <w:pPr>
        <w:spacing w:after="0" w:line="52" w:lineRule="exact"/>
        <w:rPr>
          <w:sz w:val="20"/>
          <w:szCs w:val="20"/>
          <w:color w:val="auto"/>
        </w:rPr>
      </w:pPr>
    </w:p>
    <w:p>
      <w:pPr>
        <w:ind w:right="40" w:firstLine="569"/>
        <w:spacing w:after="0" w:line="286" w:lineRule="auto"/>
        <w:rPr>
          <w:sz w:val="20"/>
          <w:szCs w:val="20"/>
          <w:color w:val="auto"/>
        </w:rPr>
      </w:pPr>
      <w:r>
        <w:rPr>
          <w:rFonts w:ascii="Arial" w:cs="Arial" w:eastAsia="Arial" w:hAnsi="Arial"/>
          <w:sz w:val="17"/>
          <w:szCs w:val="17"/>
          <w:color w:val="auto"/>
        </w:rPr>
        <w:t>In order to operate in a safe manner, we continue to monitor and follow the latest health and safety guidelines of the U.S. Centers for Disease Control and Prevention, Occupational Safety and Health Administration, and local and state public health departments where we operate. These guidelines continue to change in light of local circumstances related to vaccine availability, population vaccination rates and emerging variant strains of the virus (including the Delta variant which appears to be highly transmissible). For employees working on-site, we continue to follow masking protocols consistent with evolving health and safety guidelines, facilitate social distancing and practice increased sanitizing standards. We have strongly encouraged all of our employees to get vaccinated, and during the third quarter of 2021, adopted a policy requiring our customer-facing and on-site employees to be fully vaccinated by October 2021, subject to medical or religious exemptions. Additionally, we continue to provide vaccination site information and COVID-19 testing at our facilities. We are actively supporting remote work arrangements, while planning for a more structured return to office in late 2021 to increase productive collaboration while helping to ensure employee safety. Lastly, we have created a business continuity plan and incident management team to respond quickly and effectively to changes in order to offer customers uninterrupted products, services and support while safeguarding the best interest of employees, suppliers and stockholders.</w:t>
      </w:r>
    </w:p>
    <w:p>
      <w:pPr>
        <w:spacing w:after="0" w:line="70" w:lineRule="exact"/>
        <w:rPr>
          <w:sz w:val="20"/>
          <w:szCs w:val="20"/>
          <w:color w:val="auto"/>
        </w:rPr>
      </w:pPr>
    </w:p>
    <w:p>
      <w:pPr>
        <w:ind w:right="220" w:firstLine="569"/>
        <w:spacing w:after="0" w:line="279" w:lineRule="auto"/>
        <w:rPr>
          <w:sz w:val="20"/>
          <w:szCs w:val="20"/>
          <w:color w:val="auto"/>
        </w:rPr>
      </w:pPr>
      <w:r>
        <w:rPr>
          <w:rFonts w:ascii="Arial" w:cs="Arial" w:eastAsia="Arial" w:hAnsi="Arial"/>
          <w:sz w:val="18"/>
          <w:szCs w:val="18"/>
          <w:color w:val="auto"/>
        </w:rPr>
        <w:t>Our business may also be impacted by an escalation or a continuation of the COVID-19 pandemic. While the operations at our contract manufacturing partners’ facilities and our outsourced business administration service provider, TACNA, for our facility in Tijuana, Mexico, have not yet experienced significant disruption as a result of the pandemic, the possibility that such disruption may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8" w:name="page19"/>
    <w:bookmarkEnd w:id="18"/>
    <w:p>
      <w:pPr>
        <w:jc w:val="both"/>
        <w:ind w:right="60"/>
        <w:spacing w:after="0" w:line="272" w:lineRule="auto"/>
        <w:rPr>
          <w:sz w:val="20"/>
          <w:szCs w:val="20"/>
          <w:color w:val="auto"/>
        </w:rPr>
      </w:pPr>
      <w:r>
        <w:rPr>
          <w:rFonts w:ascii="Arial" w:cs="Arial" w:eastAsia="Arial" w:hAnsi="Arial"/>
          <w:sz w:val="18"/>
          <w:szCs w:val="18"/>
          <w:color w:val="auto"/>
        </w:rPr>
        <w:t>occur remains. Additionally, the COVID-19 pandemic has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 inventory levels to meet customer demand</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have not experienced material disruptions in our supply chain to date.</w:t>
      </w:r>
    </w:p>
    <w:p>
      <w:pPr>
        <w:spacing w:after="0" w:line="83" w:lineRule="exact"/>
        <w:rPr>
          <w:sz w:val="20"/>
          <w:szCs w:val="20"/>
          <w:color w:val="auto"/>
        </w:rPr>
      </w:pPr>
    </w:p>
    <w:p>
      <w:pPr>
        <w:ind w:firstLine="569"/>
        <w:spacing w:after="0" w:line="308" w:lineRule="auto"/>
        <w:rPr>
          <w:sz w:val="20"/>
          <w:szCs w:val="20"/>
          <w:color w:val="auto"/>
        </w:rPr>
      </w:pPr>
      <w:r>
        <w:rPr>
          <w:rFonts w:ascii="Arial" w:cs="Arial" w:eastAsia="Arial" w:hAnsi="Arial"/>
          <w:sz w:val="16"/>
          <w:szCs w:val="16"/>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These supply chain disruptions have escalated during the fourth quarter of 2021,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Continued escalation of these supply chain disruptions and a sustained rise in freight costs could negatively impact our ability to meet customer demand on a timely basis, result in customer dissatisfaction and adversely impact our operating margins and results of operation.</w:t>
      </w:r>
    </w:p>
    <w:p>
      <w:pPr>
        <w:spacing w:after="0" w:line="285" w:lineRule="exact"/>
        <w:rPr>
          <w:sz w:val="20"/>
          <w:szCs w:val="20"/>
          <w:color w:val="auto"/>
        </w:rPr>
      </w:pPr>
    </w:p>
    <w:p>
      <w:pPr>
        <w:ind w:firstLine="569"/>
        <w:spacing w:after="0" w:line="286" w:lineRule="auto"/>
        <w:rPr>
          <w:sz w:val="20"/>
          <w:szCs w:val="20"/>
          <w:color w:val="auto"/>
        </w:rPr>
      </w:pPr>
      <w:r>
        <w:rPr>
          <w:rFonts w:ascii="Arial" w:cs="Arial" w:eastAsia="Arial" w:hAnsi="Arial"/>
          <w:sz w:val="17"/>
          <w:szCs w:val="17"/>
          <w:color w:val="auto"/>
        </w:rPr>
        <w:t>How long the pandemic, and measures intended to contain the spread of COVID-19, will continue remains uncertain and depends on ongoing developments, including but not limited to any resurgences of the virus including emerging variant strains such as the Delta variant, federal, state and local government actions taken in response, and continued availability, effectiveness and public acceptance of COVID-19 vaccines. Additionally, the duration and severity of disruptions in the global supply chain, largely driven by high demand as the economy reopens and the ongoing impact of the pandemic, also remain uncertain and depend on various factors, including the effectiveness of recent government actions intended to mitigate these disruptions. As a result, we cannot predict what effect COVID-19, the associated containment measures and the related supply chain disruptions will ultimately have on our business and results of operations, or on our suppliers and vendors, in particular for any of our suppliers and vendors that may not qualify as essential businesses and suffer more significant or lengthier disruptions to their business operations.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2021 and 2020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gridSpan w:val="10"/>
          </w:tcPr>
          <w:p>
            <w:pPr>
              <w:jc w:val="right"/>
              <w:ind w:right="560"/>
              <w:spacing w:after="0"/>
              <w:rPr>
                <w:sz w:val="20"/>
                <w:szCs w:val="20"/>
                <w:color w:val="auto"/>
              </w:rPr>
            </w:pPr>
            <w:r>
              <w:rPr>
                <w:rFonts w:ascii="Arial" w:cs="Arial" w:eastAsia="Arial" w:hAnsi="Arial"/>
                <w:sz w:val="18"/>
                <w:szCs w:val="18"/>
                <w:b w:val="1"/>
                <w:bCs w:val="1"/>
                <w:color w:val="auto"/>
                <w:w w:val="90"/>
              </w:rPr>
              <w:t>Nine Months Ended</w:t>
            </w:r>
          </w:p>
        </w:tc>
      </w:tr>
      <w:tr>
        <w:trPr>
          <w:trHeight w:val="263"/>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29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Product revenue</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21,824</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10,812</w:t>
            </w:r>
          </w:p>
        </w:tc>
        <w:tc>
          <w:tcPr>
            <w:tcW w:w="120" w:type="dxa"/>
            <w:vAlign w:val="bottom"/>
          </w:tcPr>
          <w:p>
            <w:pPr>
              <w:spacing w:after="0"/>
              <w:rPr>
                <w:sz w:val="21"/>
                <w:szCs w:val="21"/>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26,435</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29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Service and other revenue</w:t>
            </w: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26,318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74,450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32,688</w:t>
            </w:r>
          </w:p>
        </w:tc>
        <w:tc>
          <w:tcPr>
            <w:tcW w:w="100" w:type="dxa"/>
            <w:vAlign w:val="bottom"/>
          </w:tcPr>
          <w:p>
            <w:pPr>
              <w:spacing w:after="0"/>
              <w:rPr>
                <w:sz w:val="21"/>
                <w:szCs w:val="21"/>
                <w:color w:val="auto"/>
              </w:rPr>
            </w:pPr>
          </w:p>
        </w:tc>
      </w:tr>
      <w:tr>
        <w:trPr>
          <w:trHeight w:val="263"/>
        </w:trPr>
        <w:tc>
          <w:tcPr>
            <w:tcW w:w="29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6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20,526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63,180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29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w w:val="99"/>
              </w:rPr>
              <w:t>Cost of service and other revenue</w:t>
            </w: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23,372</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46,142</w:t>
            </w:r>
          </w:p>
        </w:tc>
        <w:tc>
          <w:tcPr>
            <w:tcW w:w="100" w:type="dxa"/>
            <w:vAlign w:val="bottom"/>
          </w:tcPr>
          <w:p>
            <w:pPr>
              <w:spacing w:after="0"/>
              <w:rPr>
                <w:sz w:val="21"/>
                <w:szCs w:val="21"/>
                <w:color w:val="auto"/>
              </w:rPr>
            </w:pPr>
          </w:p>
        </w:tc>
      </w:tr>
      <w:tr>
        <w:trPr>
          <w:trHeight w:val="256"/>
        </w:trPr>
        <w:tc>
          <w:tcPr>
            <w:tcW w:w="20" w:type="dxa"/>
            <w:vAlign w:val="bottom"/>
            <w:shd w:val="clear" w:color="auto" w:fill="CFF0FC"/>
          </w:tcPr>
          <w:p>
            <w:pPr>
              <w:spacing w:after="0"/>
              <w:rPr>
                <w:sz w:val="22"/>
                <w:szCs w:val="22"/>
                <w:color w:val="auto"/>
              </w:rPr>
            </w:pPr>
          </w:p>
        </w:tc>
        <w:tc>
          <w:tcPr>
            <w:tcW w:w="2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(5,126 )</w:t>
            </w:r>
          </w:p>
        </w:tc>
        <w:tc>
          <w:tcPr>
            <w:tcW w:w="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(13,454 )</w:t>
            </w:r>
          </w:p>
        </w:tc>
      </w:tr>
      <w:tr>
        <w:trPr>
          <w:trHeight w:val="250"/>
        </w:trPr>
        <w:tc>
          <w:tcPr>
            <w:tcW w:w="292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29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9,175</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25,331</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21,066</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15,726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29,870</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29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26,597</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21,462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33,084</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35,607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94,007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72,398</w:t>
            </w:r>
          </w:p>
        </w:tc>
        <w:tc>
          <w:tcPr>
            <w:tcW w:w="100" w:type="dxa"/>
            <w:vAlign w:val="bottom"/>
          </w:tcPr>
          <w:p>
            <w:pPr>
              <w:spacing w:after="0"/>
              <w:rPr>
                <w:sz w:val="21"/>
                <w:szCs w:val="21"/>
                <w:color w:val="auto"/>
              </w:rPr>
            </w:pPr>
          </w:p>
        </w:tc>
      </w:tr>
      <w:tr>
        <w:trPr>
          <w:trHeight w:val="257"/>
        </w:trPr>
        <w:tc>
          <w:tcPr>
            <w:tcW w:w="29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(30,138 )</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(40,733 )</w:t>
            </w:r>
          </w:p>
        </w:tc>
        <w:tc>
          <w:tcPr>
            <w:tcW w:w="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9"/>
              </w:rPr>
              <w:t>(89,720 )</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(85,852 )</w:t>
            </w:r>
          </w:p>
        </w:tc>
      </w:tr>
      <w:tr>
        <w:trPr>
          <w:trHeight w:val="250"/>
        </w:trPr>
        <w:tc>
          <w:tcPr>
            <w:tcW w:w="20" w:type="dxa"/>
            <w:vAlign w:val="bottom"/>
          </w:tcPr>
          <w:p>
            <w:pPr>
              <w:spacing w:after="0"/>
              <w:rPr>
                <w:sz w:val="21"/>
                <w:szCs w:val="21"/>
                <w:color w:val="auto"/>
              </w:rPr>
            </w:pPr>
          </w:p>
        </w:tc>
        <w:tc>
          <w:tcPr>
            <w:tcW w:w="4100" w:type="dxa"/>
            <w:vAlign w:val="bottom"/>
            <w:gridSpan w:val="4"/>
          </w:tcPr>
          <w:p>
            <w:pPr>
              <w:ind w:left="180"/>
              <w:spacing w:after="0"/>
              <w:rPr>
                <w:sz w:val="20"/>
                <w:szCs w:val="20"/>
                <w:color w:val="auto"/>
              </w:rPr>
            </w:pPr>
            <w:r>
              <w:rPr>
                <w:rFonts w:ascii="Arial" w:cs="Arial" w:eastAsia="Arial" w:hAnsi="Arial"/>
                <w:sz w:val="18"/>
                <w:szCs w:val="18"/>
                <w:color w:val="auto"/>
              </w:rPr>
              <w:t>Interest income and other income (expense), net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29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(431 )</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(428 )</w:t>
            </w:r>
          </w:p>
        </w:tc>
        <w:tc>
          <w:tcPr>
            <w:tcW w:w="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(1,284 )</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(2,461 )</w:t>
            </w:r>
          </w:p>
        </w:tc>
      </w:tr>
      <w:tr>
        <w:trPr>
          <w:trHeight w:val="242"/>
        </w:trPr>
        <w:tc>
          <w:tcPr>
            <w:tcW w:w="20" w:type="dxa"/>
            <w:vAlign w:val="bottom"/>
          </w:tcPr>
          <w:p>
            <w:pPr>
              <w:spacing w:after="0"/>
              <w:rPr>
                <w:sz w:val="21"/>
                <w:szCs w:val="21"/>
                <w:color w:val="auto"/>
              </w:rPr>
            </w:pPr>
          </w:p>
        </w:tc>
        <w:tc>
          <w:tcPr>
            <w:tcW w:w="5140" w:type="dxa"/>
            <w:vAlign w:val="bottom"/>
            <w:gridSpan w:val="7"/>
          </w:tcPr>
          <w:p>
            <w:pPr>
              <w:ind w:left="180"/>
              <w:spacing w:after="0"/>
              <w:rPr>
                <w:sz w:val="20"/>
                <w:szCs w:val="20"/>
                <w:color w:val="auto"/>
              </w:rPr>
            </w:pPr>
            <w:r>
              <w:rPr>
                <w:rFonts w:ascii="Arial" w:cs="Arial" w:eastAsia="Arial" w:hAnsi="Arial"/>
                <w:sz w:val="18"/>
                <w:szCs w:val="18"/>
                <w:color w:val="auto"/>
                <w:w w:val="99"/>
              </w:rPr>
              <w:t>Change in fair value of redeemable convertible preferred stock</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gridSpan w:val="2"/>
          </w:tcPr>
          <w:p>
            <w:pPr>
              <w:ind w:left="32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(93 )</w:t>
            </w:r>
          </w:p>
        </w:tc>
      </w:tr>
      <w:tr>
        <w:trPr>
          <w:trHeight w:val="257"/>
        </w:trPr>
        <w:tc>
          <w:tcPr>
            <w:tcW w:w="20" w:type="dxa"/>
            <w:vAlign w:val="bottom"/>
            <w:shd w:val="clear" w:color="auto" w:fill="CFF0FC"/>
          </w:tcPr>
          <w:p>
            <w:pPr>
              <w:spacing w:after="0"/>
              <w:rPr>
                <w:sz w:val="22"/>
                <w:szCs w:val="22"/>
                <w:color w:val="auto"/>
              </w:rPr>
            </w:pPr>
          </w:p>
        </w:tc>
        <w:tc>
          <w:tcPr>
            <w:tcW w:w="29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3"/>
              </w:rPr>
              <w:t>Loss on extinguishment of term loan</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(1,567 )</w:t>
            </w:r>
          </w:p>
        </w:tc>
        <w:tc>
          <w:tcPr>
            <w:tcW w:w="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(1,567 )</w:t>
            </w:r>
          </w:p>
        </w:tc>
      </w:tr>
      <w:tr>
        <w:trPr>
          <w:trHeight w:val="20"/>
        </w:trPr>
        <w:tc>
          <w:tcPr>
            <w:tcW w:w="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2920" w:type="dxa"/>
            <w:vAlign w:val="bottom"/>
            <w:gridSpan w:val="3"/>
          </w:tcPr>
          <w:p>
            <w:pPr>
              <w:ind w:left="20"/>
              <w:spacing w:after="0"/>
              <w:rPr>
                <w:sz w:val="20"/>
                <w:szCs w:val="20"/>
                <w:color w:val="auto"/>
              </w:rPr>
            </w:pPr>
            <w:r>
              <w:rPr>
                <w:rFonts w:ascii="Arial" w:cs="Arial" w:eastAsia="Arial" w:hAnsi="Arial"/>
                <w:sz w:val="18"/>
                <w:szCs w:val="18"/>
                <w:color w:val="auto"/>
                <w:w w:val="93"/>
              </w:rPr>
              <w:t>Loss before provision for income taxes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(30,470 )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(42,294 )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(90,629 )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(89,449 )</w:t>
            </w:r>
          </w:p>
        </w:tc>
      </w:tr>
      <w:tr>
        <w:trPr>
          <w:trHeight w:val="257"/>
        </w:trPr>
        <w:tc>
          <w:tcPr>
            <w:tcW w:w="29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92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(30,470 )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(42,294 )</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(90,703 )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(89,449 )</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1"/>
        </w:trPr>
        <w:tc>
          <w:tcPr>
            <w:tcW w:w="6200" w:type="dxa"/>
            <w:vAlign w:val="bottom"/>
            <w:gridSpan w:val="11"/>
          </w:tcPr>
          <w:p>
            <w:pPr>
              <w:spacing w:after="0"/>
              <w:rPr>
                <w:sz w:val="20"/>
                <w:szCs w:val="20"/>
                <w:color w:val="auto"/>
              </w:rPr>
            </w:pPr>
            <w:r>
              <w:rPr>
                <w:rFonts w:ascii="Arial" w:cs="Arial" w:eastAsia="Arial" w:hAnsi="Arial"/>
                <w:sz w:val="18"/>
                <w:szCs w:val="18"/>
                <w:b w:val="1"/>
                <w:bCs w:val="1"/>
                <w:i w:val="1"/>
                <w:iCs w:val="1"/>
                <w:color w:val="auto"/>
                <w:w w:val="91"/>
              </w:rPr>
              <w:t>Comparison of the Three and Nine Months Ended September 30, 2021 and 2020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2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Three Months Ended</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4"/>
              </w:rPr>
              <w:t>Nine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6"/>
              </w:rPr>
              <w:t>Change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87"/>
              </w:rPr>
              <w:t>Change</w:t>
            </w:r>
          </w:p>
        </w:tc>
        <w:tc>
          <w:tcPr>
            <w:tcW w:w="240" w:type="dxa"/>
            <w:vAlign w:val="bottom"/>
            <w:gridSpan w:val="2"/>
          </w:tcPr>
          <w:p>
            <w:pPr>
              <w:spacing w:after="0"/>
              <w:rPr>
                <w:sz w:val="20"/>
                <w:szCs w:val="20"/>
                <w:color w:val="auto"/>
              </w:rPr>
            </w:pPr>
          </w:p>
        </w:tc>
      </w:tr>
      <w:tr>
        <w:trPr>
          <w:trHeight w:val="216"/>
        </w:trPr>
        <w:tc>
          <w:tcPr>
            <w:tcW w:w="292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w w:val="84"/>
              </w:rPr>
              <w:t>2020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2020</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Product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21,824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10,812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11,012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102 %</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60,662</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26,435</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  34,227</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129 %</w:t>
            </w: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29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Service and other revenue</w:t>
            </w:r>
          </w:p>
        </w:tc>
        <w:tc>
          <w:tcPr>
            <w:tcW w:w="1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0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0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53 %</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0"/>
              </w:rPr>
              <w:t>13,788</w:t>
            </w:r>
          </w:p>
        </w:tc>
        <w:tc>
          <w:tcPr>
            <w:tcW w:w="26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CFF0FC"/>
            </w:tcBorders>
            <w:gridSpan w:val="5"/>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1100" w:type="dxa"/>
            <w:vAlign w:val="bottom"/>
            <w:tcBorders>
              <w:bottom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121 %</w:t>
            </w:r>
          </w:p>
        </w:tc>
      </w:tr>
      <w:tr>
        <w:trPr>
          <w:trHeight w:val="250"/>
        </w:trPr>
        <w:tc>
          <w:tcPr>
            <w:tcW w:w="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26,318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13,756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12,562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74,450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32,688</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41,762</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128 %</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-5156835</wp:posOffset>
            </wp:positionV>
            <wp:extent cx="1543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-5156835</wp:posOffset>
            </wp:positionV>
            <wp:extent cx="16319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-5156835</wp:posOffset>
            </wp:positionV>
            <wp:extent cx="13716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-5156835</wp:posOffset>
            </wp:positionV>
            <wp:extent cx="596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-4497070</wp:posOffset>
            </wp:positionV>
            <wp:extent cx="15430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-4497070</wp:posOffset>
            </wp:positionV>
            <wp:extent cx="16319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-4497070</wp:posOffset>
            </wp:positionV>
            <wp:extent cx="13716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-4497070</wp:posOffset>
            </wp:positionV>
            <wp:extent cx="5969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-3502660</wp:posOffset>
            </wp:positionV>
            <wp:extent cx="1543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-3502660</wp:posOffset>
            </wp:positionV>
            <wp:extent cx="16319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-3502660</wp:posOffset>
            </wp:positionV>
            <wp:extent cx="1371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-3502660</wp:posOffset>
            </wp:positionV>
            <wp:extent cx="5969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-2362200</wp:posOffset>
            </wp:positionV>
            <wp:extent cx="15430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-2362200</wp:posOffset>
            </wp:positionV>
            <wp:extent cx="16319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-2362200</wp:posOffset>
            </wp:positionV>
            <wp:extent cx="13716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-2362200</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-2028190</wp:posOffset>
            </wp:positionV>
            <wp:extent cx="15430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-2028190</wp:posOffset>
            </wp:positionV>
            <wp:extent cx="16319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-2028190</wp:posOffset>
            </wp:positionV>
            <wp:extent cx="13716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-2028190</wp:posOffset>
            </wp:positionV>
            <wp:extent cx="596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-193675</wp:posOffset>
            </wp:positionV>
            <wp:extent cx="17145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-193675</wp:posOffset>
            </wp:positionV>
            <wp:extent cx="17145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-193675</wp:posOffset>
            </wp:positionV>
            <wp:extent cx="15430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-193675</wp:posOffset>
            </wp:positionV>
            <wp:extent cx="15430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87" w:lineRule="exact"/>
        <w:rPr>
          <w:sz w:val="20"/>
          <w:szCs w:val="20"/>
          <w:color w:val="auto"/>
        </w:rPr>
      </w:pPr>
    </w:p>
    <w:p>
      <w:pPr>
        <w:ind w:right="80" w:firstLine="569"/>
        <w:spacing w:after="0" w:line="319" w:lineRule="auto"/>
        <w:rPr>
          <w:sz w:val="20"/>
          <w:szCs w:val="20"/>
          <w:color w:val="auto"/>
        </w:rPr>
      </w:pPr>
      <w:r>
        <w:rPr>
          <w:rFonts w:ascii="Arial" w:cs="Arial" w:eastAsia="Arial" w:hAnsi="Arial"/>
          <w:sz w:val="16"/>
          <w:szCs w:val="16"/>
          <w:color w:val="auto"/>
        </w:rPr>
        <w:t>Product revenue increased by $11.0 million, or 102% for the three months ended September 30, 2021 as compared to the three months ended September 30, 2020, driven by a $6.4 million increase in consoles revenue and a $4.6 million increase in consumables revenue. The increase in consoles revenue was driven by new customer adoption, fleet expansion across existing customer sites, and higher average selling prices and a $0.7 million increase in console leasing revenue. The increase in consumables revenue was driven by the growth in our console installed base.</w:t>
      </w:r>
    </w:p>
    <w:p>
      <w:pPr>
        <w:spacing w:after="0" w:line="48" w:lineRule="exact"/>
        <w:rPr>
          <w:sz w:val="20"/>
          <w:szCs w:val="20"/>
          <w:color w:val="auto"/>
        </w:rPr>
      </w:pPr>
    </w:p>
    <w:p>
      <w:pPr>
        <w:ind w:right="160" w:firstLine="569"/>
        <w:spacing w:after="0" w:line="319" w:lineRule="auto"/>
        <w:rPr>
          <w:sz w:val="20"/>
          <w:szCs w:val="20"/>
          <w:color w:val="auto"/>
        </w:rPr>
      </w:pPr>
      <w:r>
        <w:rPr>
          <w:rFonts w:ascii="Arial" w:cs="Arial" w:eastAsia="Arial" w:hAnsi="Arial"/>
          <w:sz w:val="16"/>
          <w:szCs w:val="16"/>
          <w:color w:val="auto"/>
        </w:rPr>
        <w:t>Product revenue increased by $34.2 million, or 129% for the nine months ended September 30, 2021 as compared to the nine months ended September 30, 2020, driven by a $24.8 million increase in consoles revenue and a $9.4 million increase in consumables revenue. The increase in consoles revenue was driven by new customer adoption, fleet expansion across existing customer sites, higher average selling prices and a $2.0 million increase in console leasing revenue. The increase in consumables revenue was driven by the growth in our console installed base.</w:t>
      </w:r>
    </w:p>
    <w:p>
      <w:pPr>
        <w:spacing w:after="0" w:line="48" w:lineRule="exact"/>
        <w:rPr>
          <w:sz w:val="20"/>
          <w:szCs w:val="20"/>
          <w:color w:val="auto"/>
        </w:rPr>
      </w:pPr>
    </w:p>
    <w:p>
      <w:pPr>
        <w:ind w:right="80" w:firstLine="569"/>
        <w:spacing w:after="0" w:line="359" w:lineRule="auto"/>
        <w:rPr>
          <w:sz w:val="20"/>
          <w:szCs w:val="20"/>
          <w:color w:val="auto"/>
        </w:rPr>
      </w:pPr>
      <w:r>
        <w:rPr>
          <w:rFonts w:ascii="Arial" w:cs="Arial" w:eastAsia="Arial" w:hAnsi="Arial"/>
          <w:sz w:val="16"/>
          <w:szCs w:val="16"/>
          <w:color w:val="auto"/>
        </w:rPr>
        <w:t>Service and other revenue increased for the three and nine months ended September 30, 2021 from the three and nine months ended September 30, 2020. The increase was primarily due to services associated with the growth in our console installed base, including leased consoles.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0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8"/>
              </w:rPr>
              <w:t>Cost of Revenue, Gross Profit and Gross Margin</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Three Months Ended</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b w:val="1"/>
                <w:bCs w:val="1"/>
                <w:color w:val="auto"/>
                <w:w w:val="93"/>
              </w:rPr>
              <w:t>Change</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330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2021</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20,526</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17,265</w:t>
            </w:r>
          </w:p>
        </w:tc>
        <w:tc>
          <w:tcPr>
            <w:tcW w:w="3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3,261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63,180</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42,118</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21,062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50 %</w:t>
            </w: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32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Cost of service and other revenue</w:t>
            </w:r>
          </w:p>
        </w:tc>
        <w:tc>
          <w:tcPr>
            <w:tcW w:w="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88"/>
              </w:rPr>
              <w:t>1,229</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74 %</w:t>
            </w:r>
          </w:p>
        </w:tc>
      </w:tr>
      <w:tr>
        <w:trPr>
          <w:trHeight w:val="250"/>
        </w:trPr>
        <w:tc>
          <w:tcPr>
            <w:tcW w:w="20" w:type="dxa"/>
            <w:vAlign w:val="bottom"/>
          </w:tcPr>
          <w:p>
            <w:pPr>
              <w:spacing w:after="0"/>
              <w:rPr>
                <w:sz w:val="21"/>
                <w:szCs w:val="21"/>
                <w:color w:val="auto"/>
              </w:rPr>
            </w:pPr>
          </w:p>
        </w:tc>
        <w:tc>
          <w:tcPr>
            <w:tcW w:w="328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23,372</w:t>
            </w:r>
          </w:p>
        </w:tc>
        <w:tc>
          <w:tcPr>
            <w:tcW w:w="2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88"/>
              </w:rPr>
              <w:t>4,490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70,163</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24,021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52 %</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328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(5,126 )</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8,072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157 %</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(13,454 )</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17,741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132 %</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540"/>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11.2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 xml:space="preserve">(37.3 ) </w:t>
            </w: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 xml:space="preserve">(41.2 ) </w:t>
            </w: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-510540</wp:posOffset>
            </wp:positionV>
            <wp:extent cx="17970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-510540</wp:posOffset>
            </wp:positionV>
            <wp:extent cx="18859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-510540</wp:posOffset>
            </wp:positionV>
            <wp:extent cx="16319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-510540</wp:posOffset>
            </wp:positionV>
            <wp:extent cx="17145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01" w:lineRule="exact"/>
        <w:rPr>
          <w:sz w:val="20"/>
          <w:szCs w:val="20"/>
          <w:color w:val="auto"/>
        </w:rPr>
      </w:pPr>
    </w:p>
    <w:p>
      <w:pPr>
        <w:ind w:right="20" w:firstLine="569"/>
        <w:spacing w:after="0" w:line="279" w:lineRule="auto"/>
        <w:rPr>
          <w:sz w:val="20"/>
          <w:szCs w:val="20"/>
          <w:color w:val="auto"/>
        </w:rPr>
      </w:pPr>
      <w:r>
        <w:rPr>
          <w:rFonts w:ascii="Arial" w:cs="Arial" w:eastAsia="Arial" w:hAnsi="Arial"/>
          <w:sz w:val="18"/>
          <w:szCs w:val="18"/>
          <w:color w:val="auto"/>
        </w:rPr>
        <w:t>Cost of product revenue increased by $3.3 million, or 19% for the three months ended September 30, 2021 as compared to the three months ended September 30, 2020. This increase was primarily due to higher console and consumable volume of $8.9 million. This was offset by a $4.1 million reduction in product costs and a $1.5 million decrease in manufacturing overhead.</w:t>
      </w:r>
    </w:p>
    <w:p>
      <w:pPr>
        <w:spacing w:after="0" w:line="75" w:lineRule="exact"/>
        <w:rPr>
          <w:sz w:val="20"/>
          <w:szCs w:val="20"/>
          <w:color w:val="auto"/>
        </w:rPr>
      </w:pPr>
    </w:p>
    <w:p>
      <w:pPr>
        <w:ind w:right="140" w:firstLine="569"/>
        <w:spacing w:after="0" w:line="329" w:lineRule="auto"/>
        <w:rPr>
          <w:sz w:val="20"/>
          <w:szCs w:val="20"/>
          <w:color w:val="auto"/>
        </w:rPr>
      </w:pPr>
      <w:r>
        <w:rPr>
          <w:rFonts w:ascii="Arial" w:cs="Arial" w:eastAsia="Arial" w:hAnsi="Arial"/>
          <w:sz w:val="16"/>
          <w:szCs w:val="16"/>
          <w:color w:val="auto"/>
        </w:rPr>
        <w:t>Cost of product revenue increased by $21.1 million, or 50% for the nine months ended September 30, 2021 as compared to the nine months ended September 30, 2020. This increase was primarily due to higher console and consumable volume of $36.1 million and higher depreciation expense for leased consoles of $0.5 million. This was offset by a $14.2 million reduction in product costs and a $1.4 million decrease in manufacturing overhead.</w:t>
      </w:r>
    </w:p>
    <w:p>
      <w:pPr>
        <w:spacing w:after="0" w:line="40" w:lineRule="exact"/>
        <w:rPr>
          <w:sz w:val="20"/>
          <w:szCs w:val="20"/>
          <w:color w:val="auto"/>
        </w:rPr>
      </w:pPr>
    </w:p>
    <w:p>
      <w:pPr>
        <w:ind w:right="40" w:firstLine="569"/>
        <w:spacing w:after="0" w:line="279" w:lineRule="auto"/>
        <w:rPr>
          <w:sz w:val="20"/>
          <w:szCs w:val="20"/>
          <w:color w:val="auto"/>
        </w:rPr>
      </w:pPr>
      <w:r>
        <w:rPr>
          <w:rFonts w:ascii="Arial" w:cs="Arial" w:eastAsia="Arial" w:hAnsi="Arial"/>
          <w:sz w:val="18"/>
          <w:szCs w:val="18"/>
          <w:color w:val="auto"/>
        </w:rPr>
        <w:t>Cost of service and other revenue increased for the three and nine months ended September 30, 2021 as compared to the three and nine months ended September 30, 2020. This increase was primarily due to additional headcount costs in our service department, which were absorbed across our larger installed base.</w:t>
      </w:r>
    </w:p>
    <w:p>
      <w:pPr>
        <w:spacing w:after="0" w:line="75" w:lineRule="exact"/>
        <w:rPr>
          <w:sz w:val="20"/>
          <w:szCs w:val="20"/>
          <w:color w:val="auto"/>
        </w:rPr>
      </w:pPr>
    </w:p>
    <w:p>
      <w:pPr>
        <w:ind w:right="80" w:firstLine="569"/>
        <w:spacing w:after="0" w:line="329" w:lineRule="auto"/>
        <w:rPr>
          <w:sz w:val="20"/>
          <w:szCs w:val="20"/>
          <w:color w:val="auto"/>
        </w:rPr>
      </w:pPr>
      <w:r>
        <w:rPr>
          <w:rFonts w:ascii="Arial" w:cs="Arial" w:eastAsia="Arial" w:hAnsi="Arial"/>
          <w:sz w:val="16"/>
          <w:szCs w:val="16"/>
          <w:color w:val="auto"/>
        </w:rPr>
        <w:t>Gross profit increased by $8.1 million, or 157% for the three months ended September 30, 2021 as compared to the three months ended September 30, 2020. The gross margin percentage improved by 48.5 percentage points for the three months ended September 30, 2021, as compared to the three months ended September 30, 2020, driven primarily by the impact of our cost reduction activities and higher average selling prices.</w:t>
      </w:r>
    </w:p>
    <w:p>
      <w:pPr>
        <w:spacing w:after="0" w:line="40" w:lineRule="exact"/>
        <w:rPr>
          <w:sz w:val="20"/>
          <w:szCs w:val="20"/>
          <w:color w:val="auto"/>
        </w:rPr>
      </w:pPr>
    </w:p>
    <w:p>
      <w:pPr>
        <w:jc w:val="both"/>
        <w:ind w:right="20" w:firstLine="569"/>
        <w:spacing w:after="0" w:line="329" w:lineRule="auto"/>
        <w:rPr>
          <w:sz w:val="20"/>
          <w:szCs w:val="20"/>
          <w:color w:val="auto"/>
        </w:rPr>
      </w:pPr>
      <w:r>
        <w:rPr>
          <w:rFonts w:ascii="Arial" w:cs="Arial" w:eastAsia="Arial" w:hAnsi="Arial"/>
          <w:sz w:val="16"/>
          <w:szCs w:val="16"/>
          <w:color w:val="auto"/>
        </w:rPr>
        <w:t>Gross profit increased by $17.7 million, or 132% for the nine months ended September 30, 2021 as compared to the nine months ended September 30, 2020. The gross margin percentage improved by 47.0 percentage points for the nine months ended September 30, 2021, as compared to the nine months ended September 30, 2020, driven primarily by the impact of our cost reduction activities and higher average selling prices.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4"/>
              </w:rPr>
              <w:t>Three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4"/>
              </w:rPr>
              <w:t>Nine Months Ended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3"/>
              </w:rPr>
              <w:t>Change</w:t>
            </w:r>
          </w:p>
        </w:tc>
        <w:tc>
          <w:tcPr>
            <w:tcW w:w="4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0"/>
              </w:rPr>
              <w:t>Change</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2020</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25,331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4,265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r>
      <w:tr>
        <w:trPr>
          <w:trHeight w:val="263"/>
        </w:trPr>
        <w:tc>
          <w:tcPr>
            <w:tcW w:w="20" w:type="dxa"/>
            <w:vAlign w:val="bottom"/>
            <w:shd w:val="clear" w:color="auto" w:fill="CFF0FC"/>
          </w:tcPr>
          <w:p>
            <w:pPr>
              <w:spacing w:after="0"/>
              <w:rPr>
                <w:sz w:val="22"/>
                <w:szCs w:val="22"/>
                <w:color w:val="auto"/>
              </w:rPr>
            </w:pPr>
          </w:p>
        </w:tc>
        <w:tc>
          <w:tcPr>
            <w:tcW w:w="3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42,079</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12,209</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41 %</w:t>
            </w:r>
          </w:p>
        </w:tc>
      </w:tr>
      <w:tr>
        <w:trPr>
          <w:trHeight w:val="256"/>
        </w:trPr>
        <w:tc>
          <w:tcPr>
            <w:tcW w:w="20" w:type="dxa"/>
            <w:vAlign w:val="bottom"/>
          </w:tcPr>
          <w:p>
            <w:pPr>
              <w:spacing w:after="0"/>
              <w:rPr>
                <w:sz w:val="22"/>
                <w:szCs w:val="22"/>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(5,459 )</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(42 )%</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26,597</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5,135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332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35,607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(2,523 )</w:t>
            </w:r>
          </w:p>
        </w:tc>
        <w:tc>
          <w:tcPr>
            <w:tcW w:w="1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72,398</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21,609</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-25400</wp:posOffset>
            </wp:positionV>
            <wp:extent cx="1625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-8255</wp:posOffset>
            </wp:positionV>
            <wp:extent cx="1625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1631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1631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1460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1460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15430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15430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87" w:lineRule="exact"/>
        <w:rPr>
          <w:sz w:val="20"/>
          <w:szCs w:val="20"/>
          <w:color w:val="auto"/>
        </w:rPr>
      </w:pPr>
    </w:p>
    <w:p>
      <w:pPr>
        <w:ind w:right="80" w:firstLine="569"/>
        <w:spacing w:after="0" w:line="272" w:lineRule="auto"/>
        <w:rPr>
          <w:sz w:val="20"/>
          <w:szCs w:val="20"/>
          <w:color w:val="auto"/>
        </w:rPr>
      </w:pPr>
      <w:r>
        <w:rPr>
          <w:rFonts w:ascii="Arial" w:cs="Arial" w:eastAsia="Arial" w:hAnsi="Arial"/>
          <w:sz w:val="18"/>
          <w:szCs w:val="18"/>
          <w:color w:val="auto"/>
        </w:rPr>
        <w:t>Research and development expenses increased by $0.6 million, or 6% for the three months ended September 30, 2021 as compared to the three months ended September 30, 2020. The increase was primarily due to a $1.7 million increase in consulting services. The increase was partially offset by a $1.2 million net decrease in compensation and personnel costs, which includes a $1.1 million increase in compensation offset by a $2.3 million decrease in stock-based compensation expense due to the one-time cumulative expense related to stock options with performance and market-based vesting conditions in 2020.</w:t>
      </w:r>
    </w:p>
    <w:p>
      <w:pPr>
        <w:spacing w:after="0" w:line="83" w:lineRule="exact"/>
        <w:rPr>
          <w:sz w:val="20"/>
          <w:szCs w:val="20"/>
          <w:color w:val="auto"/>
        </w:rPr>
      </w:pPr>
    </w:p>
    <w:p>
      <w:pPr>
        <w:ind w:right="220" w:firstLine="569"/>
        <w:spacing w:after="0" w:line="292" w:lineRule="auto"/>
        <w:rPr>
          <w:sz w:val="20"/>
          <w:szCs w:val="20"/>
          <w:color w:val="auto"/>
        </w:rPr>
      </w:pPr>
      <w:r>
        <w:rPr>
          <w:rFonts w:ascii="Arial" w:cs="Arial" w:eastAsia="Arial" w:hAnsi="Arial"/>
          <w:sz w:val="17"/>
          <w:szCs w:val="17"/>
          <w:color w:val="auto"/>
        </w:rPr>
        <w:t>Research and development expenses increased by $4.3 million, or 20% for the nine months ended September 30, 2021 as compared to the nine months ended September 30, 2020. The increase was primarily due to a $2.6 million increase in consulting services and a $2.0 million net increase in compensation and personnel costs which includes a $2.8 million increase in compensation offset by a $0.8 million decrease in stock-based compensation expense due to the one-time cumulative expense related to stock options with performance and market-based vesting conditions in 2020. The increases were partially offset by a $0.3 million decrease in supplies and materials.</w:t>
      </w:r>
    </w:p>
    <w:p>
      <w:pPr>
        <w:spacing w:after="0" w:line="66" w:lineRule="exact"/>
        <w:rPr>
          <w:sz w:val="20"/>
          <w:szCs w:val="20"/>
          <w:color w:val="auto"/>
        </w:rPr>
      </w:pPr>
    </w:p>
    <w:p>
      <w:pPr>
        <w:ind w:right="180" w:firstLine="569"/>
        <w:spacing w:after="0" w:line="293" w:lineRule="auto"/>
        <w:rPr>
          <w:sz w:val="20"/>
          <w:szCs w:val="20"/>
          <w:color w:val="auto"/>
        </w:rPr>
      </w:pPr>
      <w:r>
        <w:rPr>
          <w:rFonts w:ascii="Arial" w:cs="Arial" w:eastAsia="Arial" w:hAnsi="Arial"/>
          <w:sz w:val="18"/>
          <w:szCs w:val="18"/>
          <w:color w:val="auto"/>
        </w:rPr>
        <w:t>Sales and marketing expenses increased by $2.4 million, or 18% for the three months ended September 30, 2021 as compared to the three months ended September 30, 2020. The increase was primarily due to a $1.0 million net increase in compensation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right="60"/>
        <w:spacing w:after="0" w:line="296" w:lineRule="auto"/>
        <w:rPr>
          <w:sz w:val="20"/>
          <w:szCs w:val="20"/>
          <w:color w:val="auto"/>
        </w:rPr>
      </w:pPr>
      <w:r>
        <w:rPr>
          <w:rFonts w:ascii="Arial" w:cs="Arial" w:eastAsia="Arial" w:hAnsi="Arial"/>
          <w:sz w:val="17"/>
          <w:szCs w:val="17"/>
          <w:color w:val="auto"/>
        </w:rPr>
        <w:t>personnel costs, which includes a $2.4 million increase in compensation offset by a $1.4 million decrease in stock-based compensation expense due to the one-time cumulative expense related to stock options with performance and market-based vesting conditions in 2020, a $0.6 million increase in travel expenses, a $0.5 million increase in allocated costs for facilities and information technology to support the general expansion of our operations, a $0.1 million increase in freight expenses and a $0.1 million increase in clinical sales consulting services.</w:t>
      </w:r>
    </w:p>
    <w:p>
      <w:pPr>
        <w:spacing w:after="0" w:line="62" w:lineRule="exact"/>
        <w:rPr>
          <w:sz w:val="20"/>
          <w:szCs w:val="20"/>
          <w:color w:val="auto"/>
        </w:rPr>
      </w:pPr>
    </w:p>
    <w:p>
      <w:pPr>
        <w:ind w:right="100" w:firstLine="569"/>
        <w:spacing w:after="0" w:line="272" w:lineRule="auto"/>
        <w:rPr>
          <w:sz w:val="20"/>
          <w:szCs w:val="20"/>
          <w:color w:val="auto"/>
        </w:rPr>
      </w:pPr>
      <w:r>
        <w:rPr>
          <w:rFonts w:ascii="Arial" w:cs="Arial" w:eastAsia="Arial" w:hAnsi="Arial"/>
          <w:sz w:val="18"/>
          <w:szCs w:val="18"/>
          <w:color w:val="auto"/>
        </w:rPr>
        <w:t>Sales and marketing expenses increased by $12.2 million, or 41% for the nine months ended September 30, 2021 as compared to the nine months ended September 30, 2020. The increase was primarily due to a $7.9 million increase in compensation and personnel costs, which includes a $1.2 million increase in stock-based compensation expense, a $2.1 million increase in clinical sales consultant services, a $1.0 million increase in allocated costs for facilities and information technology to support the general expansion of our operations, a $0.8 million increase in travel expenses and a $0.3 million increase in freight expenses.</w:t>
      </w:r>
    </w:p>
    <w:p>
      <w:pPr>
        <w:spacing w:after="0" w:line="83" w:lineRule="exact"/>
        <w:rPr>
          <w:sz w:val="20"/>
          <w:szCs w:val="20"/>
          <w:color w:val="auto"/>
        </w:rPr>
      </w:pPr>
    </w:p>
    <w:p>
      <w:pPr>
        <w:ind w:firstLine="569"/>
        <w:spacing w:after="0" w:line="290" w:lineRule="auto"/>
        <w:rPr>
          <w:sz w:val="20"/>
          <w:szCs w:val="20"/>
          <w:color w:val="auto"/>
        </w:rPr>
      </w:pPr>
      <w:r>
        <w:rPr>
          <w:rFonts w:ascii="Arial" w:cs="Arial" w:eastAsia="Arial" w:hAnsi="Arial"/>
          <w:sz w:val="17"/>
          <w:szCs w:val="17"/>
          <w:color w:val="auto"/>
        </w:rPr>
        <w:t>General and administrative expenses decreased by $5.5 million, or 42% for the three months ended September 30, 2021 as compared to the three months ended September 30, 2020. The decrease was primarily due to a $5.6 million net decrease in compensation and personnel costs, which includes a $7.2 million decrease in stock-based compensation expense due to the one-time cumulative expense related to stock options with performance and market-based vesting conditions in 2020 which offset by a $1.6 million increase compensation, and a $0.7 million decrease in outside services costs. The decrease was partially offset by a $0.6 million increase in insurance costs and a $0.1 million increase in allocated costs for facilities and information technology to support the general expansion of our operations.</w:t>
      </w:r>
    </w:p>
    <w:p>
      <w:pPr>
        <w:spacing w:after="0" w:line="68" w:lineRule="exact"/>
        <w:rPr>
          <w:sz w:val="20"/>
          <w:szCs w:val="20"/>
          <w:color w:val="auto"/>
        </w:rPr>
      </w:pPr>
    </w:p>
    <w:p>
      <w:pPr>
        <w:ind w:right="100" w:firstLine="569"/>
        <w:spacing w:after="0" w:line="271" w:lineRule="auto"/>
        <w:rPr>
          <w:sz w:val="20"/>
          <w:szCs w:val="20"/>
          <w:color w:val="auto"/>
        </w:rPr>
      </w:pPr>
      <w:r>
        <w:rPr>
          <w:rFonts w:ascii="Arial" w:cs="Arial" w:eastAsia="Arial" w:hAnsi="Arial"/>
          <w:sz w:val="18"/>
          <w:szCs w:val="18"/>
          <w:color w:val="auto"/>
        </w:rPr>
        <w:t>General and administrative expenses increased by $5.1 million, or 24% for the nine months ended September 30, 2021 as compared to the nine months ended September 30, 2020. The increase was primarily due to a $2.4 million increase in insurance costs, a $1.2 million net increase in compensation and personnel costs, which includes a $4.2 million increase in compensation offset by a $3.0 million decrease in stock-based compensation expense due to the one-time cumulative expense related to stock options with performance and market-based vesting conditions in 2020, a $0.8 million increase in professional and consulting services and a $0.7 million increase in allocated costs for facilities and information technology to support the general expansion of our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3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0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w w:val="94"/>
              </w:rPr>
              <w:t>Three Months Ended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5"/>
              </w:rPr>
              <w:t>Nine Months Ended</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gridSpan w:val="3"/>
          </w:tcPr>
          <w:p>
            <w:pPr>
              <w:ind w:left="280"/>
              <w:spacing w:after="0"/>
              <w:rPr>
                <w:sz w:val="20"/>
                <w:szCs w:val="20"/>
                <w:color w:val="auto"/>
              </w:rPr>
            </w:pPr>
            <w:r>
              <w:rPr>
                <w:rFonts w:ascii="Arial" w:cs="Arial" w:eastAsia="Arial" w:hAnsi="Arial"/>
                <w:sz w:val="18"/>
                <w:szCs w:val="18"/>
                <w:b w:val="1"/>
                <w:bCs w:val="1"/>
                <w:color w:val="auto"/>
                <w:w w:val="87"/>
              </w:rPr>
              <w:t>Change</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w:t>
            </w:r>
          </w:p>
        </w:tc>
        <w:tc>
          <w:tcPr>
            <w:tcW w:w="1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gridSpan w:val="3"/>
            <w:vMerge w:val="restart"/>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40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w:t>
            </w: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(3 )   $</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9"/>
              </w:rPr>
              <w:t>(3,400 )%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50"/>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(431 )</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(428 )</w:t>
            </w: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(1,284 )</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(2,461 )</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9"/>
        </w:trPr>
        <w:tc>
          <w:tcPr>
            <w:tcW w:w="34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redeemable</w:t>
            </w: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convertible preferred stock</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(437 )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(93 )</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term loan</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(1,567 )</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(1,567 )</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shd w:val="clear" w:color="auto" w:fill="CFF0FC"/>
          </w:tcPr>
          <w:p>
            <w:pPr>
              <w:spacing w:after="0"/>
              <w:rPr>
                <w:sz w:val="24"/>
                <w:szCs w:val="24"/>
                <w:color w:val="auto"/>
              </w:rPr>
            </w:pPr>
          </w:p>
        </w:tc>
        <w:tc>
          <w:tcPr>
            <w:tcW w:w="3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(1,561 )</w:t>
            </w:r>
          </w:p>
        </w:tc>
        <w:tc>
          <w:tcPr>
            <w:tcW w:w="22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(3,597 )</w:t>
            </w:r>
          </w:p>
        </w:tc>
        <w:tc>
          <w:tcPr>
            <w:tcW w:w="20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i w:val="1"/>
                <w:iCs w:val="1"/>
                <w:color w:val="auto"/>
              </w:rPr>
              <w:t>* Not meaningful</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5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5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-179070</wp:posOffset>
            </wp:positionV>
            <wp:extent cx="1803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-162560</wp:posOffset>
            </wp:positionV>
            <wp:extent cx="1803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-179070</wp:posOffset>
            </wp:positionV>
            <wp:extent cx="1797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-162560</wp:posOffset>
            </wp:positionV>
            <wp:extent cx="1797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78867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88670" cy="188595"/>
                    </a:xfrm>
                    <a:prstGeom prst="rect">
                      <a:avLst/>
                    </a:prstGeom>
                    <a:noFill/>
                  </pic:spPr>
                </pic:pic>
              </a:graphicData>
            </a:graphic>
          </wp:anchor>
        </w:drawing>
      </w:r>
    </w:p>
    <w:p>
      <w:pPr>
        <w:spacing w:after="0" w:line="101" w:lineRule="exact"/>
        <w:rPr>
          <w:sz w:val="20"/>
          <w:szCs w:val="20"/>
          <w:color w:val="auto"/>
        </w:rPr>
      </w:pPr>
    </w:p>
    <w:p>
      <w:pPr>
        <w:ind w:right="60" w:firstLine="569"/>
        <w:spacing w:after="0" w:line="279" w:lineRule="auto"/>
        <w:rPr>
          <w:sz w:val="20"/>
          <w:szCs w:val="20"/>
          <w:color w:val="auto"/>
        </w:rPr>
      </w:pPr>
      <w:r>
        <w:rPr>
          <w:rFonts w:ascii="Arial" w:cs="Arial" w:eastAsia="Arial" w:hAnsi="Arial"/>
          <w:sz w:val="18"/>
          <w:szCs w:val="18"/>
          <w:color w:val="auto"/>
        </w:rPr>
        <w:t>Interest income and other income (expense), net increased by $0.1 million for the three months ended September 30, 2021 as compared to the three months ended September 30, 2020. This increase was primarily due to a higher average balance in money market funds and short-term investment securities in the three months ended September 30, 2021.</w:t>
      </w:r>
    </w:p>
    <w:p>
      <w:pPr>
        <w:spacing w:after="0" w:line="75" w:lineRule="exact"/>
        <w:rPr>
          <w:sz w:val="20"/>
          <w:szCs w:val="20"/>
          <w:color w:val="auto"/>
        </w:rPr>
      </w:pPr>
    </w:p>
    <w:p>
      <w:pPr>
        <w:ind w:right="140" w:firstLine="569"/>
        <w:spacing w:after="0" w:line="275" w:lineRule="auto"/>
        <w:rPr>
          <w:sz w:val="20"/>
          <w:szCs w:val="20"/>
          <w:color w:val="auto"/>
        </w:rPr>
      </w:pPr>
      <w:r>
        <w:rPr>
          <w:rFonts w:ascii="Arial" w:cs="Arial" w:eastAsia="Arial" w:hAnsi="Arial"/>
          <w:sz w:val="18"/>
          <w:szCs w:val="18"/>
          <w:color w:val="auto"/>
        </w:rPr>
        <w:t>Interest income and other income (expense), net decreased by $0.1 million, or 28% for the nine months ended September 30, 2021 as compared to the nine months ended September 30, 2020. The decrease was primarily due to a $0.4 million decrease in interest income driven by lower interest rates during 2021. This decrease was partially offset by a $0.3 million value added taxes refund primarily related to startup costs in our new manufacturing facility received during 2021.</w:t>
      </w:r>
    </w:p>
    <w:p>
      <w:pPr>
        <w:spacing w:after="0" w:line="77" w:lineRule="exact"/>
        <w:rPr>
          <w:sz w:val="20"/>
          <w:szCs w:val="20"/>
          <w:color w:val="auto"/>
        </w:rPr>
      </w:pPr>
    </w:p>
    <w:p>
      <w:pPr>
        <w:ind w:right="80" w:firstLine="569"/>
        <w:spacing w:after="0" w:line="293" w:lineRule="auto"/>
        <w:rPr>
          <w:sz w:val="20"/>
          <w:szCs w:val="20"/>
          <w:color w:val="auto"/>
        </w:rPr>
      </w:pPr>
      <w:r>
        <w:rPr>
          <w:rFonts w:ascii="Arial" w:cs="Arial" w:eastAsia="Arial" w:hAnsi="Arial"/>
          <w:sz w:val="18"/>
          <w:szCs w:val="18"/>
          <w:color w:val="auto"/>
        </w:rPr>
        <w:t>Interest expense slightly increased for the three months ended September 30, 2021 as compared to the three months ended September 30, 2020 due to accretion of the SVB Term Loan.</w:t>
      </w:r>
    </w:p>
    <w:p>
      <w:pPr>
        <w:spacing w:after="0" w:line="62" w:lineRule="exact"/>
        <w:rPr>
          <w:sz w:val="20"/>
          <w:szCs w:val="20"/>
          <w:color w:val="auto"/>
        </w:rPr>
      </w:pPr>
    </w:p>
    <w:p>
      <w:pPr>
        <w:ind w:firstLine="569"/>
        <w:spacing w:after="0" w:line="279" w:lineRule="auto"/>
        <w:rPr>
          <w:sz w:val="20"/>
          <w:szCs w:val="20"/>
          <w:color w:val="auto"/>
        </w:rPr>
      </w:pPr>
      <w:r>
        <w:rPr>
          <w:rFonts w:ascii="Arial" w:cs="Arial" w:eastAsia="Arial" w:hAnsi="Arial"/>
          <w:sz w:val="18"/>
          <w:szCs w:val="18"/>
          <w:color w:val="auto"/>
        </w:rPr>
        <w:t>Interest expense decreased for the nine months ended September 30, 2021 as compared to the nine months ended September 30, 2020. The decrease was driven primarily by a lower interest rate under the SVB Term Loan as compared to the rate under the Perceptive Term Loan, which we voluntarily repaid in July 2020.</w:t>
      </w:r>
    </w:p>
    <w:p>
      <w:pPr>
        <w:spacing w:after="0" w:line="75" w:lineRule="exact"/>
        <w:rPr>
          <w:sz w:val="20"/>
          <w:szCs w:val="20"/>
          <w:color w:val="auto"/>
        </w:rPr>
      </w:pPr>
    </w:p>
    <w:p>
      <w:pPr>
        <w:ind w:right="80" w:firstLine="569"/>
        <w:spacing w:after="0" w:line="272" w:lineRule="auto"/>
        <w:rPr>
          <w:sz w:val="20"/>
          <w:szCs w:val="20"/>
          <w:color w:val="auto"/>
        </w:rPr>
      </w:pPr>
      <w:r>
        <w:rPr>
          <w:rFonts w:ascii="Arial" w:cs="Arial" w:eastAsia="Arial" w:hAnsi="Arial"/>
          <w:sz w:val="18"/>
          <w:szCs w:val="18"/>
          <w:color w:val="auto"/>
        </w:rPr>
        <w:t>The change in the fair value of redeemable convertible preferred stock warrant liability was driven by the changes in assumptions used to value the warrant liability. Upon the closing of our IPO in September 2020, all of our outstanding redeemable convertible preferred stock warrants were either exercised into common stock or automatically converted into warrants to purchase common stock. Accordingly, we have ceased to incur the change in the fair value of redeemable convertible preferred stock warrant liability as the entire redeemable convertible preferred stock warrant liability was reclassified to additional paid-in capital.</w:t>
      </w:r>
    </w:p>
    <w:p>
      <w:pPr>
        <w:spacing w:after="0" w:line="83" w:lineRule="exact"/>
        <w:rPr>
          <w:sz w:val="20"/>
          <w:szCs w:val="20"/>
          <w:color w:val="auto"/>
        </w:rPr>
      </w:pPr>
    </w:p>
    <w:p>
      <w:pPr>
        <w:ind w:right="560" w:firstLine="569"/>
        <w:spacing w:after="0" w:line="293" w:lineRule="auto"/>
        <w:rPr>
          <w:sz w:val="20"/>
          <w:szCs w:val="20"/>
          <w:color w:val="auto"/>
        </w:rPr>
      </w:pPr>
      <w:r>
        <w:rPr>
          <w:rFonts w:ascii="Arial" w:cs="Arial" w:eastAsia="Arial" w:hAnsi="Arial"/>
          <w:sz w:val="18"/>
          <w:szCs w:val="18"/>
          <w:color w:val="auto"/>
        </w:rPr>
        <w:t>The loss on extinguishment of term loan of $1.6 million was recognized for the repayment of the Perceptive Team Loan in July 2020, which included early repayment and exit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340" w:firstLine="569"/>
        <w:spacing w:after="0" w:line="359" w:lineRule="auto"/>
        <w:rPr>
          <w:sz w:val="20"/>
          <w:szCs w:val="20"/>
          <w:color w:val="auto"/>
        </w:rPr>
      </w:pPr>
      <w:r>
        <w:rPr>
          <w:rFonts w:ascii="Arial" w:cs="Arial" w:eastAsia="Arial" w:hAnsi="Arial"/>
          <w:sz w:val="16"/>
          <w:szCs w:val="16"/>
          <w:color w:val="auto"/>
        </w:rPr>
        <w:t>As of September 30, 2021, we had cash, cash equivalents and short-term investments of $373.0 million, which are available to fund future operations, and restricted cash of $33.3 million, for a total cash, cash equivalents, restricted cash and short-term investments balance of $406.4 million.</w:t>
      </w:r>
    </w:p>
    <w:p>
      <w:pPr>
        <w:spacing w:after="0" w:line="17" w:lineRule="exact"/>
        <w:rPr>
          <w:sz w:val="20"/>
          <w:szCs w:val="20"/>
          <w:color w:val="auto"/>
        </w:rPr>
      </w:pPr>
    </w:p>
    <w:p>
      <w:pPr>
        <w:ind w:right="60" w:firstLine="569"/>
        <w:spacing w:after="0" w:line="271"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and issuances of debt. In September 2020, we completed our IPO for aggregate net proceeds of approximately $254.8 million (inclusive of the full exercise of the underwriters’ option to purchase additional shares), net of offering costs, underwriter discounts and commissions of $23.1 million. In April 2021, we completed a follow-on public offering for aggregate net proceeds of approximately $149.1 million, after deducting offering costs, underwriting discounts and commissions of $8.5 million.</w:t>
      </w:r>
    </w:p>
    <w:p>
      <w:pPr>
        <w:spacing w:after="0" w:line="83" w:lineRule="exact"/>
        <w:rPr>
          <w:sz w:val="20"/>
          <w:szCs w:val="20"/>
          <w:color w:val="auto"/>
        </w:rPr>
      </w:pPr>
    </w:p>
    <w:p>
      <w:pPr>
        <w:ind w:right="60" w:firstLine="569"/>
        <w:spacing w:after="0" w:line="270" w:lineRule="auto"/>
        <w:rPr>
          <w:sz w:val="20"/>
          <w:szCs w:val="20"/>
          <w:color w:val="auto"/>
        </w:rPr>
      </w:pPr>
      <w:r>
        <w:rPr>
          <w:rFonts w:ascii="Arial" w:cs="Arial" w:eastAsia="Arial" w:hAnsi="Arial"/>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ind w:right="80"/>
        <w:spacing w:after="0" w:line="293" w:lineRule="auto"/>
        <w:rPr>
          <w:sz w:val="20"/>
          <w:szCs w:val="20"/>
          <w:color w:val="auto"/>
        </w:rPr>
      </w:pPr>
      <w:r>
        <w:rPr>
          <w:rFonts w:ascii="Arial" w:cs="Arial" w:eastAsia="Arial" w:hAnsi="Arial"/>
          <w:sz w:val="18"/>
          <w:szCs w:val="18"/>
          <w:color w:val="auto"/>
        </w:rPr>
        <w:t>dividends. We believe that our existing cash, cash equivalents and short-term investments, and cash generated from sales of our products, will be sufficient to meet our anticipated needs for at least the next 12 months from the date of this Quarterly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cash flows for each of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50"/>
        </w:trPr>
        <w:tc>
          <w:tcPr>
            <w:tcW w:w="736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36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(97,588 )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(73,175 )</w:t>
            </w:r>
          </w:p>
        </w:tc>
      </w:tr>
      <w:tr>
        <w:trPr>
          <w:trHeight w:val="263"/>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(126,089 )</w:t>
            </w:r>
          </w:p>
        </w:tc>
        <w:tc>
          <w:tcPr>
            <w:tcW w:w="3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(6,411 )</w:t>
            </w:r>
          </w:p>
        </w:tc>
      </w:tr>
      <w:tr>
        <w:trPr>
          <w:trHeight w:val="250"/>
        </w:trPr>
        <w:tc>
          <w:tcPr>
            <w:tcW w:w="73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159,213</w:t>
            </w:r>
          </w:p>
        </w:tc>
        <w:tc>
          <w:tcPr>
            <w:tcW w:w="4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386,555</w:t>
            </w:r>
          </w:p>
        </w:tc>
        <w:tc>
          <w:tcPr>
            <w:tcW w:w="100" w:type="dxa"/>
            <w:vAlign w:val="bottom"/>
          </w:tcPr>
          <w:p>
            <w:pPr>
              <w:spacing w:after="0"/>
              <w:rPr>
                <w:sz w:val="21"/>
                <w:szCs w:val="21"/>
                <w:color w:val="auto"/>
              </w:rPr>
            </w:pPr>
          </w:p>
        </w:tc>
      </w:tr>
      <w:tr>
        <w:trPr>
          <w:trHeight w:val="270"/>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(64,464 )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306,969</w:t>
            </w:r>
          </w:p>
        </w:tc>
        <w:tc>
          <w:tcPr>
            <w:tcW w:w="100" w:type="dxa"/>
            <w:vAlign w:val="bottom"/>
            <w:shd w:val="clear" w:color="auto" w:fill="CFF0FC"/>
          </w:tcPr>
          <w:p>
            <w:pPr>
              <w:spacing w:after="0"/>
              <w:rPr>
                <w:sz w:val="23"/>
                <w:szCs w:val="23"/>
                <w:color w:val="auto"/>
              </w:rPr>
            </w:pPr>
          </w:p>
        </w:tc>
      </w:tr>
      <w:tr>
        <w:trPr>
          <w:trHeight w:val="20"/>
        </w:trPr>
        <w:tc>
          <w:tcPr>
            <w:tcW w:w="73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-24765</wp:posOffset>
            </wp:positionV>
            <wp:extent cx="3003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3003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20" w:firstLine="569"/>
        <w:spacing w:after="0" w:line="268" w:lineRule="auto"/>
        <w:rPr>
          <w:sz w:val="20"/>
          <w:szCs w:val="20"/>
          <w:color w:val="auto"/>
        </w:rPr>
      </w:pPr>
      <w:r>
        <w:rPr>
          <w:rFonts w:ascii="Arial" w:cs="Arial" w:eastAsia="Arial" w:hAnsi="Arial"/>
          <w:sz w:val="18"/>
          <w:szCs w:val="18"/>
          <w:color w:val="auto"/>
        </w:rPr>
        <w:t>The net cash used in operating activities of $97.6 million for the nine months ended September 30, 2021 was due to a net loss of $90.7 million and a net cash outflow from the change in our operating assets and liabilities of $26.5 million, which were partially offset by adjustments for stock-based compensation expense of $12.7 million, depreciation and amortization of $3.9 million, accretion of discount on investments of $1.2 million, non-cash lease expense of $0.8 million, provision for inventories of $0.8 million, and non-cash interest expense of $0.4 million. The net cash outflow from operating assets and liabilities was primarily due to an increase in inventories of $17.9 million due to the timing of inventory purchases including advance purchases of inventory due to the anticipated demand and to mitigate supply chain disruptions, which partially related to COVID-19, an increase in accounts receivable of $12.8 million due to timing of collections, a decrease in account payable of $2.1 million due to timing of vendor payments, and a decrease in operating lease liabilities of $0.6 million. The net cash outflow from operating assets and liabilities was partially offset by an increase in accrued expenses and other current liabilities of $3.5 million, an increase in deferred revenue of $1.6 million due to the growth of our business, an increase in accrued payroll and related benefits of $0.9 million, a decrease in prepaid expenses and other assets of $0.7 million, and an increase in accrued warranty liability of $0.3 million.</w:t>
      </w:r>
    </w:p>
    <w:p>
      <w:pPr>
        <w:spacing w:after="0" w:line="90" w:lineRule="exact"/>
        <w:rPr>
          <w:sz w:val="20"/>
          <w:szCs w:val="20"/>
          <w:color w:val="auto"/>
        </w:rPr>
      </w:pPr>
    </w:p>
    <w:p>
      <w:pPr>
        <w:ind w:firstLine="569"/>
        <w:spacing w:after="0" w:line="306" w:lineRule="auto"/>
        <w:rPr>
          <w:sz w:val="20"/>
          <w:szCs w:val="20"/>
          <w:color w:val="auto"/>
        </w:rPr>
      </w:pPr>
      <w:r>
        <w:rPr>
          <w:rFonts w:ascii="Arial" w:cs="Arial" w:eastAsia="Arial" w:hAnsi="Arial"/>
          <w:sz w:val="16"/>
          <w:szCs w:val="16"/>
          <w:color w:val="auto"/>
        </w:rPr>
        <w:t>Net cash used in operating activities of $73.2 million for the nine months ended September 30, 2020 was due to a net loss of $89.4 million and a net change in our net operating assets and liabilities of $3.2 million, partially offset by adjustments for stock-based compensation of $15.2 million, loss on extinguishment of term loan of $1.6 million, depreciation and amortization of $1.2 million, non-cash interest expense of $0.5 million, non-cash lease expense of $0.4 million, provision for inventories of $0.4 million, and change in fair value of redeemable convertible preferred stock warrant liability of $0.1 million. The net cash outflow from operating assets and liabilities was primarily due to an increase in inventories of $9.2 million due to the timing of inventory purchases including advance purchases of inventory due to anticipated demand, an increase in prepaid expenses and other assets of $5.4 million, and an increase in accounts receivable of $3.2 million due to timing of collections. The net cash outflow from operating assets and liabilities was partially offset by an increase in accrued expenses and other current liabilities of $5.1 million consistent with the growth of our business, an increase in accrued payroll and related benefits of $3.9 million due to an increase in headcount, an increase in deferred revenue of $3.7 million, and an increase in accrued warranty liability of $1.6 million and an increase in accounts payable of $0.4 million due to timing of vendor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340" w:firstLine="569"/>
        <w:spacing w:after="0" w:line="279" w:lineRule="auto"/>
        <w:rPr>
          <w:sz w:val="20"/>
          <w:szCs w:val="20"/>
          <w:color w:val="auto"/>
        </w:rPr>
      </w:pPr>
      <w:r>
        <w:rPr>
          <w:rFonts w:ascii="Arial" w:cs="Arial" w:eastAsia="Arial" w:hAnsi="Arial"/>
          <w:sz w:val="18"/>
          <w:szCs w:val="18"/>
          <w:color w:val="auto"/>
        </w:rPr>
        <w:t>The net cash used in investing activities of $126.1 million for the nine months ended September 30, 2021 was due primarily to the purchases of investment securities of $148.1 million and the purchases of property and equipment of $2.3 million, partially offset by the sales and maturities of investment securities of $24.3 million.</w:t>
      </w:r>
    </w:p>
    <w:p>
      <w:pPr>
        <w:spacing w:after="0" w:line="75" w:lineRule="exact"/>
        <w:rPr>
          <w:sz w:val="20"/>
          <w:szCs w:val="20"/>
          <w:color w:val="auto"/>
        </w:rPr>
      </w:pPr>
    </w:p>
    <w:p>
      <w:pPr>
        <w:ind w:firstLine="569"/>
        <w:spacing w:after="0" w:line="279" w:lineRule="auto"/>
        <w:rPr>
          <w:sz w:val="20"/>
          <w:szCs w:val="20"/>
          <w:color w:val="auto"/>
        </w:rPr>
      </w:pPr>
      <w:r>
        <w:rPr>
          <w:rFonts w:ascii="Arial" w:cs="Arial" w:eastAsia="Arial" w:hAnsi="Arial"/>
          <w:sz w:val="18"/>
          <w:szCs w:val="18"/>
          <w:color w:val="auto"/>
        </w:rPr>
        <w:t>Net cash used in investing activities of $6.4 million for the nine months ended September 30, 2020 was due primarily to the purchases of short-term investments of $32.9 million and the purchases of property and equipment of $6.4 million, partially offset by the sales and maturities of short-term investments of $32.9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40" w:firstLine="569"/>
        <w:spacing w:after="0" w:line="279" w:lineRule="auto"/>
        <w:rPr>
          <w:sz w:val="20"/>
          <w:szCs w:val="20"/>
          <w:color w:val="auto"/>
        </w:rPr>
      </w:pPr>
      <w:r>
        <w:rPr>
          <w:rFonts w:ascii="Arial" w:cs="Arial" w:eastAsia="Arial" w:hAnsi="Arial"/>
          <w:sz w:val="18"/>
          <w:szCs w:val="18"/>
          <w:color w:val="auto"/>
        </w:rPr>
        <w:t>The net cash provided by financing activities of $159.2 million for the nine months ended September 30, 2021 was due primarily to the net proceeds of $149.1 million from the issuance of our common stock upon the follow-on offering and the proceeds of $10.1 million from employee exercises of stock options and employee stock purchase plan purchases.</w:t>
      </w:r>
    </w:p>
    <w:p>
      <w:pPr>
        <w:spacing w:after="0" w:line="75" w:lineRule="exact"/>
        <w:rPr>
          <w:sz w:val="20"/>
          <w:szCs w:val="20"/>
          <w:color w:val="auto"/>
        </w:rPr>
      </w:pPr>
    </w:p>
    <w:p>
      <w:pPr>
        <w:ind w:right="60" w:firstLine="569"/>
        <w:spacing w:after="0" w:line="275" w:lineRule="auto"/>
        <w:rPr>
          <w:sz w:val="20"/>
          <w:szCs w:val="20"/>
          <w:color w:val="auto"/>
        </w:rPr>
      </w:pPr>
      <w:r>
        <w:rPr>
          <w:rFonts w:ascii="Arial" w:cs="Arial" w:eastAsia="Arial" w:hAnsi="Arial"/>
          <w:sz w:val="18"/>
          <w:szCs w:val="18"/>
          <w:color w:val="auto"/>
        </w:rPr>
        <w:t>Net cash provided by financing activities of $386.6 million for the nine months ended September 30, 2020 was due primarily to the net proceeds of $255.7 million from the issuance of our common stock in our IPO, net of issuance costs paid to date, the net proceeds of $126.8 million from the issuance of our Series E redeemable convertible preferred stock, the net proceeds of $29.6 million from borrowings on the SVB Loan and Security Agreement, proceeds of $4.3 million from the exercise of the Series C redeemable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right="160"/>
        <w:spacing w:after="0" w:line="293" w:lineRule="auto"/>
        <w:rPr>
          <w:sz w:val="20"/>
          <w:szCs w:val="20"/>
          <w:color w:val="auto"/>
        </w:rPr>
      </w:pPr>
      <w:r>
        <w:rPr>
          <w:rFonts w:ascii="Arial" w:cs="Arial" w:eastAsia="Arial" w:hAnsi="Arial"/>
          <w:sz w:val="18"/>
          <w:szCs w:val="18"/>
          <w:color w:val="auto"/>
        </w:rPr>
        <w:t>convertible preferred stock warrants, and proceeds of $1.1 million from the issuance of common stock from exercises of stock options, partially offset by the cash outflow of $31.0 million in repayment of Perceptive Loan which included early prepayment and exit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560" w:firstLine="569"/>
        <w:spacing w:after="0" w:line="359" w:lineRule="auto"/>
        <w:rPr>
          <w:sz w:val="20"/>
          <w:szCs w:val="20"/>
          <w:color w:val="auto"/>
        </w:rPr>
      </w:pPr>
      <w:r>
        <w:rPr>
          <w:rFonts w:ascii="Arial" w:cs="Arial" w:eastAsia="Arial" w:hAnsi="Arial"/>
          <w:sz w:val="16"/>
          <w:szCs w:val="16"/>
          <w:color w:val="auto"/>
        </w:rPr>
        <w:t>During the three and nine months ended September 30, 2021, there have been no material changes to our contractual obligations from those disclosed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2020 Annual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800" w:firstLine="569"/>
        <w:spacing w:after="0" w:line="293"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firstLine="569"/>
        <w:spacing w:after="0" w:line="311" w:lineRule="auto"/>
        <w:rPr>
          <w:sz w:val="20"/>
          <w:szCs w:val="20"/>
          <w:color w:val="auto"/>
        </w:rPr>
      </w:pPr>
      <w:r>
        <w:rPr>
          <w:rFonts w:ascii="Arial" w:cs="Arial" w:eastAsia="Arial" w:hAnsi="Arial"/>
          <w:sz w:val="16"/>
          <w:szCs w:val="16"/>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5" w:lineRule="exact"/>
        <w:rPr>
          <w:sz w:val="20"/>
          <w:szCs w:val="20"/>
          <w:color w:val="auto"/>
        </w:rPr>
      </w:pPr>
    </w:p>
    <w:p>
      <w:pPr>
        <w:ind w:right="180" w:firstLine="569"/>
        <w:spacing w:after="0" w:line="303"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2020 Annual Report. For additional information, please refer to Note 2 to our unaudited condensed financial statements in this Quarterly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20" w:firstLine="569"/>
        <w:spacing w:after="0" w:line="311"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55" w:lineRule="exact"/>
        <w:rPr>
          <w:sz w:val="20"/>
          <w:szCs w:val="20"/>
          <w:color w:val="auto"/>
        </w:rPr>
      </w:pPr>
    </w:p>
    <w:p>
      <w:pPr>
        <w:ind w:right="40" w:firstLine="569"/>
        <w:spacing w:after="0" w:line="299" w:lineRule="auto"/>
        <w:rPr>
          <w:sz w:val="20"/>
          <w:szCs w:val="20"/>
          <w:color w:val="auto"/>
        </w:rPr>
      </w:pPr>
      <w:r>
        <w:rPr>
          <w:rFonts w:ascii="Arial" w:cs="Arial" w:eastAsia="Arial" w:hAnsi="Arial"/>
          <w:sz w:val="16"/>
          <w:szCs w:val="16"/>
          <w:color w:val="auto"/>
        </w:rPr>
        <w:t>Because (i) the aggregate worldwide market value of our voting common stock held by non-affiliates (or "public float") exceeded $700 million on June 30, 2021, (ii) we will have been subject to the reporting requirements of Section 13(a) or 15(d) of the Securities Exchange Act of 1934, as amended (“Exchange Act”) for at least twelve calendar months, (iii) we have previously filed an annual report under Section 13(a) or 15(d) of the Exchange Act and</w:t>
      </w:r>
    </w:p>
    <w:p>
      <w:pPr>
        <w:spacing w:after="0" w:line="2" w:lineRule="exact"/>
        <w:rPr>
          <w:sz w:val="20"/>
          <w:szCs w:val="20"/>
          <w:color w:val="auto"/>
        </w:rPr>
      </w:pPr>
    </w:p>
    <w:p>
      <w:pPr>
        <w:ind w:firstLine="8"/>
        <w:spacing w:after="0" w:line="279" w:lineRule="auto"/>
        <w:tabs>
          <w:tab w:leader="none" w:pos="30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not eligible for smaller reporting company status because we exceed the public float and revenue threshold for such status, we will qualify as a "large accelerated filer" under Rule 12b-2 of the Exchange Act as of the end of the current fiscal year. As a large accelerated filer, we will no longer qualify as an emerging growth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unaudited condensed financial statements included elsewhere in this Quarterly Report for more information.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right="40" w:firstLine="569"/>
        <w:spacing w:after="0" w:line="292" w:lineRule="auto"/>
        <w:rPr>
          <w:sz w:val="20"/>
          <w:szCs w:val="20"/>
          <w:color w:val="auto"/>
        </w:rPr>
      </w:pPr>
      <w:r>
        <w:rPr>
          <w:rFonts w:ascii="Arial" w:cs="Arial" w:eastAsia="Arial" w:hAnsi="Arial"/>
          <w:sz w:val="17"/>
          <w:szCs w:val="17"/>
          <w:color w:val="auto"/>
        </w:rPr>
        <w:t>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relative short-term nature of our cash, cash equivalents and short-term investments.</w:t>
      </w:r>
    </w:p>
    <w:p>
      <w:pPr>
        <w:spacing w:after="0" w:line="66" w:lineRule="exact"/>
        <w:rPr>
          <w:sz w:val="20"/>
          <w:szCs w:val="20"/>
          <w:color w:val="auto"/>
        </w:rPr>
      </w:pPr>
    </w:p>
    <w:p>
      <w:pPr>
        <w:ind w:right="440" w:firstLine="569"/>
        <w:spacing w:after="0" w:line="299" w:lineRule="auto"/>
        <w:rPr>
          <w:sz w:val="20"/>
          <w:szCs w:val="20"/>
          <w:color w:val="auto"/>
        </w:rPr>
      </w:pPr>
      <w:r>
        <w:rPr>
          <w:rFonts w:ascii="Arial" w:cs="Arial" w:eastAsia="Arial" w:hAnsi="Arial"/>
          <w:sz w:val="16"/>
          <w:szCs w:val="16"/>
          <w:color w:val="auto"/>
        </w:rPr>
        <w:t>As of September 30, 2021, we had $30.0 million in variable rate debt outstanding. The SVB Term Loan matures on November 1, 2025, with interest-only monthly payments until June 2023. The term loan accrues interest at a rate per annum equal to the greater of (A) one-half of one percent</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(0.50%) above the Prime Rate as reported in the Wall Street Journal then in effect (which shall not be less than zero) and (B) three and three-quarters of one percent (3.75%). An immediate 100 basis point change in the prime rate would not have a material impact on our debt-related obligations, financial position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right="80" w:firstLine="569"/>
        <w:spacing w:after="0" w:line="279" w:lineRule="auto"/>
        <w:rPr>
          <w:sz w:val="20"/>
          <w:szCs w:val="20"/>
          <w:color w:val="auto"/>
        </w:rPr>
      </w:pPr>
      <w:r>
        <w:rPr>
          <w:rFonts w:ascii="Arial" w:cs="Arial" w:eastAsia="Arial" w:hAnsi="Arial"/>
          <w:sz w:val="18"/>
          <w:szCs w:val="18"/>
          <w:color w:val="auto"/>
        </w:rPr>
        <w:t>Our expenses are generally denominated in U.S. dollars. However, as certain of our Mexico-based manufacturing operations incur costs that are denominated in Mexican Pesos (“MXN”), we are exposed to the risk of currency fluctuations between the U.S. dollar and MXN. To date, foreign currency transaction gains and losses have not been material to our financial statements.</w:t>
      </w:r>
    </w:p>
    <w:p>
      <w:pPr>
        <w:spacing w:after="0" w:line="75" w:lineRule="exact"/>
        <w:rPr>
          <w:sz w:val="20"/>
          <w:szCs w:val="20"/>
          <w:color w:val="auto"/>
        </w:rPr>
      </w:pPr>
    </w:p>
    <w:p>
      <w:pPr>
        <w:jc w:val="both"/>
        <w:ind w:right="100" w:firstLine="569"/>
        <w:spacing w:after="0" w:line="329" w:lineRule="auto"/>
        <w:rPr>
          <w:sz w:val="20"/>
          <w:szCs w:val="20"/>
          <w:color w:val="auto"/>
        </w:rPr>
      </w:pPr>
      <w:r>
        <w:rPr>
          <w:rFonts w:ascii="Arial" w:cs="Arial" w:eastAsia="Arial" w:hAnsi="Arial"/>
          <w:sz w:val="16"/>
          <w:szCs w:val="16"/>
          <w:color w:val="auto"/>
        </w:rPr>
        <w:t>Unfavorable changes in foreign exchange rates versus the U.S. dollar could increase our product costs, thus reducing our gross profit. We have not engaged in the hedging of foreign currency transactions to date, although we may choose to do so in the future. We do not believe that an immediate 10% increase or decrease in the relative value of the U.S. dollar to other currencies would have a material effect on our operating results or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40" w:firstLine="569"/>
        <w:spacing w:after="0" w:line="306"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period covered by this Quarterly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60" w:firstLine="569"/>
        <w:spacing w:after="0" w:line="324"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20" w:firstLine="569"/>
        <w:spacing w:after="0" w:line="275"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69"/>
        <w:spacing w:after="0" w:line="309" w:lineRule="auto"/>
        <w:rPr>
          <w:sz w:val="20"/>
          <w:szCs w:val="20"/>
          <w:color w:val="auto"/>
        </w:rPr>
      </w:pPr>
      <w:r>
        <w:rPr>
          <w:rFonts w:ascii="Arial" w:cs="Arial" w:eastAsia="Arial" w:hAnsi="Arial"/>
          <w:sz w:val="16"/>
          <w:szCs w:val="16"/>
          <w:color w:val="auto"/>
        </w:rPr>
        <w:t>You should carefully consider the risk factors discussed in Part I, “Item 1A. Risk Factors” in our 2020 Annual Report, as updated by the risk factors discussed in Part II, “Item 1A. Risk Factors” in our Quarterly Report on Form 10-Q for the fiscal quarter ended March 31, 2021 (“Q1 2021 Quarterly Report”), which could materially affect our business, financial position, or future results of operations. There have been no material changes to the risk factors described in our 2020 Annual Report, as updated by our Q1 2021 Quarterly Report, except as set forth below. The risks described in our 2020 Annual Report and our Q1 2021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286" w:lineRule="exact"/>
        <w:rPr>
          <w:sz w:val="20"/>
          <w:szCs w:val="20"/>
          <w:color w:val="auto"/>
        </w:rPr>
      </w:pPr>
    </w:p>
    <w:p>
      <w:pPr>
        <w:jc w:val="both"/>
        <w:ind w:right="40" w:firstLine="569"/>
        <w:spacing w:after="0" w:line="293"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single-source suppliers, making us vulnerable to supply problems and price fluctuations.</w:t>
      </w:r>
    </w:p>
    <w:p>
      <w:pPr>
        <w:spacing w:after="0" w:line="62" w:lineRule="exact"/>
        <w:rPr>
          <w:sz w:val="20"/>
          <w:szCs w:val="20"/>
          <w:color w:val="auto"/>
        </w:rPr>
      </w:pPr>
    </w:p>
    <w:p>
      <w:pPr>
        <w:jc w:val="both"/>
        <w:ind w:right="60" w:firstLine="569"/>
        <w:spacing w:after="0" w:line="319" w:lineRule="auto"/>
        <w:rPr>
          <w:sz w:val="20"/>
          <w:szCs w:val="20"/>
          <w:color w:val="auto"/>
        </w:rPr>
      </w:pPr>
      <w:r>
        <w:rPr>
          <w:rFonts w:ascii="Arial" w:cs="Arial" w:eastAsia="Arial" w:hAnsi="Arial"/>
          <w:sz w:val="16"/>
          <w:szCs w:val="16"/>
          <w:color w:val="auto"/>
        </w:rPr>
        <w:t>We rely on third-party suppliers, including in some instances single-source suppliers, to provide us with certain components of Tablo. The number of suppliers feeding into Tablo console production is in excess of 250 worldwide. We consider approximately 9% of these suppliers, located in the United States, Europe and China, as critical providers of components such as pumps, motors, valves and PCBA boards. While we are undertaking a second source qualification process for the majority of these critical components, we may not ultimately be successful in securing second sourcing for all of them.</w:t>
      </w:r>
    </w:p>
    <w:p>
      <w:pPr>
        <w:spacing w:after="0" w:line="48" w:lineRule="exact"/>
        <w:rPr>
          <w:sz w:val="20"/>
          <w:szCs w:val="20"/>
          <w:color w:val="auto"/>
        </w:rPr>
      </w:pPr>
    </w:p>
    <w:p>
      <w:pPr>
        <w:ind w:firstLine="569"/>
        <w:spacing w:after="0" w:line="302" w:lineRule="auto"/>
        <w:rPr>
          <w:sz w:val="20"/>
          <w:szCs w:val="20"/>
          <w:color w:val="auto"/>
        </w:rPr>
      </w:pPr>
      <w:r>
        <w:rPr>
          <w:rFonts w:ascii="Arial" w:cs="Arial" w:eastAsia="Arial" w:hAnsi="Arial"/>
          <w:sz w:val="16"/>
          <w:szCs w:val="16"/>
          <w:color w:val="auto"/>
        </w:rPr>
        <w:t>In addition, we purchase supplies through purchase orders and do not have long-term supply agreements with, or guaranteed commitments from, our suppliers, including single-source suppliers. Moreover, at present, we rely on contract manufacturers for the production of the Tablo cartridge.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including as a result of public health crises such as the ongoing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Further, if we fail to effectively manage our relationships with our suppliers and contract manufacturers, we may be required to change suppliers or contract manufacturers. While we believe replacement suppliers exist for all materials, components and services necessary to continue manufacturing our Tablo system, establishing additional or replacement suppliers for any of these materials, components or services could be time-consuming and expensive, may result in interruptions in our operations and product delivery, may affect the performance specifications of our Tablo system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Tablo system, the supply of our products to customers and the development of any future products will be delayed, limited or prevented, which could have material adverse effect on our business, financial condition and results of operations.</w:t>
      </w:r>
    </w:p>
    <w:p>
      <w:pPr>
        <w:spacing w:after="0" w:line="295" w:lineRule="exact"/>
        <w:rPr>
          <w:sz w:val="20"/>
          <w:szCs w:val="20"/>
          <w:color w:val="auto"/>
        </w:rPr>
      </w:pPr>
    </w:p>
    <w:p>
      <w:pPr>
        <w:ind w:right="80" w:firstLine="569"/>
        <w:spacing w:after="0" w:line="271" w:lineRule="auto"/>
        <w:rPr>
          <w:sz w:val="20"/>
          <w:szCs w:val="20"/>
          <w:color w:val="auto"/>
        </w:rPr>
      </w:pPr>
      <w:r>
        <w:rPr>
          <w:rFonts w:ascii="Arial" w:cs="Arial" w:eastAsia="Arial" w:hAnsi="Arial"/>
          <w:sz w:val="18"/>
          <w:szCs w:val="18"/>
          <w:color w:val="auto"/>
        </w:rPr>
        <w:t>For example, the COVID-19 pandemic has disrupted the operations of certain of our third-party suppliers, resulting in increased lead-times, higher component costs and lower allocations for our purchases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 However, there is no assurance that we will not experience more significant disruptions in our supply chain in the future, particularly if the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ind w:right="20"/>
        <w:spacing w:after="0" w:line="272" w:lineRule="auto"/>
        <w:rPr>
          <w:sz w:val="20"/>
          <w:szCs w:val="20"/>
          <w:color w:val="auto"/>
        </w:rPr>
      </w:pPr>
      <w:r>
        <w:rPr>
          <w:rFonts w:ascii="Arial" w:cs="Arial" w:eastAsia="Arial" w:hAnsi="Arial"/>
          <w:sz w:val="18"/>
          <w:szCs w:val="18"/>
          <w:color w:val="auto"/>
        </w:rPr>
        <w:t>of our contract manufacturing partners, any of our critical single-source component providers, or the facility we operate in Tijuana, Mexico in collaboration with our outsourced business administration service provider, Tacna, are more severely impacted by the pandemic and associated containment measures. If these contract manufacturers or suppliers experience disruptions as a result of the pandemic that impede their ability to meet our demand in a timely manner, we may be unable to find alternative sources of supply, be required to pay higher prices, or fail to meet customer demand, any of which would harm our business.</w:t>
      </w:r>
    </w:p>
    <w:p>
      <w:pPr>
        <w:spacing w:after="0" w:line="83" w:lineRule="exact"/>
        <w:rPr>
          <w:sz w:val="20"/>
          <w:szCs w:val="20"/>
          <w:color w:val="auto"/>
        </w:rPr>
      </w:pPr>
    </w:p>
    <w:p>
      <w:pPr>
        <w:ind w:right="20" w:firstLine="569"/>
        <w:spacing w:after="0" w:line="308" w:lineRule="auto"/>
        <w:rPr>
          <w:sz w:val="20"/>
          <w:szCs w:val="20"/>
          <w:color w:val="auto"/>
        </w:rPr>
      </w:pPr>
      <w:r>
        <w:rPr>
          <w:rFonts w:ascii="Arial" w:cs="Arial" w:eastAsia="Arial" w:hAnsi="Arial"/>
          <w:sz w:val="16"/>
          <w:szCs w:val="16"/>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These supply chain disruptions have escalated during the fourth quarter of 2021,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Continued escalation of these supply chain disruptions and a sustained rise in freight costs could negatively impact our ability to meet customer demand on a timely basis, result in customer dissatisfaction and adversely impact our operating margins and results of operation.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customer concentration, with a limited number of customers accounting for a substantial portion of our revenues.</w:t>
      </w:r>
    </w:p>
    <w:p>
      <w:pPr>
        <w:spacing w:after="0" w:line="142" w:lineRule="exact"/>
        <w:rPr>
          <w:sz w:val="20"/>
          <w:szCs w:val="20"/>
          <w:color w:val="auto"/>
        </w:rPr>
      </w:pPr>
    </w:p>
    <w:p>
      <w:pPr>
        <w:ind w:right="60" w:firstLine="569"/>
        <w:spacing w:after="0" w:line="306" w:lineRule="auto"/>
        <w:rPr>
          <w:sz w:val="20"/>
          <w:szCs w:val="20"/>
          <w:color w:val="auto"/>
        </w:rPr>
      </w:pPr>
      <w:r>
        <w:rPr>
          <w:rFonts w:ascii="Arial" w:cs="Arial" w:eastAsia="Arial" w:hAnsi="Arial"/>
          <w:sz w:val="16"/>
          <w:szCs w:val="16"/>
          <w:color w:val="auto"/>
        </w:rPr>
        <w:t>For the nine months ended September 30, 2021, one customer and a federal health department customer accounted for 31% and 18% of our revenue, respectively.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183" w:lineRule="exact"/>
        <w:rPr>
          <w:sz w:val="20"/>
          <w:szCs w:val="20"/>
          <w:color w:val="auto"/>
        </w:rPr>
      </w:pPr>
    </w:p>
    <w:p>
      <w:pPr>
        <w:ind w:firstLine="569"/>
        <w:spacing w:after="0" w:line="286" w:lineRule="auto"/>
        <w:rPr>
          <w:sz w:val="20"/>
          <w:szCs w:val="20"/>
          <w:color w:val="auto"/>
        </w:rPr>
      </w:pPr>
      <w:r>
        <w:rPr>
          <w:rFonts w:ascii="Arial" w:cs="Arial" w:eastAsia="Arial" w:hAnsi="Arial"/>
          <w:sz w:val="17"/>
          <w:szCs w:val="17"/>
          <w:color w:val="auto"/>
        </w:rPr>
        <w:t>Expedited, reliable shipping and secure warehousing are essential to our operations. We rely heavily on providers of transport services for reliable and secure point-to-point transport of our Tablo system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our Tablo system and increased cost and expense to our business. In addition, any significant increase in shipping or warehousing rates could adversely affect our operating margins and results of operations. For example, surges and shifts in consumer demand as the economy reopens, further exacerbated by COVID-19 outbreaks and protocols, have strained the global freight network and placed significant stress on air, ocean and freight ground carriers, resulting in increased freight costs. If freight costs continue to escalate and/or remain high for a sustained period of time, our operating margins and results of operations would be adversely impacted. Similarly, strikes, severe weather, natural disasters or other service interruptions affecting delivery or warehousing services we use would adversely affect our ability to process orders for our Tablo system on a timely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ind w:left="580" w:right="8560" w:hanging="572"/>
        <w:spacing w:after="0" w:line="462" w:lineRule="auto"/>
        <w:tabs>
          <w:tab w:leader="none" w:pos="26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Sales of Unregistered Securities </w:t>
      </w:r>
      <w:r>
        <w:rPr>
          <w:rFonts w:ascii="Arial" w:cs="Arial" w:eastAsia="Arial" w:hAnsi="Arial"/>
          <w:sz w:val="17"/>
          <w:szCs w:val="17"/>
          <w:color w:val="auto"/>
        </w:rPr>
        <w:t>Not applicable.</w:t>
      </w:r>
    </w:p>
    <w:p>
      <w:pPr>
        <w:spacing w:after="0" w:line="30" w:lineRule="exact"/>
        <w:rPr>
          <w:rFonts w:ascii="Arial" w:cs="Arial" w:eastAsia="Arial" w:hAnsi="Arial"/>
          <w:sz w:val="17"/>
          <w:szCs w:val="17"/>
          <w:b w:val="1"/>
          <w:bCs w:val="1"/>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35" w:lineRule="exact"/>
        <w:rPr>
          <w:sz w:val="20"/>
          <w:szCs w:val="20"/>
          <w:color w:val="auto"/>
        </w:rPr>
      </w:pPr>
    </w:p>
    <w:p>
      <w:pPr>
        <w:ind w:right="80" w:firstLine="569"/>
        <w:spacing w:after="0" w:line="329" w:lineRule="auto"/>
        <w:rPr>
          <w:sz w:val="20"/>
          <w:szCs w:val="20"/>
          <w:color w:val="auto"/>
        </w:rPr>
      </w:pPr>
      <w:r>
        <w:rPr>
          <w:rFonts w:ascii="Arial" w:cs="Arial" w:eastAsia="Arial" w:hAnsi="Arial"/>
          <w:sz w:val="16"/>
          <w:szCs w:val="16"/>
          <w:color w:val="auto"/>
        </w:rPr>
        <w:t>The offer and sale of shares in our IPO was registered under the Securities Act pursuant to a registration statement on Form S-1 (File No.333-248225), which was declared effective by the SEC on September 17, 2020. The remainder of the information required by this item regarding the use of our IPO proceeds has been omitted pursuant to SEC rules because such information has not changed since our last periodic report was filed.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 Repurchases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536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363"/>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5080" w:type="dxa"/>
            <w:vAlign w:val="bottom"/>
            <w:tcBorders>
              <w:bottom w:val="single" w:sz="8" w:color="0563C1"/>
            </w:tcBorders>
            <w:gridSpan w:val="9"/>
          </w:tcPr>
          <w:p>
            <w:pPr>
              <w:spacing w:after="0"/>
              <w:rPr>
                <w:rFonts w:ascii="Arial" w:cs="Arial" w:eastAsia="Arial" w:hAnsi="Arial"/>
                <w:sz w:val="18"/>
                <w:szCs w:val="18"/>
                <w:color w:val="0563C1"/>
                <w:w w:val="91"/>
              </w:rPr>
            </w:pPr>
            <w:hyperlink r:id="rId278">
              <w:r>
                <w:rPr>
                  <w:rFonts w:ascii="Arial" w:cs="Arial" w:eastAsia="Arial" w:hAnsi="Arial"/>
                  <w:sz w:val="18"/>
                  <w:szCs w:val="18"/>
                  <w:color w:val="0563C1"/>
                  <w:w w:val="91"/>
                </w:rPr>
                <w:t>Form of Amended and Restated Certificate of Incorporation of Outset</w:t>
              </w:r>
            </w:hyperlink>
          </w:p>
        </w:tc>
        <w:tc>
          <w:tcPr>
            <w:tcW w:w="280" w:type="dxa"/>
            <w:vAlign w:val="bottom"/>
            <w:gridSpan w:val="3"/>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5360" w:type="dxa"/>
            <w:vAlign w:val="bottom"/>
            <w:gridSpan w:val="12"/>
          </w:tcPr>
          <w:p>
            <w:pPr>
              <w:spacing w:after="0"/>
              <w:rPr>
                <w:rFonts w:ascii="Arial" w:cs="Arial" w:eastAsia="Arial" w:hAnsi="Arial"/>
                <w:sz w:val="18"/>
                <w:szCs w:val="18"/>
                <w:color w:val="0563C1"/>
              </w:rPr>
            </w:pPr>
            <w:hyperlink r:id="rId278">
              <w:r>
                <w:rPr>
                  <w:rFonts w:ascii="Arial" w:cs="Arial" w:eastAsia="Arial" w:hAnsi="Arial"/>
                  <w:sz w:val="18"/>
                  <w:szCs w:val="18"/>
                  <w:color w:val="0563C1"/>
                </w:rPr>
                <w:t>Medical, Inc.</w:t>
              </w:r>
            </w:hyperlink>
          </w:p>
        </w:tc>
      </w:tr>
      <w:tr>
        <w:trPr>
          <w:trHeight w:val="20"/>
        </w:trPr>
        <w:tc>
          <w:tcPr>
            <w:tcW w:w="940" w:type="dxa"/>
            <w:vAlign w:val="bottom"/>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563C1"/>
            </w:tcBorders>
            <w:gridSpan w:val="6"/>
          </w:tcPr>
          <w:p>
            <w:pPr>
              <w:spacing w:after="0"/>
              <w:rPr>
                <w:rFonts w:ascii="Arial" w:cs="Arial" w:eastAsia="Arial" w:hAnsi="Arial"/>
                <w:sz w:val="18"/>
                <w:szCs w:val="18"/>
                <w:color w:val="0563C1"/>
                <w:w w:val="91"/>
              </w:rPr>
            </w:pPr>
            <w:hyperlink r:id="rId279">
              <w:r>
                <w:rPr>
                  <w:rFonts w:ascii="Arial" w:cs="Arial" w:eastAsia="Arial" w:hAnsi="Arial"/>
                  <w:sz w:val="18"/>
                  <w:szCs w:val="18"/>
                  <w:color w:val="0563C1"/>
                  <w:w w:val="91"/>
                </w:rPr>
                <w:t>Form of Amended and Restated Bylaws of Outset Medical, Inc.</w:t>
              </w:r>
            </w:hyperlink>
          </w:p>
        </w:tc>
        <w:tc>
          <w:tcPr>
            <w:tcW w:w="760" w:type="dxa"/>
            <w:vAlign w:val="bottom"/>
            <w:gridSpan w:val="6"/>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5360" w:type="dxa"/>
            <w:vAlign w:val="bottom"/>
            <w:gridSpan w:val="12"/>
          </w:tcPr>
          <w:p>
            <w:pPr>
              <w:spacing w:after="0"/>
              <w:rPr>
                <w:rFonts w:ascii="Arial" w:cs="Arial" w:eastAsia="Arial" w:hAnsi="Arial"/>
                <w:sz w:val="18"/>
                <w:szCs w:val="18"/>
                <w:color w:val="0563C1"/>
              </w:rPr>
            </w:pPr>
            <w:hyperlink r:id="rId280">
              <w:r>
                <w:rPr>
                  <w:rFonts w:ascii="Arial" w:cs="Arial" w:eastAsia="Arial" w:hAnsi="Arial"/>
                  <w:sz w:val="18"/>
                  <w:szCs w:val="18"/>
                  <w:color w:val="0563C1"/>
                </w:rPr>
                <w:t>Form of Common Stock Certificate</w:t>
              </w:r>
            </w:hyperlink>
          </w:p>
        </w:tc>
      </w:tr>
      <w:tr>
        <w:trPr>
          <w:trHeight w:val="20"/>
        </w:trPr>
        <w:tc>
          <w:tcPr>
            <w:tcW w:w="940" w:type="dxa"/>
            <w:vAlign w:val="bottom"/>
          </w:tcPr>
          <w:p>
            <w:pPr>
              <w:spacing w:after="0" w:line="20" w:lineRule="exact"/>
              <w:rPr>
                <w:sz w:val="1"/>
                <w:szCs w:val="1"/>
                <w:color w:val="auto"/>
              </w:rPr>
            </w:pPr>
          </w:p>
        </w:tc>
        <w:tc>
          <w:tcPr>
            <w:tcW w:w="2560" w:type="dxa"/>
            <w:vAlign w:val="bottom"/>
            <w:gridSpan w:val="2"/>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8"/>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3960" w:type="dxa"/>
            <w:vAlign w:val="bottom"/>
            <w:tcBorders>
              <w:bottom w:val="single" w:sz="8" w:color="0563C1"/>
            </w:tcBorders>
            <w:gridSpan w:val="5"/>
          </w:tcPr>
          <w:p>
            <w:pPr>
              <w:spacing w:after="0"/>
              <w:rPr>
                <w:rFonts w:ascii="Arial" w:cs="Arial" w:eastAsia="Arial" w:hAnsi="Arial"/>
                <w:sz w:val="18"/>
                <w:szCs w:val="18"/>
                <w:color w:val="0563C1"/>
                <w:w w:val="89"/>
              </w:rPr>
            </w:pPr>
            <w:hyperlink r:id="rId281">
              <w:r>
                <w:rPr>
                  <w:rFonts w:ascii="Arial" w:cs="Arial" w:eastAsia="Arial" w:hAnsi="Arial"/>
                  <w:sz w:val="18"/>
                  <w:szCs w:val="18"/>
                  <w:color w:val="0563C1"/>
                  <w:w w:val="89"/>
                </w:rPr>
                <w:t>Amended and Restated Registration Rights Agreement</w:t>
              </w:r>
            </w:hyperlink>
          </w:p>
        </w:tc>
        <w:tc>
          <w:tcPr>
            <w:tcW w:w="1400" w:type="dxa"/>
            <w:vAlign w:val="bottom"/>
            <w:gridSpan w:val="7"/>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2940" w:type="dxa"/>
            <w:vAlign w:val="bottom"/>
            <w:tcBorders>
              <w:bottom w:val="single" w:sz="8" w:color="0563C1"/>
            </w:tcBorders>
            <w:gridSpan w:val="3"/>
          </w:tcPr>
          <w:p>
            <w:pPr>
              <w:spacing w:after="0"/>
              <w:rPr>
                <w:rFonts w:ascii="Arial" w:cs="Arial" w:eastAsia="Arial" w:hAnsi="Arial"/>
                <w:sz w:val="18"/>
                <w:szCs w:val="18"/>
                <w:color w:val="0563C1"/>
                <w:w w:val="90"/>
              </w:rPr>
            </w:pPr>
            <w:hyperlink r:id="rId282">
              <w:r>
                <w:rPr>
                  <w:rFonts w:ascii="Arial" w:cs="Arial" w:eastAsia="Arial" w:hAnsi="Arial"/>
                  <w:sz w:val="18"/>
                  <w:szCs w:val="18"/>
                  <w:color w:val="0563C1"/>
                  <w:w w:val="90"/>
                </w:rPr>
                <w:t>Form of Series A Warrant Agreement #1</w:t>
              </w:r>
            </w:hyperlink>
          </w:p>
        </w:tc>
        <w:tc>
          <w:tcPr>
            <w:tcW w:w="2420" w:type="dxa"/>
            <w:vAlign w:val="bottom"/>
            <w:gridSpan w:val="9"/>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2940" w:type="dxa"/>
            <w:vAlign w:val="bottom"/>
            <w:tcBorders>
              <w:bottom w:val="single" w:sz="8" w:color="0563C1"/>
            </w:tcBorders>
            <w:gridSpan w:val="3"/>
          </w:tcPr>
          <w:p>
            <w:pPr>
              <w:spacing w:after="0"/>
              <w:rPr>
                <w:rFonts w:ascii="Arial" w:cs="Arial" w:eastAsia="Arial" w:hAnsi="Arial"/>
                <w:sz w:val="18"/>
                <w:szCs w:val="18"/>
                <w:color w:val="0563C1"/>
                <w:w w:val="90"/>
              </w:rPr>
            </w:pPr>
            <w:hyperlink r:id="rId283">
              <w:r>
                <w:rPr>
                  <w:rFonts w:ascii="Arial" w:cs="Arial" w:eastAsia="Arial" w:hAnsi="Arial"/>
                  <w:sz w:val="18"/>
                  <w:szCs w:val="18"/>
                  <w:color w:val="0563C1"/>
                  <w:w w:val="90"/>
                </w:rPr>
                <w:t>Form of Series A Warrant Agreement #2</w:t>
              </w:r>
            </w:hyperlink>
          </w:p>
        </w:tc>
        <w:tc>
          <w:tcPr>
            <w:tcW w:w="2420" w:type="dxa"/>
            <w:vAlign w:val="bottom"/>
            <w:gridSpan w:val="9"/>
          </w:tcPr>
          <w:p>
            <w:pPr>
              <w:spacing w:after="0"/>
              <w:rPr>
                <w:sz w:val="24"/>
                <w:szCs w:val="24"/>
                <w:color w:val="auto"/>
              </w:rPr>
            </w:pPr>
          </w:p>
        </w:tc>
      </w:tr>
      <w:tr>
        <w:trPr>
          <w:trHeight w:val="399"/>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tcBorders>
              <w:bottom w:val="single" w:sz="8" w:color="0563C1"/>
            </w:tcBorders>
            <w:gridSpan w:val="11"/>
          </w:tcPr>
          <w:p>
            <w:pPr>
              <w:spacing w:after="0"/>
              <w:rPr>
                <w:rFonts w:ascii="Arial" w:cs="Arial" w:eastAsia="Arial" w:hAnsi="Arial"/>
                <w:sz w:val="18"/>
                <w:szCs w:val="18"/>
                <w:color w:val="0563C1"/>
                <w:w w:val="93"/>
              </w:rPr>
            </w:pPr>
            <w:hyperlink w:anchor="page32">
              <w:r>
                <w:rPr>
                  <w:rFonts w:ascii="Arial" w:cs="Arial" w:eastAsia="Arial" w:hAnsi="Arial"/>
                  <w:sz w:val="18"/>
                  <w:szCs w:val="18"/>
                  <w:color w:val="0563C1"/>
                  <w:w w:val="93"/>
                </w:rPr>
                <w:t>Certification of Principal Executive Officer Pursuant to Rules 13a-14(a)</w:t>
              </w:r>
            </w:hyperlink>
          </w:p>
        </w:tc>
        <w:tc>
          <w:tcPr>
            <w:tcW w:w="120" w:type="dxa"/>
            <w:vAlign w:val="bottom"/>
          </w:tcPr>
          <w:p>
            <w:pPr>
              <w:spacing w:after="0"/>
              <w:rPr>
                <w:sz w:val="24"/>
                <w:szCs w:val="24"/>
                <w:color w:val="auto"/>
              </w:rPr>
            </w:pPr>
          </w:p>
        </w:tc>
      </w:tr>
      <w:tr>
        <w:trPr>
          <w:trHeight w:val="209"/>
        </w:trPr>
        <w:tc>
          <w:tcPr>
            <w:tcW w:w="940" w:type="dxa"/>
            <w:vAlign w:val="bottom"/>
          </w:tcPr>
          <w:p>
            <w:pPr>
              <w:spacing w:after="0"/>
              <w:rPr>
                <w:sz w:val="18"/>
                <w:szCs w:val="18"/>
                <w:color w:val="auto"/>
              </w:rPr>
            </w:pPr>
          </w:p>
        </w:tc>
        <w:tc>
          <w:tcPr>
            <w:tcW w:w="4880" w:type="dxa"/>
            <w:vAlign w:val="bottom"/>
            <w:tcBorders>
              <w:bottom w:val="single" w:sz="8" w:color="0563C1"/>
            </w:tcBorders>
            <w:gridSpan w:val="7"/>
          </w:tcPr>
          <w:p>
            <w:pPr>
              <w:spacing w:after="0"/>
              <w:rPr>
                <w:rFonts w:ascii="Arial" w:cs="Arial" w:eastAsia="Arial" w:hAnsi="Arial"/>
                <w:sz w:val="18"/>
                <w:szCs w:val="18"/>
                <w:color w:val="0563C1"/>
                <w:w w:val="90"/>
              </w:rPr>
            </w:pPr>
            <w:hyperlink w:anchor="page32">
              <w:r>
                <w:rPr>
                  <w:rFonts w:ascii="Arial" w:cs="Arial" w:eastAsia="Arial" w:hAnsi="Arial"/>
                  <w:sz w:val="18"/>
                  <w:szCs w:val="18"/>
                  <w:color w:val="0563C1"/>
                  <w:w w:val="90"/>
                </w:rPr>
                <w:t>and 15d-14(a) of the Exchange Act of 1934, as adopted pursuant to</w:t>
              </w:r>
            </w:hyperlink>
          </w:p>
        </w:tc>
        <w:tc>
          <w:tcPr>
            <w:tcW w:w="480" w:type="dxa"/>
            <w:vAlign w:val="bottom"/>
            <w:gridSpan w:val="5"/>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420" w:type="dxa"/>
            <w:vAlign w:val="bottom"/>
            <w:tcBorders>
              <w:bottom w:val="single" w:sz="8" w:color="0563C1"/>
            </w:tcBorders>
            <w:gridSpan w:val="4"/>
          </w:tcPr>
          <w:p>
            <w:pPr>
              <w:spacing w:after="0"/>
              <w:rPr>
                <w:rFonts w:ascii="Arial" w:cs="Arial" w:eastAsia="Arial" w:hAnsi="Arial"/>
                <w:sz w:val="18"/>
                <w:szCs w:val="18"/>
                <w:color w:val="0563C1"/>
                <w:w w:val="90"/>
              </w:rPr>
            </w:pPr>
            <w:hyperlink w:anchor="page32">
              <w:r>
                <w:rPr>
                  <w:rFonts w:ascii="Arial" w:cs="Arial" w:eastAsia="Arial" w:hAnsi="Arial"/>
                  <w:sz w:val="18"/>
                  <w:szCs w:val="18"/>
                  <w:color w:val="0563C1"/>
                  <w:w w:val="90"/>
                </w:rPr>
                <w:t>Section 302 of the Sarbanes-Oxley Act of 2002</w:t>
              </w:r>
            </w:hyperlink>
          </w:p>
        </w:tc>
        <w:tc>
          <w:tcPr>
            <w:tcW w:w="1940" w:type="dxa"/>
            <w:vAlign w:val="bottom"/>
            <w:gridSpan w:val="8"/>
          </w:tcPr>
          <w:p>
            <w:pPr>
              <w:spacing w:after="0"/>
              <w:rPr>
                <w:sz w:val="18"/>
                <w:szCs w:val="18"/>
                <w:color w:val="auto"/>
              </w:rPr>
            </w:pPr>
          </w:p>
        </w:tc>
      </w:tr>
      <w:tr>
        <w:trPr>
          <w:trHeight w:val="385"/>
        </w:trPr>
        <w:tc>
          <w:tcPr>
            <w:tcW w:w="940" w:type="dxa"/>
            <w:vAlign w:val="bottom"/>
          </w:tcPr>
          <w:p>
            <w:pPr>
              <w:ind w:left="40"/>
              <w:spacing w:after="0"/>
              <w:rPr>
                <w:sz w:val="20"/>
                <w:szCs w:val="20"/>
                <w:color w:val="auto"/>
              </w:rPr>
            </w:pPr>
            <w:r>
              <w:rPr>
                <w:rFonts w:ascii="Arial" w:cs="Arial" w:eastAsia="Arial" w:hAnsi="Arial"/>
                <w:sz w:val="18"/>
                <w:szCs w:val="18"/>
                <w:color w:val="auto"/>
              </w:rPr>
              <w:t>31.2*</w:t>
            </w:r>
          </w:p>
        </w:tc>
        <w:tc>
          <w:tcPr>
            <w:tcW w:w="5180" w:type="dxa"/>
            <w:vAlign w:val="bottom"/>
            <w:tcBorders>
              <w:bottom w:val="single" w:sz="8" w:color="0563C1"/>
            </w:tcBorders>
            <w:gridSpan w:val="10"/>
          </w:tcPr>
          <w:p>
            <w:pPr>
              <w:spacing w:after="0"/>
              <w:rPr>
                <w:rFonts w:ascii="Arial" w:cs="Arial" w:eastAsia="Arial" w:hAnsi="Arial"/>
                <w:sz w:val="18"/>
                <w:szCs w:val="18"/>
                <w:color w:val="0563C1"/>
                <w:w w:val="92"/>
              </w:rPr>
            </w:pPr>
            <w:hyperlink w:anchor="page33">
              <w:r>
                <w:rPr>
                  <w:rFonts w:ascii="Arial" w:cs="Arial" w:eastAsia="Arial" w:hAnsi="Arial"/>
                  <w:sz w:val="18"/>
                  <w:szCs w:val="18"/>
                  <w:color w:val="0563C1"/>
                  <w:w w:val="92"/>
                </w:rPr>
                <w:t>Certification of Principal Financial Officer Pursuant to Rules 13a-14(a)</w:t>
              </w:r>
            </w:hyperlink>
          </w:p>
        </w:tc>
        <w:tc>
          <w:tcPr>
            <w:tcW w:w="180" w:type="dxa"/>
            <w:vAlign w:val="bottom"/>
            <w:gridSpan w:val="2"/>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4880" w:type="dxa"/>
            <w:vAlign w:val="bottom"/>
            <w:tcBorders>
              <w:bottom w:val="single" w:sz="8" w:color="0563C1"/>
            </w:tcBorders>
            <w:gridSpan w:val="7"/>
          </w:tcPr>
          <w:p>
            <w:pPr>
              <w:spacing w:after="0"/>
              <w:rPr>
                <w:rFonts w:ascii="Arial" w:cs="Arial" w:eastAsia="Arial" w:hAnsi="Arial"/>
                <w:sz w:val="18"/>
                <w:szCs w:val="18"/>
                <w:color w:val="0563C1"/>
                <w:w w:val="90"/>
              </w:rPr>
            </w:pPr>
            <w:hyperlink w:anchor="page33">
              <w:r>
                <w:rPr>
                  <w:rFonts w:ascii="Arial" w:cs="Arial" w:eastAsia="Arial" w:hAnsi="Arial"/>
                  <w:sz w:val="18"/>
                  <w:szCs w:val="18"/>
                  <w:color w:val="0563C1"/>
                  <w:w w:val="90"/>
                </w:rPr>
                <w:t>and 15d-14(a) of the Exchange Act of 1934, as adopted pursuant to</w:t>
              </w:r>
            </w:hyperlink>
          </w:p>
        </w:tc>
        <w:tc>
          <w:tcPr>
            <w:tcW w:w="480" w:type="dxa"/>
            <w:vAlign w:val="bottom"/>
            <w:gridSpan w:val="5"/>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420" w:type="dxa"/>
            <w:vAlign w:val="bottom"/>
            <w:tcBorders>
              <w:bottom w:val="single" w:sz="8" w:color="0563C1"/>
            </w:tcBorders>
            <w:gridSpan w:val="4"/>
          </w:tcPr>
          <w:p>
            <w:pPr>
              <w:spacing w:after="0"/>
              <w:rPr>
                <w:rFonts w:ascii="Arial" w:cs="Arial" w:eastAsia="Arial" w:hAnsi="Arial"/>
                <w:sz w:val="18"/>
                <w:szCs w:val="18"/>
                <w:color w:val="0563C1"/>
                <w:w w:val="90"/>
              </w:rPr>
            </w:pPr>
            <w:hyperlink w:anchor="page33">
              <w:r>
                <w:rPr>
                  <w:rFonts w:ascii="Arial" w:cs="Arial" w:eastAsia="Arial" w:hAnsi="Arial"/>
                  <w:sz w:val="18"/>
                  <w:szCs w:val="18"/>
                  <w:color w:val="0563C1"/>
                  <w:w w:val="90"/>
                </w:rPr>
                <w:t>Section 302 of the Sarbanes-Oxley Act of 2002</w:t>
              </w:r>
            </w:hyperlink>
          </w:p>
        </w:tc>
        <w:tc>
          <w:tcPr>
            <w:tcW w:w="1940" w:type="dxa"/>
            <w:vAlign w:val="bottom"/>
            <w:gridSpan w:val="8"/>
          </w:tcPr>
          <w:p>
            <w:pPr>
              <w:spacing w:after="0"/>
              <w:rPr>
                <w:sz w:val="18"/>
                <w:szCs w:val="18"/>
                <w:color w:val="auto"/>
              </w:rPr>
            </w:pPr>
          </w:p>
        </w:tc>
      </w:tr>
      <w:tr>
        <w:trPr>
          <w:trHeight w:val="385"/>
        </w:trPr>
        <w:tc>
          <w:tcPr>
            <w:tcW w:w="940" w:type="dxa"/>
            <w:vAlign w:val="bottom"/>
          </w:tcPr>
          <w:p>
            <w:pPr>
              <w:ind w:left="100"/>
              <w:spacing w:after="0"/>
              <w:rPr>
                <w:sz w:val="20"/>
                <w:szCs w:val="20"/>
                <w:color w:val="auto"/>
              </w:rPr>
            </w:pPr>
            <w:r>
              <w:rPr>
                <w:rFonts w:ascii="Arial" w:cs="Arial" w:eastAsia="Arial" w:hAnsi="Arial"/>
                <w:sz w:val="18"/>
                <w:szCs w:val="18"/>
                <w:color w:val="auto"/>
              </w:rPr>
              <w:t>32.1*</w:t>
            </w:r>
          </w:p>
        </w:tc>
        <w:tc>
          <w:tcPr>
            <w:tcW w:w="4880" w:type="dxa"/>
            <w:vAlign w:val="bottom"/>
            <w:tcBorders>
              <w:bottom w:val="single" w:sz="8" w:color="0563C1"/>
            </w:tcBorders>
            <w:gridSpan w:val="7"/>
          </w:tcPr>
          <w:p>
            <w:pPr>
              <w:spacing w:after="0"/>
              <w:rPr>
                <w:rFonts w:ascii="Arial" w:cs="Arial" w:eastAsia="Arial" w:hAnsi="Arial"/>
                <w:sz w:val="18"/>
                <w:szCs w:val="18"/>
                <w:color w:val="0563C1"/>
                <w:w w:val="94"/>
              </w:rPr>
            </w:pPr>
            <w:hyperlink w:anchor="page34">
              <w:r>
                <w:rPr>
                  <w:rFonts w:ascii="Arial" w:cs="Arial" w:eastAsia="Arial" w:hAnsi="Arial"/>
                  <w:sz w:val="18"/>
                  <w:szCs w:val="18"/>
                  <w:color w:val="0563C1"/>
                  <w:w w:val="94"/>
                </w:rPr>
                <w:t>Certification of Principal Executive Officer and Principal Financial</w:t>
              </w:r>
            </w:hyperlink>
          </w:p>
        </w:tc>
        <w:tc>
          <w:tcPr>
            <w:tcW w:w="480" w:type="dxa"/>
            <w:vAlign w:val="bottom"/>
            <w:gridSpan w:val="5"/>
          </w:tcPr>
          <w:p>
            <w:pPr>
              <w:spacing w:after="0"/>
              <w:rPr>
                <w:sz w:val="24"/>
                <w:szCs w:val="24"/>
                <w:color w:val="auto"/>
              </w:rPr>
            </w:pPr>
          </w:p>
        </w:tc>
      </w:tr>
      <w:tr>
        <w:trPr>
          <w:trHeight w:val="209"/>
        </w:trPr>
        <w:tc>
          <w:tcPr>
            <w:tcW w:w="940" w:type="dxa"/>
            <w:vAlign w:val="bottom"/>
          </w:tcPr>
          <w:p>
            <w:pPr>
              <w:spacing w:after="0"/>
              <w:rPr>
                <w:sz w:val="18"/>
                <w:szCs w:val="18"/>
                <w:color w:val="auto"/>
              </w:rPr>
            </w:pPr>
          </w:p>
        </w:tc>
        <w:tc>
          <w:tcPr>
            <w:tcW w:w="4940" w:type="dxa"/>
            <w:vAlign w:val="bottom"/>
            <w:tcBorders>
              <w:bottom w:val="single" w:sz="8" w:color="0563C1"/>
            </w:tcBorders>
            <w:gridSpan w:val="8"/>
          </w:tcPr>
          <w:p>
            <w:pPr>
              <w:spacing w:after="0"/>
              <w:rPr>
                <w:rFonts w:ascii="Arial" w:cs="Arial" w:eastAsia="Arial" w:hAnsi="Arial"/>
                <w:sz w:val="18"/>
                <w:szCs w:val="18"/>
                <w:color w:val="0563C1"/>
                <w:w w:val="90"/>
              </w:rPr>
            </w:pPr>
            <w:hyperlink w:anchor="page34">
              <w:r>
                <w:rPr>
                  <w:rFonts w:ascii="Arial" w:cs="Arial" w:eastAsia="Arial" w:hAnsi="Arial"/>
                  <w:sz w:val="18"/>
                  <w:szCs w:val="18"/>
                  <w:color w:val="0563C1"/>
                  <w:w w:val="90"/>
                </w:rPr>
                <w:t>Officer Pursuant to 18 U.S.C. Section 1350, as Adopted Pursuant to</w:t>
              </w:r>
            </w:hyperlink>
          </w:p>
        </w:tc>
        <w:tc>
          <w:tcPr>
            <w:tcW w:w="420" w:type="dxa"/>
            <w:vAlign w:val="bottom"/>
            <w:gridSpan w:val="4"/>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420" w:type="dxa"/>
            <w:vAlign w:val="bottom"/>
            <w:tcBorders>
              <w:bottom w:val="single" w:sz="8" w:color="0563C1"/>
            </w:tcBorders>
            <w:gridSpan w:val="4"/>
          </w:tcPr>
          <w:p>
            <w:pPr>
              <w:spacing w:after="0"/>
              <w:rPr>
                <w:rFonts w:ascii="Arial" w:cs="Arial" w:eastAsia="Arial" w:hAnsi="Arial"/>
                <w:sz w:val="18"/>
                <w:szCs w:val="18"/>
                <w:color w:val="0563C1"/>
                <w:w w:val="90"/>
              </w:rPr>
            </w:pPr>
            <w:hyperlink w:anchor="page34">
              <w:r>
                <w:rPr>
                  <w:rFonts w:ascii="Arial" w:cs="Arial" w:eastAsia="Arial" w:hAnsi="Arial"/>
                  <w:sz w:val="18"/>
                  <w:szCs w:val="18"/>
                  <w:color w:val="0563C1"/>
                  <w:w w:val="90"/>
                </w:rPr>
                <w:t>Section 906 of the Sarbanes-Oxley Act of 2002</w:t>
              </w:r>
            </w:hyperlink>
          </w:p>
        </w:tc>
        <w:tc>
          <w:tcPr>
            <w:tcW w:w="1940" w:type="dxa"/>
            <w:vAlign w:val="bottom"/>
            <w:gridSpan w:val="8"/>
          </w:tcPr>
          <w:p>
            <w:pPr>
              <w:spacing w:after="0"/>
              <w:rPr>
                <w:sz w:val="18"/>
                <w:szCs w:val="18"/>
                <w:color w:val="auto"/>
              </w:rPr>
            </w:pPr>
          </w:p>
        </w:tc>
      </w:tr>
      <w:tr>
        <w:trPr>
          <w:trHeight w:val="425"/>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360" w:type="dxa"/>
            <w:vAlign w:val="bottom"/>
            <w:gridSpan w:val="12"/>
          </w:tcPr>
          <w:p>
            <w:pPr>
              <w:spacing w:after="0"/>
              <w:rPr>
                <w:sz w:val="20"/>
                <w:szCs w:val="20"/>
                <w:color w:val="auto"/>
              </w:rPr>
            </w:pPr>
            <w:r>
              <w:rPr>
                <w:rFonts w:ascii="Arial" w:cs="Arial" w:eastAsia="Arial" w:hAnsi="Arial"/>
                <w:sz w:val="18"/>
                <w:szCs w:val="18"/>
                <w:color w:val="auto"/>
                <w:w w:val="90"/>
              </w:rPr>
              <w:t>Inline XBRL Instance Document – the instance document does not appear</w:t>
            </w:r>
          </w:p>
        </w:tc>
      </w:tr>
      <w:tr>
        <w:trPr>
          <w:trHeight w:val="230"/>
        </w:trPr>
        <w:tc>
          <w:tcPr>
            <w:tcW w:w="940" w:type="dxa"/>
            <w:vAlign w:val="bottom"/>
          </w:tcPr>
          <w:p>
            <w:pPr>
              <w:spacing w:after="0"/>
              <w:rPr>
                <w:sz w:val="19"/>
                <w:szCs w:val="19"/>
                <w:color w:val="auto"/>
              </w:rPr>
            </w:pPr>
          </w:p>
        </w:tc>
        <w:tc>
          <w:tcPr>
            <w:tcW w:w="5360" w:type="dxa"/>
            <w:vAlign w:val="bottom"/>
            <w:gridSpan w:val="12"/>
          </w:tcPr>
          <w:p>
            <w:pPr>
              <w:spacing w:after="0"/>
              <w:rPr>
                <w:sz w:val="20"/>
                <w:szCs w:val="20"/>
                <w:color w:val="auto"/>
              </w:rPr>
            </w:pPr>
            <w:r>
              <w:rPr>
                <w:rFonts w:ascii="Arial" w:cs="Arial" w:eastAsia="Arial" w:hAnsi="Arial"/>
                <w:sz w:val="18"/>
                <w:szCs w:val="18"/>
                <w:color w:val="auto"/>
                <w:w w:val="93"/>
              </w:rPr>
              <w:t>in the Interactive Data File because its XBRL tags are embedded within</w:t>
            </w:r>
          </w:p>
        </w:tc>
      </w:tr>
      <w:tr>
        <w:trPr>
          <w:trHeight w:val="230"/>
        </w:trPr>
        <w:tc>
          <w:tcPr>
            <w:tcW w:w="940" w:type="dxa"/>
            <w:vAlign w:val="bottom"/>
          </w:tcPr>
          <w:p>
            <w:pPr>
              <w:spacing w:after="0"/>
              <w:rPr>
                <w:sz w:val="20"/>
                <w:szCs w:val="20"/>
                <w:color w:val="auto"/>
              </w:rPr>
            </w:pPr>
          </w:p>
        </w:tc>
        <w:tc>
          <w:tcPr>
            <w:tcW w:w="5360" w:type="dxa"/>
            <w:vAlign w:val="bottom"/>
            <w:gridSpan w:val="12"/>
          </w:tcPr>
          <w:p>
            <w:pPr>
              <w:spacing w:after="0"/>
              <w:rPr>
                <w:sz w:val="20"/>
                <w:szCs w:val="20"/>
                <w:color w:val="auto"/>
              </w:rPr>
            </w:pPr>
            <w:r>
              <w:rPr>
                <w:rFonts w:ascii="Arial" w:cs="Arial" w:eastAsia="Arial" w:hAnsi="Arial"/>
                <w:sz w:val="18"/>
                <w:szCs w:val="18"/>
                <w:color w:val="auto"/>
              </w:rPr>
              <w:t>the Inline XBRL document.</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3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3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3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3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360" w:type="dxa"/>
            <w:vAlign w:val="bottom"/>
            <w:gridSpan w:val="12"/>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26" w:lineRule="exact"/>
        <w:rPr>
          <w:sz w:val="20"/>
          <w:szCs w:val="20"/>
          <w:color w:val="auto"/>
        </w:rPr>
      </w:pPr>
    </w:p>
    <w:p>
      <w:pPr>
        <w:ind w:left="960" w:right="280" w:hanging="939"/>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23495</wp:posOffset>
            </wp:positionV>
            <wp:extent cx="30861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jc w:val="center"/>
              <w:ind w:right="153"/>
              <w:spacing w:after="0"/>
              <w:rPr>
                <w:sz w:val="20"/>
                <w:szCs w:val="20"/>
                <w:color w:val="auto"/>
              </w:rPr>
            </w:pPr>
            <w:r>
              <w:rPr>
                <w:rFonts w:ascii="Arial" w:cs="Arial" w:eastAsia="Arial" w:hAnsi="Arial"/>
                <w:sz w:val="14"/>
                <w:szCs w:val="14"/>
                <w:b w:val="1"/>
                <w:bCs w:val="1"/>
                <w:color w:val="auto"/>
                <w:w w:val="97"/>
              </w:rPr>
              <w:t>Form</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jc w:val="center"/>
              <w:ind w:left="113"/>
              <w:spacing w:after="0"/>
              <w:rPr>
                <w:sz w:val="20"/>
                <w:szCs w:val="20"/>
                <w:color w:val="auto"/>
              </w:rPr>
            </w:pPr>
            <w:r>
              <w:rPr>
                <w:rFonts w:ascii="Arial" w:cs="Arial" w:eastAsia="Arial" w:hAnsi="Arial"/>
                <w:sz w:val="14"/>
                <w:szCs w:val="14"/>
                <w:b w:val="1"/>
                <w:bCs w:val="1"/>
                <w:color w:val="auto"/>
                <w:w w:val="94"/>
              </w:rPr>
              <w:t>Filing Date</w:t>
            </w:r>
          </w:p>
        </w:tc>
      </w:tr>
      <w:tr>
        <w:trPr>
          <w:trHeight w:val="417"/>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635"/>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41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41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r>
        <w:trPr>
          <w:trHeight w:val="41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r>
        <w:trPr>
          <w:trHeight w:val="41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bl>
    <w:p>
      <w:pPr>
        <w:sectPr>
          <w:pgSz w:w="11900" w:h="16838" w:orient="portrait"/>
          <w:cols w:equalWidth="0" w:num="2">
            <w:col w:w="6320" w:space="280"/>
            <w:col w:w="4460"/>
          </w:cols>
          <w:pgMar w:left="320" w:top="364" w:right="5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300" w:type="dxa"/>
            <w:vAlign w:val="bottom"/>
            <w:gridSpan w:val="2"/>
          </w:tcPr>
          <w:p>
            <w:pPr>
              <w:ind w:left="1820"/>
              <w:spacing w:after="0"/>
              <w:rPr>
                <w:sz w:val="20"/>
                <w:szCs w:val="20"/>
                <w:color w:val="auto"/>
              </w:rPr>
            </w:pPr>
            <w:r>
              <w:rPr>
                <w:rFonts w:ascii="Arial" w:cs="Arial" w:eastAsia="Arial" w:hAnsi="Arial"/>
                <w:sz w:val="18"/>
                <w:szCs w:val="18"/>
                <w:color w:val="auto"/>
                <w:w w:val="91"/>
              </w:rPr>
              <w:t>Outset Medical, Inc.</w:t>
            </w:r>
          </w:p>
        </w:tc>
        <w:tc>
          <w:tcPr>
            <w:tcW w:w="4320" w:type="dxa"/>
            <w:vAlign w:val="bottom"/>
          </w:tcPr>
          <w:p>
            <w:pPr>
              <w:spacing w:after="0"/>
              <w:rPr>
                <w:sz w:val="20"/>
                <w:szCs w:val="20"/>
                <w:color w:val="auto"/>
              </w:rPr>
            </w:pPr>
          </w:p>
        </w:tc>
      </w:tr>
      <w:tr>
        <w:trPr>
          <w:trHeight w:val="486"/>
        </w:trPr>
        <w:tc>
          <w:tcPr>
            <w:tcW w:w="3620" w:type="dxa"/>
            <w:vAlign w:val="bottom"/>
          </w:tcPr>
          <w:p>
            <w:pPr>
              <w:ind w:left="20"/>
              <w:spacing w:after="0"/>
              <w:rPr>
                <w:sz w:val="20"/>
                <w:szCs w:val="20"/>
                <w:color w:val="auto"/>
              </w:rPr>
            </w:pPr>
            <w:r>
              <w:rPr>
                <w:rFonts w:ascii="Arial" w:cs="Arial" w:eastAsia="Arial" w:hAnsi="Arial"/>
                <w:sz w:val="18"/>
                <w:szCs w:val="18"/>
                <w:color w:val="auto"/>
              </w:rPr>
              <w:t>Date: November 3, 2021</w:t>
            </w:r>
          </w:p>
        </w:tc>
        <w:tc>
          <w:tcPr>
            <w:tcW w:w="3300" w:type="dxa"/>
            <w:vAlign w:val="bottom"/>
            <w:gridSpan w:val="2"/>
          </w:tcPr>
          <w:p>
            <w:pPr>
              <w:ind w:left="1820"/>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950"/>
              <w:spacing w:after="0"/>
              <w:rPr>
                <w:sz w:val="20"/>
                <w:szCs w:val="20"/>
                <w:color w:val="auto"/>
              </w:rPr>
            </w:pPr>
            <w:r>
              <w:rPr>
                <w:rFonts w:ascii="Arial" w:cs="Arial" w:eastAsia="Arial" w:hAnsi="Arial"/>
                <w:sz w:val="18"/>
                <w:szCs w:val="18"/>
                <w:color w:val="auto"/>
                <w:w w:val="92"/>
              </w:rPr>
              <w:t>/s/ Leslie Trigg</w:t>
            </w:r>
          </w:p>
        </w:tc>
      </w:tr>
      <w:tr>
        <w:trPr>
          <w:trHeight w:val="224"/>
        </w:trPr>
        <w:tc>
          <w:tcPr>
            <w:tcW w:w="36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4"/>
              </w:rPr>
              <w:t>Leslie Trigg</w:t>
            </w:r>
          </w:p>
        </w:tc>
      </w:tr>
      <w:tr>
        <w:trPr>
          <w:trHeight w:val="241"/>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20" w:type="dxa"/>
            <w:vAlign w:val="bottom"/>
          </w:tcPr>
          <w:p>
            <w:pPr>
              <w:jc w:val="center"/>
              <w:ind w:right="950"/>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20" w:type="dxa"/>
            <w:vAlign w:val="bottom"/>
          </w:tcPr>
          <w:p>
            <w:pPr>
              <w:jc w:val="center"/>
              <w:ind w:right="95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486"/>
        </w:trPr>
        <w:tc>
          <w:tcPr>
            <w:tcW w:w="3620" w:type="dxa"/>
            <w:vAlign w:val="bottom"/>
          </w:tcPr>
          <w:p>
            <w:pPr>
              <w:ind w:left="20"/>
              <w:spacing w:after="0"/>
              <w:rPr>
                <w:sz w:val="20"/>
                <w:szCs w:val="20"/>
                <w:color w:val="auto"/>
              </w:rPr>
            </w:pPr>
            <w:r>
              <w:rPr>
                <w:rFonts w:ascii="Arial" w:cs="Arial" w:eastAsia="Arial" w:hAnsi="Arial"/>
                <w:sz w:val="18"/>
                <w:szCs w:val="18"/>
                <w:color w:val="auto"/>
              </w:rPr>
              <w:t>Date: November 3, 2021</w:t>
            </w:r>
          </w:p>
        </w:tc>
        <w:tc>
          <w:tcPr>
            <w:tcW w:w="3300" w:type="dxa"/>
            <w:vAlign w:val="bottom"/>
            <w:gridSpan w:val="2"/>
          </w:tcPr>
          <w:p>
            <w:pPr>
              <w:ind w:left="1820"/>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930"/>
              <w:spacing w:after="0"/>
              <w:rPr>
                <w:sz w:val="20"/>
                <w:szCs w:val="20"/>
                <w:color w:val="auto"/>
              </w:rPr>
            </w:pPr>
            <w:r>
              <w:rPr>
                <w:rFonts w:ascii="Arial" w:cs="Arial" w:eastAsia="Arial" w:hAnsi="Arial"/>
                <w:sz w:val="18"/>
                <w:szCs w:val="18"/>
                <w:color w:val="auto"/>
                <w:w w:val="90"/>
              </w:rPr>
              <w:t>/s/ Nabeel Ahmed</w:t>
            </w:r>
          </w:p>
        </w:tc>
      </w:tr>
      <w:tr>
        <w:trPr>
          <w:trHeight w:val="224"/>
        </w:trPr>
        <w:tc>
          <w:tcPr>
            <w:tcW w:w="36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0"/>
              </w:rPr>
              <w:t>Nabeel Ahmed</w:t>
            </w:r>
          </w:p>
        </w:tc>
      </w:tr>
      <w:tr>
        <w:trPr>
          <w:trHeight w:val="241"/>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20" w:type="dxa"/>
            <w:vAlign w:val="bottom"/>
          </w:tcPr>
          <w:p>
            <w:pPr>
              <w:jc w:val="center"/>
              <w:ind w:right="95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20" w:type="dxa"/>
            <w:vAlign w:val="bottom"/>
          </w:tcPr>
          <w:p>
            <w:pPr>
              <w:jc w:val="center"/>
              <w:ind w:right="95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r>
      <w:tr>
        <w:trPr>
          <w:trHeight w:val="688"/>
        </w:trPr>
        <w:tc>
          <w:tcPr>
            <w:tcW w:w="3620" w:type="dxa"/>
            <w:vAlign w:val="bottom"/>
          </w:tcPr>
          <w:p>
            <w:pPr>
              <w:spacing w:after="0"/>
              <w:rPr>
                <w:sz w:val="24"/>
                <w:szCs w:val="24"/>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21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98"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660" w:hanging="652"/>
        <w:spacing w:after="0" w:line="32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jc w:val="both"/>
        <w:ind w:left="1400" w:hanging="643"/>
        <w:spacing w:after="0" w:line="279"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jc w:val="both"/>
        <w:ind w:left="1400" w:hanging="643"/>
        <w:spacing w:after="0" w:line="279"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1400" w:hanging="643"/>
        <w:spacing w:after="0" w:line="359" w:lineRule="auto"/>
        <w:tabs>
          <w:tab w:leader="none" w:pos="14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6"/>
          <w:szCs w:val="16"/>
          <w:color w:val="auto"/>
        </w:rPr>
      </w:pPr>
    </w:p>
    <w:p>
      <w:pPr>
        <w:jc w:val="both"/>
        <w:ind w:left="1400" w:hanging="643"/>
        <w:spacing w:after="0" w:line="279"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660" w:right="20" w:hanging="652"/>
        <w:spacing w:after="0" w:line="35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400" w:right="20" w:hanging="643"/>
        <w:spacing w:after="0" w:line="324" w:lineRule="auto"/>
        <w:tabs>
          <w:tab w:leader="none" w:pos="14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400" w:right="20" w:hanging="643"/>
        <w:spacing w:after="0" w:line="293"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780" w:val="left"/>
          <w:tab w:leader="none" w:pos="866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Leslie Trigg</w:t>
      </w:r>
    </w:p>
    <w:p>
      <w:pPr>
        <w:spacing w:after="0" w:line="50"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21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98"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660" w:hanging="652"/>
        <w:spacing w:after="0" w:line="32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jc w:val="both"/>
        <w:ind w:left="1400" w:hanging="643"/>
        <w:spacing w:after="0" w:line="279"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jc w:val="both"/>
        <w:ind w:left="1400" w:hanging="643"/>
        <w:spacing w:after="0" w:line="279"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1400" w:hanging="643"/>
        <w:spacing w:after="0" w:line="359" w:lineRule="auto"/>
        <w:tabs>
          <w:tab w:leader="none" w:pos="14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6"/>
          <w:szCs w:val="16"/>
          <w:color w:val="auto"/>
        </w:rPr>
      </w:pPr>
    </w:p>
    <w:p>
      <w:pPr>
        <w:jc w:val="both"/>
        <w:ind w:left="1400" w:hanging="643"/>
        <w:spacing w:after="0" w:line="279"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660" w:right="20" w:hanging="652"/>
        <w:spacing w:after="0" w:line="35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400" w:right="20" w:hanging="643"/>
        <w:spacing w:after="0" w:line="324" w:lineRule="auto"/>
        <w:tabs>
          <w:tab w:leader="none" w:pos="14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400" w:right="20" w:hanging="643"/>
        <w:spacing w:after="0" w:line="293"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780" w:val="left"/>
          <w:tab w:leader="none" w:pos="856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Nabeel Ahmed</w:t>
      </w:r>
    </w:p>
    <w:p>
      <w:pPr>
        <w:spacing w:after="0" w:line="50"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September 30, 2021, as filed with the Securities and Exchange Commission on the date hereof (the “Report”), each of the undersigned certifies, pursuant to 18 U.S.C. §1350, as adopted pursuant to §906 of the Sarbanes-Oxley Act of 2002, that, to her/his knowledge:</w:t>
      </w:r>
    </w:p>
    <w:p>
      <w:pPr>
        <w:spacing w:after="0" w:line="142" w:lineRule="exact"/>
        <w:rPr>
          <w:sz w:val="20"/>
          <w:szCs w:val="20"/>
          <w:color w:val="auto"/>
        </w:rPr>
      </w:pPr>
    </w:p>
    <w:p>
      <w:pPr>
        <w:ind w:left="700" w:hanging="318"/>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23" w:lineRule="exact"/>
        <w:rPr>
          <w:rFonts w:ascii="Arial" w:cs="Arial" w:eastAsia="Arial" w:hAnsi="Arial"/>
          <w:sz w:val="17"/>
          <w:szCs w:val="17"/>
          <w:color w:val="auto"/>
        </w:rPr>
      </w:pPr>
    </w:p>
    <w:p>
      <w:pPr>
        <w:ind w:left="700" w:hanging="318"/>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89"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23495</wp:posOffset>
            </wp:positionV>
            <wp:extent cx="38315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Leslie Trigg</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79"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23495</wp:posOffset>
            </wp:positionV>
            <wp:extent cx="38315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Nabeel Ahmed</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66"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lowerRoman"/>
      <w:start w:val="4"/>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
      <w:numFmt w:val="bullet"/>
      <w:start w:val="1"/>
    </w:lvl>
    <w:lvl w:ilvl="1">
      <w:lvlJc w:val="left"/>
      <w:lvlText w:val="%2"/>
      <w:numFmt w:val="decimal"/>
      <w:start w:val="104"/>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78" Type="http://schemas.openxmlformats.org/officeDocument/2006/relationships/hyperlink" Target="https://www.sec.gov/Archives/edgar/data/1484612/000119312520241516/d941853dex31.htm" TargetMode="External"/><Relationship Id="rId279" Type="http://schemas.openxmlformats.org/officeDocument/2006/relationships/hyperlink" Target="https://www.sec.gov/Archives/edgar/data/1484612/000119312520241516/d941853dex32.htm" TargetMode="External"/><Relationship Id="rId280" Type="http://schemas.openxmlformats.org/officeDocument/2006/relationships/hyperlink" Target="https://www.sec.gov/Archives/edgar/data/1484612/000119312520241516/d941853dex41.htm" TargetMode="External"/><Relationship Id="rId281" Type="http://schemas.openxmlformats.org/officeDocument/2006/relationships/hyperlink" Target="https://www.sec.gov/Archives/edgar/data/1484612/000119312520226746/d941853dex42.htm" TargetMode="External"/><Relationship Id="rId282" Type="http://schemas.openxmlformats.org/officeDocument/2006/relationships/hyperlink" Target="https://www.sec.gov/Archives/edgar/data/1484612/000119312520226746/d941853dex43.htm" TargetMode="External"/><Relationship Id="rId283"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2021-11-04T05:28:16Z</dcterms:created>
  <dcterms:modified xsi:type="dcterms:W3CDTF">2021-11-04T05:28:16Z</dcterms:modified>
</cp:coreProperties>
</file>