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208915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81280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8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118110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65"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5" w:lineRule="exact"/>
        <w:rPr>
          <w:sz w:val="24"/>
          <w:szCs w:val="24"/>
          <w:color w:val="auto"/>
        </w:rPr>
      </w:pPr>
    </w:p>
    <w:p>
      <w:pPr>
        <w:ind w:left="3880" w:right="1520" w:hanging="3872"/>
        <w:spacing w:after="0" w:line="367" w:lineRule="auto"/>
        <w:tabs>
          <w:tab w:leader="none" w:pos="570"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 OF 1934 For the quarterly period ended June 30, 2021</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17" w:lineRule="exact"/>
        <w:rPr>
          <w:sz w:val="24"/>
          <w:szCs w:val="24"/>
          <w:color w:val="auto"/>
        </w:rPr>
      </w:pPr>
    </w:p>
    <w:p>
      <w:pPr>
        <w:ind w:left="580" w:hanging="572"/>
        <w:spacing w:after="0"/>
        <w:tabs>
          <w:tab w:leader="none" w:pos="580"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w:t>
      </w:r>
    </w:p>
    <w:p>
      <w:pPr>
        <w:spacing w:after="0" w:line="113" w:lineRule="exact"/>
        <w:rPr>
          <w:sz w:val="24"/>
          <w:szCs w:val="24"/>
          <w:color w:val="auto"/>
        </w:rPr>
      </w:pPr>
    </w:p>
    <w:tbl>
      <w:tblPr>
        <w:tblLayout w:type="fixed"/>
        <w:tblInd w:w="3960" w:type="dxa"/>
        <w:tblCellMar>
          <w:top w:w="0" w:type="dxa"/>
          <w:left w:w="0" w:type="dxa"/>
          <w:bottom w:w="0" w:type="dxa"/>
          <w:right w:w="0" w:type="dxa"/>
        </w:tblCellMar>
      </w:tblPr>
      <w:tr>
        <w:trPr>
          <w:trHeight w:val="184"/>
        </w:trPr>
        <w:tc>
          <w:tcPr>
            <w:tcW w:w="2140" w:type="dxa"/>
            <w:vAlign w:val="bottom"/>
          </w:tcPr>
          <w:p>
            <w:pPr>
              <w:spacing w:after="0"/>
              <w:rPr>
                <w:sz w:val="20"/>
                <w:szCs w:val="20"/>
                <w:color w:val="auto"/>
              </w:rPr>
            </w:pPr>
            <w:r>
              <w:rPr>
                <w:rFonts w:ascii="Arial" w:cs="Arial" w:eastAsia="Arial" w:hAnsi="Arial"/>
                <w:sz w:val="16"/>
                <w:szCs w:val="16"/>
                <w:b w:val="1"/>
                <w:bCs w:val="1"/>
                <w:color w:val="auto"/>
                <w:w w:val="94"/>
              </w:rPr>
              <w:t>For the transition period from</w:t>
            </w:r>
          </w:p>
        </w:tc>
        <w:tc>
          <w:tcPr>
            <w:tcW w:w="480" w:type="dxa"/>
            <w:vAlign w:val="bottom"/>
            <w:tcBorders>
              <w:bottom w:val="single" w:sz="8" w:color="auto"/>
            </w:tcBorders>
          </w:tcPr>
          <w:p>
            <w:pPr>
              <w:spacing w:after="0"/>
              <w:rPr>
                <w:sz w:val="16"/>
                <w:szCs w:val="16"/>
                <w:color w:val="auto"/>
              </w:rPr>
            </w:pPr>
          </w:p>
        </w:tc>
        <w:tc>
          <w:tcPr>
            <w:tcW w:w="220" w:type="dxa"/>
            <w:vAlign w:val="bottom"/>
          </w:tcPr>
          <w:p>
            <w:pPr>
              <w:ind w:left="40"/>
              <w:spacing w:after="0"/>
              <w:rPr>
                <w:sz w:val="20"/>
                <w:szCs w:val="20"/>
                <w:color w:val="auto"/>
              </w:rPr>
            </w:pPr>
            <w:r>
              <w:rPr>
                <w:rFonts w:ascii="Arial" w:cs="Arial" w:eastAsia="Arial" w:hAnsi="Arial"/>
                <w:sz w:val="16"/>
                <w:szCs w:val="16"/>
                <w:b w:val="1"/>
                <w:bCs w:val="1"/>
                <w:color w:val="auto"/>
              </w:rPr>
              <w:t>to</w:t>
            </w:r>
          </w:p>
        </w:tc>
        <w:tc>
          <w:tcPr>
            <w:tcW w:w="480" w:type="dxa"/>
            <w:vAlign w:val="bottom"/>
            <w:tcBorders>
              <w:bottom w:val="single" w:sz="8" w:color="auto"/>
            </w:tcBorders>
          </w:tcPr>
          <w:p>
            <w:pPr>
              <w:spacing w:after="0"/>
              <w:rPr>
                <w:sz w:val="16"/>
                <w:szCs w:val="16"/>
                <w:color w:val="auto"/>
              </w:rPr>
            </w:pPr>
          </w:p>
        </w:tc>
      </w:tr>
      <w:tr>
        <w:trPr>
          <w:trHeight w:val="325"/>
        </w:trPr>
        <w:tc>
          <w:tcPr>
            <w:tcW w:w="3320" w:type="dxa"/>
            <w:vAlign w:val="bottom"/>
            <w:gridSpan w:val="4"/>
          </w:tcPr>
          <w:p>
            <w:pPr>
              <w:ind w:left="380"/>
              <w:spacing w:after="0"/>
              <w:rPr>
                <w:sz w:val="20"/>
                <w:szCs w:val="20"/>
                <w:color w:val="auto"/>
              </w:rPr>
            </w:pPr>
            <w:r>
              <w:rPr>
                <w:rFonts w:ascii="Arial" w:cs="Arial" w:eastAsia="Arial" w:hAnsi="Arial"/>
                <w:sz w:val="16"/>
                <w:szCs w:val="16"/>
                <w:b w:val="1"/>
                <w:bCs w:val="1"/>
                <w:color w:val="auto"/>
              </w:rPr>
              <w:t>Commission File Number: 001-39513</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89535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392"/>
        </w:trPr>
        <w:tc>
          <w:tcPr>
            <w:tcW w:w="3700" w:type="dxa"/>
            <w:vAlign w:val="bottom"/>
          </w:tcPr>
          <w:p>
            <w:pPr>
              <w:spacing w:after="0"/>
              <w:rPr>
                <w:sz w:val="24"/>
                <w:szCs w:val="24"/>
                <w:color w:val="auto"/>
              </w:rPr>
            </w:pPr>
          </w:p>
        </w:tc>
        <w:tc>
          <w:tcPr>
            <w:tcW w:w="3900" w:type="dxa"/>
            <w:vAlign w:val="bottom"/>
            <w:gridSpan w:val="7"/>
          </w:tcPr>
          <w:p>
            <w:pPr>
              <w:jc w:val="center"/>
              <w:ind w:right="60"/>
              <w:spacing w:after="0"/>
              <w:rPr>
                <w:sz w:val="20"/>
                <w:szCs w:val="20"/>
                <w:color w:val="auto"/>
              </w:rPr>
            </w:pPr>
            <w:r>
              <w:rPr>
                <w:rFonts w:ascii="Arial" w:cs="Arial" w:eastAsia="Arial" w:hAnsi="Arial"/>
                <w:sz w:val="32"/>
                <w:szCs w:val="32"/>
                <w:b w:val="1"/>
                <w:bCs w:val="1"/>
                <w:color w:val="auto"/>
                <w:w w:val="93"/>
              </w:rPr>
              <w:t>Outset Medical, Inc.</w:t>
            </w:r>
          </w:p>
        </w:tc>
        <w:tc>
          <w:tcPr>
            <w:tcW w:w="3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3700" w:type="dxa"/>
            <w:vAlign w:val="bottom"/>
          </w:tcPr>
          <w:p>
            <w:pPr>
              <w:spacing w:after="0"/>
              <w:rPr>
                <w:sz w:val="18"/>
                <w:szCs w:val="18"/>
                <w:color w:val="auto"/>
              </w:rPr>
            </w:pPr>
          </w:p>
        </w:tc>
        <w:tc>
          <w:tcPr>
            <w:tcW w:w="3900" w:type="dxa"/>
            <w:vAlign w:val="bottom"/>
            <w:gridSpan w:val="7"/>
          </w:tcPr>
          <w:p>
            <w:pPr>
              <w:jc w:val="center"/>
              <w:ind w:right="60"/>
              <w:spacing w:after="0"/>
              <w:rPr>
                <w:sz w:val="20"/>
                <w:szCs w:val="20"/>
                <w:color w:val="auto"/>
              </w:rPr>
            </w:pPr>
            <w:r>
              <w:rPr>
                <w:rFonts w:ascii="Arial" w:cs="Arial" w:eastAsia="Arial" w:hAnsi="Arial"/>
                <w:sz w:val="16"/>
                <w:szCs w:val="16"/>
                <w:b w:val="1"/>
                <w:bCs w:val="1"/>
                <w:color w:val="auto"/>
                <w:w w:val="91"/>
              </w:rPr>
              <w:t>(Exact Name of Registrant as Specified in its Charter)</w:t>
            </w:r>
          </w:p>
        </w:tc>
        <w:tc>
          <w:tcPr>
            <w:tcW w:w="3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1"/>
        </w:trPr>
        <w:tc>
          <w:tcPr>
            <w:tcW w:w="3700" w:type="dxa"/>
            <w:vAlign w:val="bottom"/>
            <w:vMerge w:val="restart"/>
          </w:tcPr>
          <w:p>
            <w:pPr>
              <w:jc w:val="center"/>
              <w:ind w:left="1848"/>
              <w:spacing w:after="0"/>
              <w:rPr>
                <w:sz w:val="20"/>
                <w:szCs w:val="20"/>
                <w:color w:val="auto"/>
              </w:rPr>
            </w:pPr>
            <w:r>
              <w:rPr>
                <w:rFonts w:ascii="Arial" w:cs="Arial" w:eastAsia="Arial" w:hAnsi="Arial"/>
                <w:sz w:val="14"/>
                <w:szCs w:val="14"/>
                <w:b w:val="1"/>
                <w:bCs w:val="1"/>
                <w:color w:val="auto"/>
                <w:w w:val="94"/>
              </w:rPr>
              <w:t>Delaware</w:t>
            </w: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22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640" w:type="dxa"/>
            <w:vAlign w:val="bottom"/>
            <w:vMerge w:val="restart"/>
          </w:tcPr>
          <w:p>
            <w:pPr>
              <w:jc w:val="right"/>
              <w:ind w:right="2391"/>
              <w:spacing w:after="0"/>
              <w:rPr>
                <w:sz w:val="20"/>
                <w:szCs w:val="20"/>
                <w:color w:val="auto"/>
              </w:rPr>
            </w:pPr>
            <w:r>
              <w:rPr>
                <w:rFonts w:ascii="Arial" w:cs="Arial" w:eastAsia="Arial" w:hAnsi="Arial"/>
                <w:sz w:val="14"/>
                <w:szCs w:val="14"/>
                <w:b w:val="1"/>
                <w:bCs w:val="1"/>
                <w:color w:val="auto"/>
              </w:rPr>
              <w:t>20-0514392</w:t>
            </w:r>
          </w:p>
        </w:tc>
        <w:tc>
          <w:tcPr>
            <w:tcW w:w="0" w:type="dxa"/>
            <w:vAlign w:val="bottom"/>
          </w:tcPr>
          <w:p>
            <w:pPr>
              <w:spacing w:after="0"/>
              <w:rPr>
                <w:sz w:val="1"/>
                <w:szCs w:val="1"/>
                <w:color w:val="auto"/>
              </w:rPr>
            </w:pPr>
          </w:p>
        </w:tc>
      </w:tr>
      <w:tr>
        <w:trPr>
          <w:trHeight w:val="245"/>
        </w:trPr>
        <w:tc>
          <w:tcPr>
            <w:tcW w:w="3700" w:type="dxa"/>
            <w:vAlign w:val="bottom"/>
            <w:vMerge w:val="continue"/>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6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35"/>
        </w:trPr>
        <w:tc>
          <w:tcPr>
            <w:tcW w:w="3700" w:type="dxa"/>
            <w:vAlign w:val="bottom"/>
          </w:tcPr>
          <w:p>
            <w:pPr>
              <w:jc w:val="center"/>
              <w:ind w:left="1848"/>
              <w:spacing w:after="0" w:line="135" w:lineRule="exact"/>
              <w:rPr>
                <w:sz w:val="20"/>
                <w:szCs w:val="20"/>
                <w:color w:val="auto"/>
              </w:rPr>
            </w:pPr>
            <w:r>
              <w:rPr>
                <w:rFonts w:ascii="Arial" w:cs="Arial" w:eastAsia="Arial" w:hAnsi="Arial"/>
                <w:sz w:val="13"/>
                <w:szCs w:val="13"/>
                <w:b w:val="1"/>
                <w:bCs w:val="1"/>
                <w:color w:val="auto"/>
                <w:w w:val="88"/>
              </w:rPr>
              <w:t>(State or other jurisdiction of</w:t>
            </w: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40" w:type="dxa"/>
            <w:vAlign w:val="bottom"/>
          </w:tcPr>
          <w:p>
            <w:pPr>
              <w:jc w:val="center"/>
              <w:ind w:right="1911"/>
              <w:spacing w:after="0" w:line="135" w:lineRule="exact"/>
              <w:rPr>
                <w:sz w:val="20"/>
                <w:szCs w:val="20"/>
                <w:color w:val="auto"/>
              </w:rPr>
            </w:pPr>
            <w:r>
              <w:rPr>
                <w:rFonts w:ascii="Arial" w:cs="Arial" w:eastAsia="Arial" w:hAnsi="Arial"/>
                <w:sz w:val="13"/>
                <w:szCs w:val="13"/>
                <w:b w:val="1"/>
                <w:bCs w:val="1"/>
                <w:color w:val="auto"/>
                <w:w w:val="90"/>
              </w:rPr>
              <w:t>(I.R.S. Employer</w:t>
            </w:r>
          </w:p>
        </w:tc>
        <w:tc>
          <w:tcPr>
            <w:tcW w:w="0" w:type="dxa"/>
            <w:vAlign w:val="bottom"/>
          </w:tcPr>
          <w:p>
            <w:pPr>
              <w:spacing w:after="0"/>
              <w:rPr>
                <w:sz w:val="1"/>
                <w:szCs w:val="1"/>
                <w:color w:val="auto"/>
              </w:rPr>
            </w:pPr>
          </w:p>
        </w:tc>
      </w:tr>
      <w:tr>
        <w:trPr>
          <w:trHeight w:val="131"/>
        </w:trPr>
        <w:tc>
          <w:tcPr>
            <w:tcW w:w="3700" w:type="dxa"/>
            <w:vAlign w:val="bottom"/>
          </w:tcPr>
          <w:p>
            <w:pPr>
              <w:jc w:val="center"/>
              <w:ind w:left="1868"/>
              <w:spacing w:after="0" w:line="131" w:lineRule="exact"/>
              <w:rPr>
                <w:sz w:val="20"/>
                <w:szCs w:val="20"/>
                <w:color w:val="auto"/>
              </w:rPr>
            </w:pPr>
            <w:r>
              <w:rPr>
                <w:rFonts w:ascii="Arial" w:cs="Arial" w:eastAsia="Arial" w:hAnsi="Arial"/>
                <w:sz w:val="13"/>
                <w:szCs w:val="13"/>
                <w:b w:val="1"/>
                <w:bCs w:val="1"/>
                <w:color w:val="auto"/>
                <w:w w:val="88"/>
              </w:rPr>
              <w:t>incorporation or organization)</w:t>
            </w: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40" w:type="dxa"/>
            <w:vAlign w:val="bottom"/>
          </w:tcPr>
          <w:p>
            <w:pPr>
              <w:jc w:val="center"/>
              <w:ind w:right="1911"/>
              <w:spacing w:after="0" w:line="131" w:lineRule="exact"/>
              <w:rPr>
                <w:sz w:val="20"/>
                <w:szCs w:val="20"/>
                <w:color w:val="auto"/>
              </w:rPr>
            </w:pPr>
            <w:r>
              <w:rPr>
                <w:rFonts w:ascii="Arial" w:cs="Arial" w:eastAsia="Arial" w:hAnsi="Arial"/>
                <w:sz w:val="13"/>
                <w:szCs w:val="13"/>
                <w:b w:val="1"/>
                <w:bCs w:val="1"/>
                <w:color w:val="auto"/>
                <w:w w:val="89"/>
              </w:rPr>
              <w:t>Identification No.)</w:t>
            </w:r>
          </w:p>
        </w:tc>
        <w:tc>
          <w:tcPr>
            <w:tcW w:w="0" w:type="dxa"/>
            <w:vAlign w:val="bottom"/>
          </w:tcPr>
          <w:p>
            <w:pPr>
              <w:spacing w:after="0"/>
              <w:rPr>
                <w:sz w:val="1"/>
                <w:szCs w:val="1"/>
                <w:color w:val="auto"/>
              </w:rPr>
            </w:pPr>
          </w:p>
        </w:tc>
      </w:tr>
      <w:tr>
        <w:trPr>
          <w:trHeight w:val="148"/>
        </w:trPr>
        <w:tc>
          <w:tcPr>
            <w:tcW w:w="3700" w:type="dxa"/>
            <w:vAlign w:val="bottom"/>
          </w:tcPr>
          <w:p>
            <w:pPr>
              <w:jc w:val="center"/>
              <w:ind w:left="1868"/>
              <w:spacing w:after="0" w:line="149" w:lineRule="exact"/>
              <w:rPr>
                <w:sz w:val="20"/>
                <w:szCs w:val="20"/>
                <w:color w:val="auto"/>
              </w:rPr>
            </w:pPr>
            <w:r>
              <w:rPr>
                <w:rFonts w:ascii="Arial" w:cs="Arial" w:eastAsia="Arial" w:hAnsi="Arial"/>
                <w:sz w:val="14"/>
                <w:szCs w:val="14"/>
                <w:b w:val="1"/>
                <w:bCs w:val="1"/>
                <w:color w:val="auto"/>
                <w:w w:val="95"/>
              </w:rPr>
              <w:t>3052 Orchard Dr.</w:t>
            </w: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640" w:type="dxa"/>
            <w:vAlign w:val="bottom"/>
            <w:vMerge w:val="restart"/>
          </w:tcPr>
          <w:p>
            <w:pPr>
              <w:jc w:val="right"/>
              <w:ind w:right="2551"/>
              <w:spacing w:after="0"/>
              <w:rPr>
                <w:sz w:val="20"/>
                <w:szCs w:val="20"/>
                <w:color w:val="auto"/>
              </w:rPr>
            </w:pPr>
            <w:r>
              <w:rPr>
                <w:rFonts w:ascii="Arial" w:cs="Arial" w:eastAsia="Arial" w:hAnsi="Arial"/>
                <w:sz w:val="14"/>
                <w:szCs w:val="14"/>
                <w:b w:val="1"/>
                <w:bCs w:val="1"/>
                <w:color w:val="auto"/>
              </w:rPr>
              <w:t>95134</w:t>
            </w:r>
          </w:p>
        </w:tc>
        <w:tc>
          <w:tcPr>
            <w:tcW w:w="0" w:type="dxa"/>
            <w:vAlign w:val="bottom"/>
          </w:tcPr>
          <w:p>
            <w:pPr>
              <w:spacing w:after="0"/>
              <w:rPr>
                <w:sz w:val="1"/>
                <w:szCs w:val="1"/>
                <w:color w:val="auto"/>
              </w:rPr>
            </w:pPr>
          </w:p>
        </w:tc>
      </w:tr>
      <w:tr>
        <w:trPr>
          <w:trHeight w:val="153"/>
        </w:trPr>
        <w:tc>
          <w:tcPr>
            <w:tcW w:w="3700" w:type="dxa"/>
            <w:vAlign w:val="bottom"/>
          </w:tcPr>
          <w:p>
            <w:pPr>
              <w:jc w:val="center"/>
              <w:ind w:left="1868"/>
              <w:spacing w:after="0" w:line="153" w:lineRule="exact"/>
              <w:rPr>
                <w:sz w:val="20"/>
                <w:szCs w:val="20"/>
                <w:color w:val="auto"/>
              </w:rPr>
            </w:pPr>
            <w:r>
              <w:rPr>
                <w:rFonts w:ascii="Arial" w:cs="Arial" w:eastAsia="Arial" w:hAnsi="Arial"/>
                <w:sz w:val="14"/>
                <w:szCs w:val="14"/>
                <w:b w:val="1"/>
                <w:bCs w:val="1"/>
                <w:color w:val="auto"/>
                <w:w w:val="92"/>
              </w:rPr>
              <w:t>San Jose, California</w:t>
            </w: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6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7600" w:type="dxa"/>
            <w:vAlign w:val="bottom"/>
            <w:gridSpan w:val="8"/>
          </w:tcPr>
          <w:p>
            <w:pPr>
              <w:jc w:val="center"/>
              <w:ind w:right="1960"/>
              <w:spacing w:after="0"/>
              <w:rPr>
                <w:sz w:val="20"/>
                <w:szCs w:val="20"/>
                <w:color w:val="auto"/>
              </w:rPr>
            </w:pPr>
            <w:r>
              <w:rPr>
                <w:rFonts w:ascii="Arial" w:cs="Arial" w:eastAsia="Arial" w:hAnsi="Arial"/>
                <w:sz w:val="13"/>
                <w:szCs w:val="13"/>
                <w:b w:val="1"/>
                <w:bCs w:val="1"/>
                <w:color w:val="auto"/>
                <w:w w:val="85"/>
              </w:rPr>
              <w:t>(Address of principal executive offices)</w:t>
            </w:r>
          </w:p>
        </w:tc>
        <w:tc>
          <w:tcPr>
            <w:tcW w:w="3640" w:type="dxa"/>
            <w:vAlign w:val="bottom"/>
          </w:tcPr>
          <w:p>
            <w:pPr>
              <w:jc w:val="center"/>
              <w:ind w:right="1911"/>
              <w:spacing w:after="0"/>
              <w:rPr>
                <w:sz w:val="20"/>
                <w:szCs w:val="20"/>
                <w:color w:val="auto"/>
              </w:rPr>
            </w:pPr>
            <w:r>
              <w:rPr>
                <w:rFonts w:ascii="Arial" w:cs="Arial" w:eastAsia="Arial" w:hAnsi="Arial"/>
                <w:sz w:val="13"/>
                <w:szCs w:val="13"/>
                <w:b w:val="1"/>
                <w:bCs w:val="1"/>
                <w:color w:val="auto"/>
                <w:w w:val="90"/>
              </w:rPr>
              <w:t>(Zip Code)</w:t>
            </w:r>
          </w:p>
        </w:tc>
        <w:tc>
          <w:tcPr>
            <w:tcW w:w="0" w:type="dxa"/>
            <w:vAlign w:val="bottom"/>
          </w:tcPr>
          <w:p>
            <w:pPr>
              <w:spacing w:after="0"/>
              <w:rPr>
                <w:sz w:val="1"/>
                <w:szCs w:val="1"/>
                <w:color w:val="auto"/>
              </w:rPr>
            </w:pPr>
          </w:p>
        </w:tc>
      </w:tr>
      <w:tr>
        <w:trPr>
          <w:trHeight w:val="307"/>
        </w:trPr>
        <w:tc>
          <w:tcPr>
            <w:tcW w:w="11240" w:type="dxa"/>
            <w:vAlign w:val="bottom"/>
            <w:gridSpan w:val="9"/>
          </w:tcPr>
          <w:p>
            <w:pPr>
              <w:jc w:val="center"/>
              <w:spacing w:after="0"/>
              <w:rPr>
                <w:sz w:val="20"/>
                <w:szCs w:val="20"/>
                <w:color w:val="auto"/>
              </w:rPr>
            </w:pPr>
            <w:r>
              <w:rPr>
                <w:rFonts w:ascii="Arial" w:cs="Arial" w:eastAsia="Arial" w:hAnsi="Arial"/>
                <w:sz w:val="16"/>
                <w:szCs w:val="16"/>
                <w:b w:val="1"/>
                <w:bCs w:val="1"/>
                <w:color w:val="auto"/>
                <w:w w:val="90"/>
              </w:rPr>
              <w:t>Registrant’s telephone number, including area code: (669) 231-8200</w:t>
            </w:r>
          </w:p>
        </w:tc>
        <w:tc>
          <w:tcPr>
            <w:tcW w:w="0" w:type="dxa"/>
            <w:vAlign w:val="bottom"/>
          </w:tcPr>
          <w:p>
            <w:pPr>
              <w:spacing w:after="0"/>
              <w:rPr>
                <w:sz w:val="1"/>
                <w:szCs w:val="1"/>
                <w:color w:val="auto"/>
              </w:rPr>
            </w:pPr>
          </w:p>
        </w:tc>
      </w:tr>
      <w:tr>
        <w:trPr>
          <w:trHeight w:val="155"/>
        </w:trPr>
        <w:tc>
          <w:tcPr>
            <w:tcW w:w="4400" w:type="dxa"/>
            <w:vAlign w:val="bottom"/>
            <w:gridSpan w:val="2"/>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22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8"/>
        </w:trPr>
        <w:tc>
          <w:tcPr>
            <w:tcW w:w="7600" w:type="dxa"/>
            <w:vAlign w:val="bottom"/>
            <w:gridSpan w:val="8"/>
          </w:tcPr>
          <w:p>
            <w:pPr>
              <w:ind w:left="520"/>
              <w:spacing w:after="0"/>
              <w:rPr>
                <w:sz w:val="20"/>
                <w:szCs w:val="20"/>
                <w:color w:val="auto"/>
              </w:rPr>
            </w:pPr>
            <w:r>
              <w:rPr>
                <w:rFonts w:ascii="Arial" w:cs="Arial" w:eastAsia="Arial" w:hAnsi="Arial"/>
                <w:sz w:val="16"/>
                <w:szCs w:val="16"/>
                <w:color w:val="auto"/>
              </w:rPr>
              <w:t>Securities registered pursuant to Section 12(b) of the Act:</w:t>
            </w:r>
          </w:p>
        </w:tc>
        <w:tc>
          <w:tcPr>
            <w:tcW w:w="3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3"/>
        </w:trPr>
        <w:tc>
          <w:tcPr>
            <w:tcW w:w="3700" w:type="dxa"/>
            <w:vAlign w:val="bottom"/>
            <w:vMerge w:val="restart"/>
          </w:tcPr>
          <w:p>
            <w:pPr>
              <w:jc w:val="center"/>
              <w:ind w:left="628"/>
              <w:spacing w:after="0"/>
              <w:rPr>
                <w:sz w:val="20"/>
                <w:szCs w:val="20"/>
                <w:color w:val="auto"/>
              </w:rPr>
            </w:pPr>
            <w:r>
              <w:rPr>
                <w:rFonts w:ascii="Arial" w:cs="Arial" w:eastAsia="Arial" w:hAnsi="Arial"/>
                <w:sz w:val="14"/>
                <w:szCs w:val="14"/>
                <w:b w:val="1"/>
                <w:bCs w:val="1"/>
                <w:color w:val="auto"/>
                <w:w w:val="89"/>
              </w:rPr>
              <w:t>Title of each class</w:t>
            </w: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80" w:type="dxa"/>
            <w:vAlign w:val="bottom"/>
            <w:gridSpan w:val="4"/>
          </w:tcPr>
          <w:p>
            <w:pPr>
              <w:jc w:val="center"/>
              <w:ind w:right="840"/>
              <w:spacing w:after="0"/>
              <w:rPr>
                <w:sz w:val="20"/>
                <w:szCs w:val="20"/>
                <w:color w:val="auto"/>
              </w:rPr>
            </w:pPr>
            <w:r>
              <w:rPr>
                <w:rFonts w:ascii="Arial" w:cs="Arial" w:eastAsia="Arial" w:hAnsi="Arial"/>
                <w:sz w:val="14"/>
                <w:szCs w:val="14"/>
                <w:b w:val="1"/>
                <w:bCs w:val="1"/>
                <w:color w:val="auto"/>
                <w:w w:val="93"/>
              </w:rPr>
              <w:t>Trading</w:t>
            </w:r>
          </w:p>
        </w:tc>
        <w:tc>
          <w:tcPr>
            <w:tcW w:w="3640" w:type="dxa"/>
            <w:vAlign w:val="bottom"/>
            <w:vMerge w:val="restart"/>
          </w:tcPr>
          <w:p>
            <w:pPr>
              <w:jc w:val="center"/>
              <w:ind w:right="671"/>
              <w:spacing w:after="0"/>
              <w:rPr>
                <w:sz w:val="20"/>
                <w:szCs w:val="20"/>
                <w:color w:val="auto"/>
              </w:rPr>
            </w:pPr>
            <w:r>
              <w:rPr>
                <w:rFonts w:ascii="Arial" w:cs="Arial" w:eastAsia="Arial" w:hAnsi="Arial"/>
                <w:sz w:val="14"/>
                <w:szCs w:val="14"/>
                <w:b w:val="1"/>
                <w:bCs w:val="1"/>
                <w:color w:val="auto"/>
                <w:w w:val="89"/>
              </w:rPr>
              <w:t>Name of each exchange on which registered</w:t>
            </w:r>
          </w:p>
        </w:tc>
        <w:tc>
          <w:tcPr>
            <w:tcW w:w="0" w:type="dxa"/>
            <w:vAlign w:val="bottom"/>
          </w:tcPr>
          <w:p>
            <w:pPr>
              <w:spacing w:after="0"/>
              <w:rPr>
                <w:sz w:val="1"/>
                <w:szCs w:val="1"/>
                <w:color w:val="auto"/>
              </w:rPr>
            </w:pPr>
          </w:p>
        </w:tc>
      </w:tr>
      <w:tr>
        <w:trPr>
          <w:trHeight w:val="171"/>
        </w:trPr>
        <w:tc>
          <w:tcPr>
            <w:tcW w:w="3700" w:type="dxa"/>
            <w:vAlign w:val="bottom"/>
            <w:vMerge w:val="continue"/>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80" w:type="dxa"/>
            <w:vAlign w:val="bottom"/>
            <w:gridSpan w:val="4"/>
          </w:tcPr>
          <w:p>
            <w:pPr>
              <w:jc w:val="center"/>
              <w:ind w:right="860"/>
              <w:spacing w:after="0"/>
              <w:rPr>
                <w:sz w:val="20"/>
                <w:szCs w:val="20"/>
                <w:color w:val="auto"/>
              </w:rPr>
            </w:pPr>
            <w:r>
              <w:rPr>
                <w:rFonts w:ascii="Arial" w:cs="Arial" w:eastAsia="Arial" w:hAnsi="Arial"/>
                <w:sz w:val="14"/>
                <w:szCs w:val="14"/>
                <w:b w:val="1"/>
                <w:bCs w:val="1"/>
                <w:color w:val="auto"/>
                <w:w w:val="91"/>
              </w:rPr>
              <w:t>Symbol(s)</w:t>
            </w:r>
          </w:p>
        </w:tc>
        <w:tc>
          <w:tcPr>
            <w:tcW w:w="36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3700" w:type="dxa"/>
            <w:vAlign w:val="bottom"/>
            <w:tcBorders>
              <w:top w:val="single" w:sz="8" w:color="auto"/>
            </w:tcBorders>
          </w:tcPr>
          <w:p>
            <w:pPr>
              <w:jc w:val="center"/>
              <w:ind w:left="628"/>
              <w:spacing w:after="0"/>
              <w:rPr>
                <w:sz w:val="20"/>
                <w:szCs w:val="20"/>
                <w:color w:val="auto"/>
              </w:rPr>
            </w:pPr>
            <w:r>
              <w:rPr>
                <w:rFonts w:ascii="Arial" w:cs="Arial" w:eastAsia="Arial" w:hAnsi="Arial"/>
                <w:sz w:val="16"/>
                <w:szCs w:val="16"/>
                <w:color w:val="auto"/>
                <w:w w:val="90"/>
              </w:rPr>
              <w:t>Common Stock, par value $0.001 per share</w:t>
            </w:r>
          </w:p>
        </w:tc>
        <w:tc>
          <w:tcPr>
            <w:tcW w:w="7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40" w:type="dxa"/>
            <w:vAlign w:val="bottom"/>
            <w:tcBorders>
              <w:top w:val="single" w:sz="8" w:color="auto"/>
            </w:tcBorders>
            <w:gridSpan w:val="2"/>
          </w:tcPr>
          <w:p>
            <w:pPr>
              <w:jc w:val="center"/>
              <w:ind w:right="20"/>
              <w:spacing w:after="0"/>
              <w:rPr>
                <w:sz w:val="20"/>
                <w:szCs w:val="20"/>
                <w:color w:val="auto"/>
              </w:rPr>
            </w:pPr>
            <w:r>
              <w:rPr>
                <w:rFonts w:ascii="Arial" w:cs="Arial" w:eastAsia="Arial" w:hAnsi="Arial"/>
                <w:sz w:val="16"/>
                <w:szCs w:val="16"/>
                <w:color w:val="auto"/>
              </w:rPr>
              <w:t>OM</w:t>
            </w:r>
          </w:p>
        </w:tc>
        <w:tc>
          <w:tcPr>
            <w:tcW w:w="100" w:type="dxa"/>
            <w:vAlign w:val="bottom"/>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3640" w:type="dxa"/>
            <w:vAlign w:val="bottom"/>
            <w:tcBorders>
              <w:top w:val="single" w:sz="8" w:color="auto"/>
            </w:tcBorders>
          </w:tcPr>
          <w:p>
            <w:pPr>
              <w:jc w:val="center"/>
              <w:ind w:right="671"/>
              <w:spacing w:after="0"/>
              <w:rPr>
                <w:sz w:val="20"/>
                <w:szCs w:val="20"/>
                <w:color w:val="auto"/>
              </w:rPr>
            </w:pPr>
            <w:r>
              <w:rPr>
                <w:rFonts w:ascii="Arial" w:cs="Arial" w:eastAsia="Arial" w:hAnsi="Arial"/>
                <w:sz w:val="15"/>
                <w:szCs w:val="15"/>
                <w:color w:val="auto"/>
                <w:w w:val="94"/>
              </w:rPr>
              <w:t>The Nasdaq Stock Market LLC</w:t>
            </w:r>
          </w:p>
        </w:tc>
        <w:tc>
          <w:tcPr>
            <w:tcW w:w="0" w:type="dxa"/>
            <w:vAlign w:val="bottom"/>
          </w:tcPr>
          <w:p>
            <w:pPr>
              <w:spacing w:after="0"/>
              <w:rPr>
                <w:sz w:val="1"/>
                <w:szCs w:val="1"/>
                <w:color w:val="auto"/>
              </w:rPr>
            </w:pPr>
          </w:p>
        </w:tc>
      </w:tr>
    </w:tbl>
    <w:p>
      <w:pPr>
        <w:spacing w:after="0" w:line="84" w:lineRule="exact"/>
        <w:rPr>
          <w:sz w:val="24"/>
          <w:szCs w:val="24"/>
          <w:color w:val="auto"/>
        </w:rPr>
      </w:pPr>
    </w:p>
    <w:p>
      <w:pPr>
        <w:ind w:right="120" w:firstLine="510"/>
        <w:spacing w:after="0" w:line="181" w:lineRule="exact"/>
        <w:rPr>
          <w:sz w:val="20"/>
          <w:szCs w:val="20"/>
          <w:color w:val="auto"/>
        </w:rPr>
      </w:pPr>
      <w:r>
        <w:rPr>
          <w:rFonts w:ascii="Arial" w:cs="Arial" w:eastAsia="Arial" w:hAnsi="Arial"/>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72" w:lineRule="exact"/>
        <w:rPr>
          <w:sz w:val="24"/>
          <w:szCs w:val="24"/>
          <w:color w:val="auto"/>
        </w:rPr>
      </w:pPr>
    </w:p>
    <w:p>
      <w:pPr>
        <w:ind w:right="80" w:firstLine="510"/>
        <w:spacing w:after="0" w:line="180"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72" w:lineRule="exact"/>
        <w:rPr>
          <w:sz w:val="24"/>
          <w:szCs w:val="24"/>
          <w:color w:val="auto"/>
        </w:rPr>
      </w:pPr>
    </w:p>
    <w:p>
      <w:pPr>
        <w:ind w:right="20" w:firstLine="510"/>
        <w:spacing w:after="0" w:line="25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65" w:lineRule="exact"/>
        <w:rPr>
          <w:sz w:val="24"/>
          <w:szCs w:val="24"/>
          <w:color w:val="auto"/>
        </w:rPr>
      </w:pPr>
    </w:p>
    <w:tbl>
      <w:tblPr>
        <w:tblLayout w:type="fixed"/>
        <w:tblInd w:w="0" w:type="dxa"/>
        <w:tblCellMar>
          <w:top w:w="0" w:type="dxa"/>
          <w:left w:w="0" w:type="dxa"/>
          <w:bottom w:w="0" w:type="dxa"/>
          <w:right w:w="0" w:type="dxa"/>
        </w:tblCellMar>
      </w:tblPr>
      <w:tr>
        <w:trPr>
          <w:trHeight w:val="226"/>
        </w:trPr>
        <w:tc>
          <w:tcPr>
            <w:tcW w:w="190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600" w:type="dxa"/>
            <w:vAlign w:val="bottom"/>
          </w:tcPr>
          <w:p>
            <w:pPr>
              <w:ind w:left="320"/>
              <w:spacing w:after="0" w:line="141" w:lineRule="exact"/>
              <w:rPr>
                <w:sz w:val="20"/>
                <w:szCs w:val="20"/>
                <w:color w:val="auto"/>
              </w:rPr>
            </w:pPr>
            <w:r>
              <w:rPr>
                <w:rFonts w:ascii="MS PGothic" w:cs="MS PGothic" w:eastAsia="MS PGothic" w:hAnsi="MS PGothic"/>
                <w:sz w:val="14"/>
                <w:szCs w:val="14"/>
                <w:color w:val="auto"/>
              </w:rPr>
              <w:t>☐</w:t>
            </w:r>
          </w:p>
        </w:tc>
        <w:tc>
          <w:tcPr>
            <w:tcW w:w="5100" w:type="dxa"/>
            <w:vAlign w:val="bottom"/>
          </w:tcPr>
          <w:p>
            <w:pPr>
              <w:ind w:left="3140"/>
              <w:spacing w:after="0"/>
              <w:rPr>
                <w:sz w:val="20"/>
                <w:szCs w:val="20"/>
                <w:color w:val="auto"/>
              </w:rPr>
            </w:pPr>
            <w:r>
              <w:rPr>
                <w:rFonts w:ascii="Arial" w:cs="Arial" w:eastAsia="Arial" w:hAnsi="Arial"/>
                <w:sz w:val="14"/>
                <w:szCs w:val="14"/>
                <w:color w:val="auto"/>
              </w:rPr>
              <w:t>Accelerated filer</w:t>
            </w:r>
          </w:p>
        </w:tc>
        <w:tc>
          <w:tcPr>
            <w:tcW w:w="520" w:type="dxa"/>
            <w:vAlign w:val="bottom"/>
          </w:tcPr>
          <w:p>
            <w:pPr>
              <w:ind w:left="40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97"/>
        </w:trPr>
        <w:tc>
          <w:tcPr>
            <w:tcW w:w="1900" w:type="dxa"/>
            <w:vAlign w:val="bottom"/>
          </w:tcPr>
          <w:p>
            <w:pPr>
              <w:spacing w:after="0"/>
              <w:rPr>
                <w:sz w:val="20"/>
                <w:szCs w:val="20"/>
                <w:color w:val="auto"/>
              </w:rPr>
            </w:pPr>
            <w:r>
              <w:rPr>
                <w:rFonts w:ascii="Arial" w:cs="Arial" w:eastAsia="Arial" w:hAnsi="Arial"/>
                <w:sz w:val="14"/>
                <w:szCs w:val="14"/>
                <w:color w:val="auto"/>
              </w:rPr>
              <w:t>Non-accelerated filer</w:t>
            </w:r>
          </w:p>
        </w:tc>
        <w:tc>
          <w:tcPr>
            <w:tcW w:w="3600" w:type="dxa"/>
            <w:vAlign w:val="bottom"/>
          </w:tcPr>
          <w:p>
            <w:pPr>
              <w:ind w:left="320"/>
              <w:spacing w:after="0" w:line="141" w:lineRule="exact"/>
              <w:rPr>
                <w:sz w:val="20"/>
                <w:szCs w:val="20"/>
                <w:color w:val="auto"/>
              </w:rPr>
            </w:pPr>
            <w:r>
              <w:rPr>
                <w:rFonts w:ascii="MS PGothic" w:cs="MS PGothic" w:eastAsia="MS PGothic" w:hAnsi="MS PGothic"/>
                <w:sz w:val="14"/>
                <w:szCs w:val="14"/>
                <w:color w:val="auto"/>
              </w:rPr>
              <w:t>☒</w:t>
            </w:r>
          </w:p>
        </w:tc>
        <w:tc>
          <w:tcPr>
            <w:tcW w:w="5100" w:type="dxa"/>
            <w:vAlign w:val="bottom"/>
          </w:tcPr>
          <w:p>
            <w:pPr>
              <w:ind w:left="3140"/>
              <w:spacing w:after="0"/>
              <w:rPr>
                <w:sz w:val="20"/>
                <w:szCs w:val="20"/>
                <w:color w:val="auto"/>
              </w:rPr>
            </w:pPr>
            <w:r>
              <w:rPr>
                <w:rFonts w:ascii="Arial" w:cs="Arial" w:eastAsia="Arial" w:hAnsi="Arial"/>
                <w:sz w:val="14"/>
                <w:szCs w:val="14"/>
                <w:color w:val="auto"/>
              </w:rPr>
              <w:t>Smaller reporting company</w:t>
            </w:r>
          </w:p>
        </w:tc>
        <w:tc>
          <w:tcPr>
            <w:tcW w:w="520" w:type="dxa"/>
            <w:vAlign w:val="bottom"/>
          </w:tcPr>
          <w:p>
            <w:pPr>
              <w:ind w:left="40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97"/>
        </w:trPr>
        <w:tc>
          <w:tcPr>
            <w:tcW w:w="1900" w:type="dxa"/>
            <w:vAlign w:val="bottom"/>
          </w:tcPr>
          <w:p>
            <w:pPr>
              <w:spacing w:after="0"/>
              <w:rPr>
                <w:sz w:val="20"/>
                <w:szCs w:val="20"/>
                <w:color w:val="auto"/>
              </w:rPr>
            </w:pPr>
            <w:r>
              <w:rPr>
                <w:rFonts w:ascii="Arial" w:cs="Arial" w:eastAsia="Arial" w:hAnsi="Arial"/>
                <w:sz w:val="14"/>
                <w:szCs w:val="14"/>
                <w:color w:val="auto"/>
              </w:rPr>
              <w:t>Emerging growth company</w:t>
            </w:r>
          </w:p>
        </w:tc>
        <w:tc>
          <w:tcPr>
            <w:tcW w:w="3600" w:type="dxa"/>
            <w:vAlign w:val="bottom"/>
          </w:tcPr>
          <w:p>
            <w:pPr>
              <w:ind w:left="320"/>
              <w:spacing w:after="0" w:line="141" w:lineRule="exact"/>
              <w:rPr>
                <w:sz w:val="20"/>
                <w:szCs w:val="20"/>
                <w:color w:val="auto"/>
              </w:rPr>
            </w:pPr>
            <w:r>
              <w:rPr>
                <w:rFonts w:ascii="MS PGothic" w:cs="MS PGothic" w:eastAsia="MS PGothic" w:hAnsi="MS PGothic"/>
                <w:sz w:val="14"/>
                <w:szCs w:val="14"/>
                <w:color w:val="auto"/>
              </w:rPr>
              <w:t>☒</w:t>
            </w:r>
          </w:p>
        </w:tc>
        <w:tc>
          <w:tcPr>
            <w:tcW w:w="5100" w:type="dxa"/>
            <w:vAlign w:val="bottom"/>
          </w:tcPr>
          <w:p>
            <w:pPr>
              <w:spacing w:after="0"/>
              <w:rPr>
                <w:sz w:val="24"/>
                <w:szCs w:val="24"/>
                <w:color w:val="auto"/>
              </w:rPr>
            </w:pPr>
          </w:p>
        </w:tc>
        <w:tc>
          <w:tcPr>
            <w:tcW w:w="520" w:type="dxa"/>
            <w:vAlign w:val="bottom"/>
          </w:tcPr>
          <w:p>
            <w:pPr>
              <w:spacing w:after="0"/>
              <w:rPr>
                <w:sz w:val="24"/>
                <w:szCs w:val="24"/>
                <w:color w:val="auto"/>
              </w:rPr>
            </w:pPr>
          </w:p>
        </w:tc>
      </w:tr>
    </w:tbl>
    <w:p>
      <w:pPr>
        <w:spacing w:after="0" w:line="85" w:lineRule="exact"/>
        <w:rPr>
          <w:sz w:val="24"/>
          <w:szCs w:val="24"/>
          <w:color w:val="auto"/>
        </w:rPr>
      </w:pPr>
    </w:p>
    <w:p>
      <w:pPr>
        <w:ind w:right="60" w:firstLine="510"/>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59" w:lineRule="exact"/>
        <w:rPr>
          <w:sz w:val="24"/>
          <w:szCs w:val="24"/>
          <w:color w:val="auto"/>
        </w:rPr>
      </w:pPr>
    </w:p>
    <w:p>
      <w:pPr>
        <w:ind w:left="520"/>
        <w:spacing w:after="0" w:line="161" w:lineRule="exact"/>
        <w:tabs>
          <w:tab w:leader="none" w:pos="7200" w:val="left"/>
          <w:tab w:leader="none" w:pos="7760" w:val="left"/>
        </w:tabs>
        <w:rPr>
          <w:sz w:val="20"/>
          <w:szCs w:val="20"/>
          <w:color w:val="auto"/>
        </w:rPr>
      </w:pPr>
      <w:r>
        <w:rPr>
          <w:rFonts w:ascii="Arial" w:cs="Arial" w:eastAsia="Arial" w:hAnsi="Arial"/>
          <w:sz w:val="14"/>
          <w:szCs w:val="14"/>
          <w:color w:val="auto"/>
        </w:rPr>
        <w:t>Indicate by check mark whether the registrant is a shell company (as defined in Rule 12b-2 of the Exchange Act).</w:t>
        <w:tab/>
        <w:t xml:space="preserve">Yes  </w:t>
      </w:r>
      <w:r>
        <w:rPr>
          <w:rFonts w:ascii="MS PGothic" w:cs="MS PGothic" w:eastAsia="MS PGothic" w:hAnsi="MS PGothic"/>
          <w:sz w:val="14"/>
          <w:szCs w:val="14"/>
          <w:color w:val="auto"/>
        </w:rPr>
        <w:t>☐</w:t>
      </w:r>
      <w:r>
        <w:rPr>
          <w:rFonts w:ascii="Arial" w:cs="Arial" w:eastAsia="Arial" w:hAnsi="Arial"/>
          <w:sz w:val="14"/>
          <w:szCs w:val="14"/>
          <w:color w:val="auto"/>
        </w:rPr>
        <w:tab/>
        <w:t xml:space="preserve">No </w:t>
      </w:r>
      <w:r>
        <w:rPr>
          <w:rFonts w:ascii="MS PGothic" w:cs="MS PGothic" w:eastAsia="MS PGothic" w:hAnsi="MS PGothic"/>
          <w:sz w:val="14"/>
          <w:szCs w:val="14"/>
          <w:color w:val="auto"/>
        </w:rPr>
        <w:t>☒</w:t>
      </w:r>
    </w:p>
    <w:p>
      <w:pPr>
        <w:spacing w:after="0" w:line="136" w:lineRule="exact"/>
        <w:rPr>
          <w:sz w:val="24"/>
          <w:szCs w:val="24"/>
          <w:color w:val="auto"/>
        </w:rPr>
      </w:pPr>
    </w:p>
    <w:p>
      <w:pPr>
        <w:ind w:right="180" w:firstLine="510"/>
        <w:spacing w:after="0" w:line="180" w:lineRule="exact"/>
        <w:rPr>
          <w:sz w:val="20"/>
          <w:szCs w:val="20"/>
          <w:color w:val="auto"/>
        </w:rPr>
      </w:pPr>
      <w:r>
        <w:rPr>
          <w:rFonts w:ascii="Arial" w:cs="Arial" w:eastAsia="Arial" w:hAnsi="Arial"/>
          <w:sz w:val="14"/>
          <w:szCs w:val="14"/>
          <w:color w:val="auto"/>
        </w:rPr>
        <w:t xml:space="preserve">Indicate by check mark whether the registrant has filed all documents and reports required to be filed by Sections 12, 13 or 15(d) of the Securities Exchange Act of 1934 subsequent to the distribution of securities under a plan confirmed by a court.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72" w:lineRule="exact"/>
        <w:rPr>
          <w:sz w:val="24"/>
          <w:szCs w:val="24"/>
          <w:color w:val="auto"/>
        </w:rPr>
      </w:pPr>
    </w:p>
    <w:p>
      <w:pPr>
        <w:ind w:left="520"/>
        <w:spacing w:after="0"/>
        <w:rPr>
          <w:sz w:val="20"/>
          <w:szCs w:val="20"/>
          <w:color w:val="auto"/>
        </w:rPr>
      </w:pPr>
      <w:r>
        <w:rPr>
          <w:rFonts w:ascii="Arial" w:cs="Arial" w:eastAsia="Arial" w:hAnsi="Arial"/>
          <w:sz w:val="14"/>
          <w:szCs w:val="14"/>
          <w:color w:val="auto"/>
        </w:rPr>
        <w:t>As of July 30, 2021, the registrant had 46,313,196 shares of common stock, $0.001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55245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72390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608330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7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80" w:type="dxa"/>
            <w:vAlign w:val="bottom"/>
            <w:gridSpan w:val="5"/>
          </w:tcPr>
          <w:p>
            <w:pPr>
              <w:ind w:left="500"/>
              <w:spacing w:after="0"/>
              <w:rPr>
                <w:sz w:val="20"/>
                <w:szCs w:val="20"/>
                <w:color w:val="auto"/>
              </w:rPr>
            </w:pPr>
            <w:r>
              <w:rPr>
                <w:rFonts w:ascii="Arial" w:cs="Arial" w:eastAsia="Arial" w:hAnsi="Arial"/>
                <w:sz w:val="18"/>
                <w:szCs w:val="18"/>
                <w:b w:val="1"/>
                <w:bCs w:val="1"/>
                <w:color w:val="auto"/>
              </w:rPr>
              <w:t>Table of Contents</w:t>
            </w: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0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PART I.</w:t>
            </w:r>
          </w:p>
        </w:tc>
        <w:tc>
          <w:tcPr>
            <w:tcW w:w="2260" w:type="dxa"/>
            <w:vAlign w:val="bottom"/>
            <w:gridSpan w:val="9"/>
            <w:vMerge w:val="restart"/>
          </w:tcPr>
          <w:p>
            <w:pPr>
              <w:spacing w:after="0"/>
              <w:rPr>
                <w:rFonts w:ascii="Arial" w:cs="Arial" w:eastAsia="Arial" w:hAnsi="Arial"/>
                <w:sz w:val="18"/>
                <w:szCs w:val="18"/>
                <w:color w:val="0000EE"/>
                <w:w w:val="99"/>
              </w:rPr>
            </w:pPr>
            <w:hyperlink w:anchor="page3">
              <w:r>
                <w:rPr>
                  <w:rFonts w:ascii="Arial" w:cs="Arial" w:eastAsia="Arial" w:hAnsi="Arial"/>
                  <w:sz w:val="18"/>
                  <w:szCs w:val="18"/>
                  <w:color w:val="0000EE"/>
                  <w:w w:val="99"/>
                </w:rPr>
                <w:t>FINANCIAL INFORMATION</w:t>
              </w:r>
            </w:hyperlink>
          </w:p>
        </w:tc>
        <w:tc>
          <w:tcPr>
            <w:tcW w:w="7200" w:type="dxa"/>
            <w:vAlign w:val="bottom"/>
            <w:gridSpan w:val="11"/>
            <w:vMerge w:val="restart"/>
          </w:tcPr>
          <w:p>
            <w:pPr>
              <w:spacing w:after="0"/>
              <w:rPr>
                <w:sz w:val="24"/>
                <w:szCs w:val="24"/>
                <w:color w:val="auto"/>
              </w:rPr>
            </w:pPr>
          </w:p>
        </w:tc>
        <w:tc>
          <w:tcPr>
            <w:tcW w:w="72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88"/>
        </w:trPr>
        <w:tc>
          <w:tcPr>
            <w:tcW w:w="1060" w:type="dxa"/>
            <w:vAlign w:val="bottom"/>
            <w:gridSpan w:val="2"/>
            <w:vMerge w:val="continue"/>
          </w:tcPr>
          <w:p>
            <w:pPr>
              <w:spacing w:after="0"/>
              <w:rPr>
                <w:sz w:val="15"/>
                <w:szCs w:val="15"/>
                <w:color w:val="auto"/>
              </w:rPr>
            </w:pPr>
          </w:p>
        </w:tc>
        <w:tc>
          <w:tcPr>
            <w:tcW w:w="2260" w:type="dxa"/>
            <w:vAlign w:val="bottom"/>
            <w:tcBorders>
              <w:bottom w:val="single" w:sz="8" w:color="0000EE"/>
            </w:tcBorders>
            <w:gridSpan w:val="9"/>
            <w:vMerge w:val="continue"/>
          </w:tcPr>
          <w:p>
            <w:pPr>
              <w:spacing w:after="0"/>
              <w:rPr>
                <w:sz w:val="15"/>
                <w:szCs w:val="15"/>
                <w:color w:val="auto"/>
              </w:rPr>
            </w:pPr>
          </w:p>
        </w:tc>
        <w:tc>
          <w:tcPr>
            <w:tcW w:w="7200" w:type="dxa"/>
            <w:vAlign w:val="bottom"/>
            <w:gridSpan w:val="11"/>
            <w:vMerge w:val="continue"/>
          </w:tcPr>
          <w:p>
            <w:pPr>
              <w:spacing w:after="0"/>
              <w:rPr>
                <w:sz w:val="15"/>
                <w:szCs w:val="15"/>
                <w:color w:val="auto"/>
              </w:rPr>
            </w:pPr>
          </w:p>
        </w:tc>
        <w:tc>
          <w:tcPr>
            <w:tcW w:w="720" w:type="dxa"/>
            <w:vAlign w:val="bottom"/>
          </w:tcPr>
          <w:p>
            <w:pPr>
              <w:jc w:val="right"/>
              <w:spacing w:after="0" w:line="182"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9"/>
        </w:trPr>
        <w:tc>
          <w:tcPr>
            <w:tcW w:w="1060" w:type="dxa"/>
            <w:vAlign w:val="bottom"/>
            <w:gridSpan w:val="2"/>
          </w:tcPr>
          <w:p>
            <w:pPr>
              <w:spacing w:after="0"/>
              <w:rPr>
                <w:sz w:val="20"/>
                <w:szCs w:val="20"/>
                <w:color w:val="auto"/>
              </w:rPr>
            </w:pPr>
            <w:r>
              <w:rPr>
                <w:rFonts w:ascii="Arial" w:cs="Arial" w:eastAsia="Arial" w:hAnsi="Arial"/>
                <w:sz w:val="18"/>
                <w:szCs w:val="18"/>
                <w:color w:val="auto"/>
              </w:rPr>
              <w:t>Item 1.</w:t>
            </w:r>
          </w:p>
        </w:tc>
        <w:tc>
          <w:tcPr>
            <w:tcW w:w="2420" w:type="dxa"/>
            <w:vAlign w:val="bottom"/>
            <w:tcBorders>
              <w:bottom w:val="single" w:sz="8" w:color="0000EE"/>
            </w:tcBorders>
            <w:gridSpan w:val="11"/>
          </w:tcPr>
          <w:p>
            <w:pPr>
              <w:spacing w:after="0"/>
              <w:rPr>
                <w:rFonts w:ascii="Arial" w:cs="Arial" w:eastAsia="Arial" w:hAnsi="Arial"/>
                <w:sz w:val="18"/>
                <w:szCs w:val="18"/>
                <w:color w:val="0000EE"/>
                <w:w w:val="89"/>
              </w:rPr>
            </w:pPr>
            <w:hyperlink w:anchor="page3">
              <w:r>
                <w:rPr>
                  <w:rFonts w:ascii="Arial" w:cs="Arial" w:eastAsia="Arial" w:hAnsi="Arial"/>
                  <w:sz w:val="18"/>
                  <w:szCs w:val="18"/>
                  <w:color w:val="0000EE"/>
                  <w:w w:val="89"/>
                </w:rPr>
                <w:t>Financial Statements (Unaudited)</w:t>
              </w:r>
            </w:hyperlink>
          </w:p>
        </w:tc>
        <w:tc>
          <w:tcPr>
            <w:tcW w:w="7040" w:type="dxa"/>
            <w:vAlign w:val="bottom"/>
            <w:gridSpan w:val="9"/>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9"/>
        </w:trPr>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940" w:type="dxa"/>
            <w:vAlign w:val="bottom"/>
            <w:tcBorders>
              <w:bottom w:val="single" w:sz="8" w:color="0000EE"/>
            </w:tcBorders>
            <w:gridSpan w:val="8"/>
          </w:tcPr>
          <w:p>
            <w:pPr>
              <w:spacing w:after="0"/>
              <w:rPr>
                <w:rFonts w:ascii="Arial" w:cs="Arial" w:eastAsia="Arial" w:hAnsi="Arial"/>
                <w:sz w:val="18"/>
                <w:szCs w:val="18"/>
                <w:color w:val="0000EE"/>
                <w:w w:val="86"/>
              </w:rPr>
            </w:pPr>
            <w:hyperlink w:anchor="page3">
              <w:r>
                <w:rPr>
                  <w:rFonts w:ascii="Arial" w:cs="Arial" w:eastAsia="Arial" w:hAnsi="Arial"/>
                  <w:sz w:val="18"/>
                  <w:szCs w:val="18"/>
                  <w:color w:val="0000EE"/>
                  <w:w w:val="86"/>
                </w:rPr>
                <w:t>Condensed Balance Sheets</w:t>
              </w:r>
            </w:hyperlink>
          </w:p>
        </w:tc>
        <w:tc>
          <w:tcPr>
            <w:tcW w:w="7520" w:type="dxa"/>
            <w:vAlign w:val="bottom"/>
            <w:gridSpan w:val="12"/>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9"/>
        </w:trPr>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60" w:type="dxa"/>
            <w:vAlign w:val="bottom"/>
            <w:gridSpan w:val="20"/>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Condensed Statements of Operations</w:t>
              </w:r>
            </w:hyperlink>
          </w:p>
        </w:tc>
        <w:tc>
          <w:tcPr>
            <w:tcW w:w="72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60" w:type="dxa"/>
            <w:vAlign w:val="bottom"/>
            <w:gridSpan w:val="20"/>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Condensed Statements of Comprehensive Loss</w:t>
              </w:r>
            </w:hyperlink>
          </w:p>
        </w:tc>
        <w:tc>
          <w:tcPr>
            <w:tcW w:w="72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60" w:type="dxa"/>
            <w:vAlign w:val="bottom"/>
            <w:gridSpan w:val="20"/>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Condensed Statements of Redeemable Convertible Preferred Stock and Stockholders’ Equity (Deficit)</w:t>
              </w:r>
            </w:hyperlink>
          </w:p>
        </w:tc>
        <w:tc>
          <w:tcPr>
            <w:tcW w:w="72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9"/>
        </w:trPr>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720" w:type="dxa"/>
            <w:vAlign w:val="bottom"/>
            <w:tcBorders>
              <w:top w:val="single" w:sz="8" w:color="0000EE"/>
              <w:bottom w:val="single" w:sz="8" w:color="0000EE"/>
            </w:tcBorders>
            <w:gridSpan w:val="13"/>
          </w:tcPr>
          <w:p>
            <w:pPr>
              <w:spacing w:after="0"/>
              <w:rPr>
                <w:rFonts w:ascii="Arial" w:cs="Arial" w:eastAsia="Arial" w:hAnsi="Arial"/>
                <w:sz w:val="18"/>
                <w:szCs w:val="18"/>
                <w:color w:val="0000EE"/>
                <w:w w:val="87"/>
              </w:rPr>
            </w:pPr>
            <w:hyperlink w:anchor="page8">
              <w:r>
                <w:rPr>
                  <w:rFonts w:ascii="Arial" w:cs="Arial" w:eastAsia="Arial" w:hAnsi="Arial"/>
                  <w:sz w:val="18"/>
                  <w:szCs w:val="18"/>
                  <w:color w:val="0000EE"/>
                  <w:w w:val="87"/>
                </w:rPr>
                <w:t>Condensed Statements of Cash Flows</w:t>
              </w:r>
            </w:hyperlink>
          </w:p>
        </w:tc>
        <w:tc>
          <w:tcPr>
            <w:tcW w:w="4640" w:type="dxa"/>
            <w:vAlign w:val="bottom"/>
            <w:tcBorders>
              <w:top w:val="single" w:sz="8" w:color="0000EE"/>
            </w:tcBorders>
            <w:gridSpan w:val="6"/>
          </w:tcPr>
          <w:p>
            <w:pPr>
              <w:spacing w:after="0"/>
              <w:rPr>
                <w:sz w:val="18"/>
                <w:szCs w:val="18"/>
                <w:color w:val="auto"/>
              </w:rPr>
            </w:pPr>
          </w:p>
        </w:tc>
        <w:tc>
          <w:tcPr>
            <w:tcW w:w="2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9"/>
        </w:trPr>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0" w:type="dxa"/>
            <w:vAlign w:val="bottom"/>
            <w:tcBorders>
              <w:bottom w:val="single" w:sz="8" w:color="0000EE"/>
            </w:tcBorders>
            <w:gridSpan w:val="14"/>
          </w:tcPr>
          <w:p>
            <w:pPr>
              <w:spacing w:after="0"/>
              <w:rPr>
                <w:rFonts w:ascii="Arial" w:cs="Arial" w:eastAsia="Arial" w:hAnsi="Arial"/>
                <w:sz w:val="18"/>
                <w:szCs w:val="18"/>
                <w:color w:val="0000EE"/>
                <w:w w:val="88"/>
              </w:rPr>
            </w:pPr>
            <w:hyperlink w:anchor="page10">
              <w:r>
                <w:rPr>
                  <w:rFonts w:ascii="Arial" w:cs="Arial" w:eastAsia="Arial" w:hAnsi="Arial"/>
                  <w:sz w:val="18"/>
                  <w:szCs w:val="18"/>
                  <w:color w:val="0000EE"/>
                  <w:w w:val="88"/>
                </w:rPr>
                <w:t>Notes to Condensed Financial Statements</w:t>
              </w:r>
            </w:hyperlink>
          </w:p>
        </w:tc>
        <w:tc>
          <w:tcPr>
            <w:tcW w:w="6460" w:type="dxa"/>
            <w:vAlign w:val="bottom"/>
            <w:gridSpan w:val="6"/>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9"/>
        </w:trPr>
        <w:tc>
          <w:tcPr>
            <w:tcW w:w="1060" w:type="dxa"/>
            <w:vAlign w:val="bottom"/>
            <w:gridSpan w:val="2"/>
          </w:tcPr>
          <w:p>
            <w:pPr>
              <w:spacing w:after="0"/>
              <w:rPr>
                <w:sz w:val="20"/>
                <w:szCs w:val="20"/>
                <w:color w:val="auto"/>
              </w:rPr>
            </w:pPr>
            <w:r>
              <w:rPr>
                <w:rFonts w:ascii="Arial" w:cs="Arial" w:eastAsia="Arial" w:hAnsi="Arial"/>
                <w:sz w:val="18"/>
                <w:szCs w:val="18"/>
                <w:color w:val="auto"/>
              </w:rPr>
              <w:t>Item 2.</w:t>
            </w:r>
          </w:p>
        </w:tc>
        <w:tc>
          <w:tcPr>
            <w:tcW w:w="6460" w:type="dxa"/>
            <w:vAlign w:val="bottom"/>
            <w:tcBorders>
              <w:bottom w:val="single" w:sz="8" w:color="0000EE"/>
            </w:tcBorders>
            <w:gridSpan w:val="18"/>
          </w:tcPr>
          <w:p>
            <w:pPr>
              <w:spacing w:after="0"/>
              <w:rPr>
                <w:rFonts w:ascii="Arial" w:cs="Arial" w:eastAsia="Arial" w:hAnsi="Arial"/>
                <w:sz w:val="18"/>
                <w:szCs w:val="18"/>
                <w:color w:val="0000EE"/>
                <w:w w:val="90"/>
              </w:rPr>
            </w:pPr>
            <w:hyperlink w:anchor="page17">
              <w:r>
                <w:rPr>
                  <w:rFonts w:ascii="Arial" w:cs="Arial" w:eastAsia="Arial" w:hAnsi="Arial"/>
                  <w:sz w:val="18"/>
                  <w:szCs w:val="18"/>
                  <w:color w:val="0000EE"/>
                  <w:w w:val="90"/>
                </w:rPr>
                <w:t>Management’s Discussion and Analysis of Financial Condition and Results of Operations</w:t>
              </w:r>
            </w:hyperlink>
          </w:p>
        </w:tc>
        <w:tc>
          <w:tcPr>
            <w:tcW w:w="3000" w:type="dxa"/>
            <w:vAlign w:val="bottom"/>
            <w:gridSpan w:val="2"/>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9"/>
        </w:trPr>
        <w:tc>
          <w:tcPr>
            <w:tcW w:w="1060" w:type="dxa"/>
            <w:vAlign w:val="bottom"/>
            <w:gridSpan w:val="2"/>
          </w:tcPr>
          <w:p>
            <w:pPr>
              <w:spacing w:after="0"/>
              <w:rPr>
                <w:sz w:val="20"/>
                <w:szCs w:val="20"/>
                <w:color w:val="auto"/>
              </w:rPr>
            </w:pPr>
            <w:r>
              <w:rPr>
                <w:rFonts w:ascii="Arial" w:cs="Arial" w:eastAsia="Arial" w:hAnsi="Arial"/>
                <w:sz w:val="18"/>
                <w:szCs w:val="18"/>
                <w:color w:val="auto"/>
              </w:rPr>
              <w:t>Item 3.</w:t>
            </w:r>
          </w:p>
        </w:tc>
        <w:tc>
          <w:tcPr>
            <w:tcW w:w="4360" w:type="dxa"/>
            <w:vAlign w:val="bottom"/>
            <w:tcBorders>
              <w:bottom w:val="single" w:sz="8" w:color="0000EE"/>
            </w:tcBorders>
            <w:gridSpan w:val="17"/>
          </w:tcPr>
          <w:p>
            <w:pPr>
              <w:spacing w:after="0"/>
              <w:rPr>
                <w:rFonts w:ascii="Arial" w:cs="Arial" w:eastAsia="Arial" w:hAnsi="Arial"/>
                <w:sz w:val="18"/>
                <w:szCs w:val="18"/>
                <w:color w:val="0000EE"/>
                <w:w w:val="92"/>
              </w:rPr>
            </w:pPr>
            <w:hyperlink w:anchor="page25">
              <w:r>
                <w:rPr>
                  <w:rFonts w:ascii="Arial" w:cs="Arial" w:eastAsia="Arial" w:hAnsi="Arial"/>
                  <w:sz w:val="18"/>
                  <w:szCs w:val="18"/>
                  <w:color w:val="0000EE"/>
                  <w:w w:val="92"/>
                </w:rPr>
                <w:t>Quantitative and Qualitative Disclosures About Market Risk</w:t>
              </w:r>
            </w:hyperlink>
          </w:p>
        </w:tc>
        <w:tc>
          <w:tcPr>
            <w:tcW w:w="5100" w:type="dxa"/>
            <w:vAlign w:val="bottom"/>
            <w:gridSpan w:val="3"/>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0"/>
        </w:trPr>
        <w:tc>
          <w:tcPr>
            <w:tcW w:w="1060" w:type="dxa"/>
            <w:vAlign w:val="bottom"/>
            <w:gridSpan w:val="2"/>
          </w:tcPr>
          <w:p>
            <w:pPr>
              <w:spacing w:after="0"/>
              <w:rPr>
                <w:sz w:val="20"/>
                <w:szCs w:val="20"/>
                <w:color w:val="auto"/>
              </w:rPr>
            </w:pPr>
            <w:r>
              <w:rPr>
                <w:rFonts w:ascii="Arial" w:cs="Arial" w:eastAsia="Arial" w:hAnsi="Arial"/>
                <w:sz w:val="18"/>
                <w:szCs w:val="18"/>
                <w:color w:val="auto"/>
              </w:rPr>
              <w:t>Item 4.</w:t>
            </w:r>
          </w:p>
        </w:tc>
        <w:tc>
          <w:tcPr>
            <w:tcW w:w="1780" w:type="dxa"/>
            <w:vAlign w:val="bottom"/>
            <w:tcBorders>
              <w:bottom w:val="single" w:sz="8" w:color="0000EE"/>
            </w:tcBorders>
            <w:gridSpan w:val="6"/>
          </w:tcPr>
          <w:p>
            <w:pPr>
              <w:spacing w:after="0"/>
              <w:rPr>
                <w:rFonts w:ascii="Arial" w:cs="Arial" w:eastAsia="Arial" w:hAnsi="Arial"/>
                <w:sz w:val="18"/>
                <w:szCs w:val="18"/>
                <w:color w:val="0000EE"/>
                <w:w w:val="88"/>
              </w:rPr>
            </w:pPr>
            <w:hyperlink w:anchor="page25">
              <w:r>
                <w:rPr>
                  <w:rFonts w:ascii="Arial" w:cs="Arial" w:eastAsia="Arial" w:hAnsi="Arial"/>
                  <w:sz w:val="18"/>
                  <w:szCs w:val="18"/>
                  <w:color w:val="0000EE"/>
                  <w:w w:val="88"/>
                </w:rPr>
                <w:t>Controls and Procedures</w:t>
              </w:r>
            </w:hyperlink>
          </w:p>
        </w:tc>
        <w:tc>
          <w:tcPr>
            <w:tcW w:w="7680" w:type="dxa"/>
            <w:vAlign w:val="bottom"/>
            <w:gridSpan w:val="14"/>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0"/>
        </w:trPr>
        <w:tc>
          <w:tcPr>
            <w:tcW w:w="1060" w:type="dxa"/>
            <w:vAlign w:val="bottom"/>
            <w:gridSpan w:val="2"/>
          </w:tcPr>
          <w:p>
            <w:pPr>
              <w:spacing w:after="0"/>
              <w:rPr>
                <w:sz w:val="20"/>
                <w:szCs w:val="20"/>
                <w:color w:val="auto"/>
              </w:rPr>
            </w:pPr>
            <w:r>
              <w:rPr>
                <w:rFonts w:ascii="Arial" w:cs="Arial" w:eastAsia="Arial" w:hAnsi="Arial"/>
                <w:sz w:val="18"/>
                <w:szCs w:val="18"/>
                <w:b w:val="1"/>
                <w:bCs w:val="1"/>
                <w:color w:val="auto"/>
              </w:rPr>
              <w:t>PART II.</w:t>
            </w:r>
          </w:p>
        </w:tc>
        <w:tc>
          <w:tcPr>
            <w:tcW w:w="9460" w:type="dxa"/>
            <w:vAlign w:val="bottom"/>
            <w:gridSpan w:val="20"/>
          </w:tcPr>
          <w:p>
            <w:pPr>
              <w:spacing w:after="0"/>
              <w:rPr>
                <w:rFonts w:ascii="Arial" w:cs="Arial" w:eastAsia="Arial" w:hAnsi="Arial"/>
                <w:sz w:val="18"/>
                <w:szCs w:val="18"/>
                <w:color w:val="0000EE"/>
              </w:rPr>
            </w:pPr>
            <w:hyperlink w:anchor="page26">
              <w:r>
                <w:rPr>
                  <w:rFonts w:ascii="Arial" w:cs="Arial" w:eastAsia="Arial" w:hAnsi="Arial"/>
                  <w:sz w:val="18"/>
                  <w:szCs w:val="18"/>
                  <w:color w:val="0000EE"/>
                </w:rPr>
                <w:t>OTHER INFORMATION</w:t>
              </w:r>
            </w:hyperlink>
          </w:p>
        </w:tc>
        <w:tc>
          <w:tcPr>
            <w:tcW w:w="72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9"/>
        </w:trPr>
        <w:tc>
          <w:tcPr>
            <w:tcW w:w="1060" w:type="dxa"/>
            <w:vAlign w:val="bottom"/>
            <w:gridSpan w:val="2"/>
          </w:tcPr>
          <w:p>
            <w:pPr>
              <w:spacing w:after="0"/>
              <w:rPr>
                <w:sz w:val="20"/>
                <w:szCs w:val="20"/>
                <w:color w:val="auto"/>
              </w:rPr>
            </w:pPr>
            <w:r>
              <w:rPr>
                <w:rFonts w:ascii="Arial" w:cs="Arial" w:eastAsia="Arial" w:hAnsi="Arial"/>
                <w:sz w:val="18"/>
                <w:szCs w:val="18"/>
                <w:color w:val="auto"/>
              </w:rPr>
              <w:t>Item 1.</w:t>
            </w:r>
          </w:p>
        </w:tc>
        <w:tc>
          <w:tcPr>
            <w:tcW w:w="1340" w:type="dxa"/>
            <w:vAlign w:val="bottom"/>
            <w:tcBorders>
              <w:top w:val="single" w:sz="8" w:color="0000EE"/>
              <w:bottom w:val="single" w:sz="8" w:color="0000EE"/>
            </w:tcBorders>
            <w:gridSpan w:val="4"/>
          </w:tcPr>
          <w:p>
            <w:pPr>
              <w:spacing w:after="0"/>
              <w:rPr>
                <w:rFonts w:ascii="Arial" w:cs="Arial" w:eastAsia="Arial" w:hAnsi="Arial"/>
                <w:sz w:val="18"/>
                <w:szCs w:val="18"/>
                <w:color w:val="0000EE"/>
                <w:w w:val="88"/>
              </w:rPr>
            </w:pPr>
            <w:hyperlink w:anchor="page26">
              <w:r>
                <w:rPr>
                  <w:rFonts w:ascii="Arial" w:cs="Arial" w:eastAsia="Arial" w:hAnsi="Arial"/>
                  <w:sz w:val="18"/>
                  <w:szCs w:val="18"/>
                  <w:color w:val="0000EE"/>
                  <w:w w:val="88"/>
                </w:rPr>
                <w:t>Legal Proceedings</w:t>
              </w:r>
            </w:hyperlink>
          </w:p>
        </w:tc>
        <w:tc>
          <w:tcPr>
            <w:tcW w:w="540" w:type="dxa"/>
            <w:vAlign w:val="bottom"/>
            <w:tcBorders>
              <w:top w:val="single" w:sz="8" w:color="0000EE"/>
            </w:tcBorders>
            <w:gridSpan w:val="3"/>
          </w:tcPr>
          <w:p>
            <w:pPr>
              <w:spacing w:after="0"/>
              <w:rPr>
                <w:sz w:val="18"/>
                <w:szCs w:val="18"/>
                <w:color w:val="auto"/>
              </w:rPr>
            </w:pPr>
          </w:p>
        </w:tc>
        <w:tc>
          <w:tcPr>
            <w:tcW w:w="7580" w:type="dxa"/>
            <w:vAlign w:val="bottom"/>
            <w:gridSpan w:val="13"/>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0"/>
        </w:trPr>
        <w:tc>
          <w:tcPr>
            <w:tcW w:w="106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9460" w:type="dxa"/>
            <w:vAlign w:val="bottom"/>
            <w:gridSpan w:val="20"/>
          </w:tcPr>
          <w:p>
            <w:pPr>
              <w:spacing w:after="0"/>
              <w:rPr>
                <w:rFonts w:ascii="Arial" w:cs="Arial" w:eastAsia="Arial" w:hAnsi="Arial"/>
                <w:sz w:val="18"/>
                <w:szCs w:val="18"/>
                <w:color w:val="0000EE"/>
              </w:rPr>
            </w:pPr>
            <w:hyperlink w:anchor="page26">
              <w:r>
                <w:rPr>
                  <w:rFonts w:ascii="Arial" w:cs="Arial" w:eastAsia="Arial" w:hAnsi="Arial"/>
                  <w:sz w:val="18"/>
                  <w:szCs w:val="18"/>
                  <w:color w:val="0000EE"/>
                </w:rPr>
                <w:t>Risk Factors</w:t>
              </w:r>
            </w:hyperlink>
          </w:p>
        </w:tc>
        <w:tc>
          <w:tcPr>
            <w:tcW w:w="72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560" w:type="dxa"/>
            <w:vAlign w:val="bottom"/>
            <w:gridSpan w:val="5"/>
          </w:tcPr>
          <w:p>
            <w:pPr>
              <w:spacing w:after="0" w:line="20" w:lineRule="exact"/>
              <w:rPr>
                <w:sz w:val="1"/>
                <w:szCs w:val="1"/>
                <w:color w:val="auto"/>
              </w:rPr>
            </w:pPr>
          </w:p>
        </w:tc>
        <w:tc>
          <w:tcPr>
            <w:tcW w:w="2020" w:type="dxa"/>
            <w:vAlign w:val="bottom"/>
            <w:gridSpan w:val="6"/>
          </w:tcPr>
          <w:p>
            <w:pPr>
              <w:spacing w:after="0" w:line="20" w:lineRule="exact"/>
              <w:rPr>
                <w:sz w:val="1"/>
                <w:szCs w:val="1"/>
                <w:color w:val="auto"/>
              </w:rPr>
            </w:pPr>
          </w:p>
        </w:tc>
        <w:tc>
          <w:tcPr>
            <w:tcW w:w="5120" w:type="dxa"/>
            <w:vAlign w:val="bottom"/>
            <w:gridSpan w:val="4"/>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60" w:type="dxa"/>
            <w:vAlign w:val="bottom"/>
            <w:gridSpan w:val="2"/>
          </w:tcPr>
          <w:p>
            <w:pPr>
              <w:spacing w:after="0"/>
              <w:rPr>
                <w:sz w:val="20"/>
                <w:szCs w:val="20"/>
                <w:color w:val="auto"/>
              </w:rPr>
            </w:pPr>
            <w:r>
              <w:rPr>
                <w:rFonts w:ascii="Arial" w:cs="Arial" w:eastAsia="Arial" w:hAnsi="Arial"/>
                <w:sz w:val="18"/>
                <w:szCs w:val="18"/>
                <w:color w:val="auto"/>
              </w:rPr>
              <w:t>Item 2.</w:t>
            </w:r>
          </w:p>
        </w:tc>
        <w:tc>
          <w:tcPr>
            <w:tcW w:w="9460" w:type="dxa"/>
            <w:vAlign w:val="bottom"/>
            <w:gridSpan w:val="20"/>
          </w:tcPr>
          <w:p>
            <w:pPr>
              <w:spacing w:after="0"/>
              <w:rPr>
                <w:rFonts w:ascii="Arial" w:cs="Arial" w:eastAsia="Arial" w:hAnsi="Arial"/>
                <w:sz w:val="18"/>
                <w:szCs w:val="18"/>
                <w:color w:val="0000EE"/>
              </w:rPr>
            </w:pPr>
            <w:hyperlink w:anchor="page26">
              <w:r>
                <w:rPr>
                  <w:rFonts w:ascii="Arial" w:cs="Arial" w:eastAsia="Arial" w:hAnsi="Arial"/>
                  <w:sz w:val="18"/>
                  <w:szCs w:val="18"/>
                  <w:color w:val="0000EE"/>
                </w:rPr>
                <w:t>Unregistered Sales of Equity Securities and Use of Proceeds</w:t>
              </w:r>
            </w:hyperlink>
          </w:p>
        </w:tc>
        <w:tc>
          <w:tcPr>
            <w:tcW w:w="72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0"/>
        </w:trPr>
        <w:tc>
          <w:tcPr>
            <w:tcW w:w="1060" w:type="dxa"/>
            <w:vAlign w:val="bottom"/>
            <w:gridSpan w:val="2"/>
          </w:tcPr>
          <w:p>
            <w:pPr>
              <w:spacing w:after="0"/>
              <w:rPr>
                <w:sz w:val="20"/>
                <w:szCs w:val="20"/>
                <w:color w:val="auto"/>
              </w:rPr>
            </w:pPr>
            <w:r>
              <w:rPr>
                <w:rFonts w:ascii="Arial" w:cs="Arial" w:eastAsia="Arial" w:hAnsi="Arial"/>
                <w:sz w:val="18"/>
                <w:szCs w:val="18"/>
                <w:color w:val="auto"/>
              </w:rPr>
              <w:t>Item 3.</w:t>
            </w:r>
          </w:p>
        </w:tc>
        <w:tc>
          <w:tcPr>
            <w:tcW w:w="4340" w:type="dxa"/>
            <w:vAlign w:val="bottom"/>
            <w:tcBorders>
              <w:top w:val="single" w:sz="8" w:color="0000EE"/>
            </w:tcBorders>
            <w:gridSpan w:val="16"/>
          </w:tcPr>
          <w:p>
            <w:pPr>
              <w:spacing w:after="0"/>
              <w:rPr>
                <w:rFonts w:ascii="Arial" w:cs="Arial" w:eastAsia="Arial" w:hAnsi="Arial"/>
                <w:sz w:val="18"/>
                <w:szCs w:val="18"/>
                <w:color w:val="0000EE"/>
              </w:rPr>
            </w:pPr>
            <w:hyperlink w:anchor="page26">
              <w:r>
                <w:rPr>
                  <w:rFonts w:ascii="Arial" w:cs="Arial" w:eastAsia="Arial" w:hAnsi="Arial"/>
                  <w:sz w:val="18"/>
                  <w:szCs w:val="18"/>
                  <w:color w:val="0000EE"/>
                </w:rPr>
                <w:t>Defaults Upon Senior Securities</w:t>
              </w:r>
            </w:hyperlink>
          </w:p>
        </w:tc>
        <w:tc>
          <w:tcPr>
            <w:tcW w:w="5120" w:type="dxa"/>
            <w:vAlign w:val="bottom"/>
            <w:gridSpan w:val="4"/>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0"/>
        </w:trPr>
        <w:tc>
          <w:tcPr>
            <w:tcW w:w="1060" w:type="dxa"/>
            <w:vAlign w:val="bottom"/>
            <w:gridSpan w:val="2"/>
          </w:tcPr>
          <w:p>
            <w:pPr>
              <w:spacing w:after="0"/>
              <w:rPr>
                <w:sz w:val="20"/>
                <w:szCs w:val="20"/>
                <w:color w:val="auto"/>
              </w:rPr>
            </w:pPr>
            <w:r>
              <w:rPr>
                <w:rFonts w:ascii="Arial" w:cs="Arial" w:eastAsia="Arial" w:hAnsi="Arial"/>
                <w:sz w:val="18"/>
                <w:szCs w:val="18"/>
                <w:color w:val="auto"/>
              </w:rPr>
              <w:t>Item 4.</w:t>
            </w:r>
          </w:p>
        </w:tc>
        <w:tc>
          <w:tcPr>
            <w:tcW w:w="2320" w:type="dxa"/>
            <w:vAlign w:val="bottom"/>
            <w:tcBorders>
              <w:top w:val="single" w:sz="8" w:color="0000EE"/>
            </w:tcBorders>
            <w:gridSpan w:val="10"/>
          </w:tcPr>
          <w:p>
            <w:pPr>
              <w:spacing w:after="0"/>
              <w:rPr>
                <w:rFonts w:ascii="Arial" w:cs="Arial" w:eastAsia="Arial" w:hAnsi="Arial"/>
                <w:sz w:val="18"/>
                <w:szCs w:val="18"/>
                <w:color w:val="0000EE"/>
              </w:rPr>
            </w:pPr>
            <w:hyperlink w:anchor="page26">
              <w:r>
                <w:rPr>
                  <w:rFonts w:ascii="Arial" w:cs="Arial" w:eastAsia="Arial" w:hAnsi="Arial"/>
                  <w:sz w:val="18"/>
                  <w:szCs w:val="18"/>
                  <w:color w:val="0000EE"/>
                </w:rPr>
                <w:t>Mine Safety Disclosures</w:t>
              </w:r>
            </w:hyperlink>
          </w:p>
        </w:tc>
        <w:tc>
          <w:tcPr>
            <w:tcW w:w="7140" w:type="dxa"/>
            <w:vAlign w:val="bottom"/>
            <w:gridSpan w:val="10"/>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9"/>
        </w:trPr>
        <w:tc>
          <w:tcPr>
            <w:tcW w:w="1060" w:type="dxa"/>
            <w:vAlign w:val="bottom"/>
            <w:gridSpan w:val="2"/>
          </w:tcPr>
          <w:p>
            <w:pPr>
              <w:spacing w:after="0"/>
              <w:rPr>
                <w:sz w:val="20"/>
                <w:szCs w:val="20"/>
                <w:color w:val="auto"/>
              </w:rPr>
            </w:pPr>
            <w:r>
              <w:rPr>
                <w:rFonts w:ascii="Arial" w:cs="Arial" w:eastAsia="Arial" w:hAnsi="Arial"/>
                <w:sz w:val="18"/>
                <w:szCs w:val="18"/>
                <w:color w:val="auto"/>
              </w:rPr>
              <w:t>Item 5.</w:t>
            </w:r>
          </w:p>
        </w:tc>
        <w:tc>
          <w:tcPr>
            <w:tcW w:w="132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92"/>
              </w:rPr>
            </w:pPr>
            <w:hyperlink w:anchor="page26">
              <w:r>
                <w:rPr>
                  <w:rFonts w:ascii="Arial" w:cs="Arial" w:eastAsia="Arial" w:hAnsi="Arial"/>
                  <w:sz w:val="18"/>
                  <w:szCs w:val="18"/>
                  <w:color w:val="0000EE"/>
                  <w:w w:val="92"/>
                </w:rPr>
                <w:t>Other Information</w:t>
              </w:r>
            </w:hyperlink>
          </w:p>
        </w:tc>
        <w:tc>
          <w:tcPr>
            <w:tcW w:w="440" w:type="dxa"/>
            <w:vAlign w:val="bottom"/>
            <w:tcBorders>
              <w:top w:val="single" w:sz="8" w:color="0000EE"/>
            </w:tcBorders>
            <w:gridSpan w:val="2"/>
          </w:tcPr>
          <w:p>
            <w:pPr>
              <w:spacing w:after="0"/>
              <w:rPr>
                <w:sz w:val="18"/>
                <w:szCs w:val="18"/>
                <w:color w:val="auto"/>
              </w:rPr>
            </w:pPr>
          </w:p>
        </w:tc>
        <w:tc>
          <w:tcPr>
            <w:tcW w:w="7700" w:type="dxa"/>
            <w:vAlign w:val="bottom"/>
            <w:gridSpan w:val="15"/>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0"/>
        </w:trPr>
        <w:tc>
          <w:tcPr>
            <w:tcW w:w="1060" w:type="dxa"/>
            <w:vAlign w:val="bottom"/>
            <w:gridSpan w:val="2"/>
          </w:tcPr>
          <w:p>
            <w:pPr>
              <w:spacing w:after="0"/>
              <w:rPr>
                <w:sz w:val="20"/>
                <w:szCs w:val="20"/>
                <w:color w:val="auto"/>
              </w:rPr>
            </w:pPr>
            <w:r>
              <w:rPr>
                <w:rFonts w:ascii="Arial" w:cs="Arial" w:eastAsia="Arial" w:hAnsi="Arial"/>
                <w:sz w:val="18"/>
                <w:szCs w:val="18"/>
                <w:color w:val="auto"/>
              </w:rPr>
              <w:t>Item 6.</w:t>
            </w:r>
          </w:p>
        </w:tc>
        <w:tc>
          <w:tcPr>
            <w:tcW w:w="9460" w:type="dxa"/>
            <w:vAlign w:val="bottom"/>
            <w:gridSpan w:val="20"/>
          </w:tcPr>
          <w:p>
            <w:pPr>
              <w:spacing w:after="0"/>
              <w:rPr>
                <w:rFonts w:ascii="Arial" w:cs="Arial" w:eastAsia="Arial" w:hAnsi="Arial"/>
                <w:sz w:val="18"/>
                <w:szCs w:val="18"/>
                <w:color w:val="0000EE"/>
              </w:rPr>
            </w:pPr>
            <w:hyperlink w:anchor="page27">
              <w:r>
                <w:rPr>
                  <w:rFonts w:ascii="Arial" w:cs="Arial" w:eastAsia="Arial" w:hAnsi="Arial"/>
                  <w:sz w:val="18"/>
                  <w:szCs w:val="18"/>
                  <w:color w:val="0000EE"/>
                </w:rPr>
                <w:t>Exhibits</w:t>
              </w:r>
            </w:hyperlink>
          </w:p>
        </w:tc>
        <w:tc>
          <w:tcPr>
            <w:tcW w:w="72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9"/>
        </w:trPr>
        <w:tc>
          <w:tcPr>
            <w:tcW w:w="1060" w:type="dxa"/>
            <w:vAlign w:val="bottom"/>
            <w:gridSpan w:val="2"/>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Signatures</w:t>
              </w:r>
            </w:hyperlink>
          </w:p>
        </w:tc>
        <w:tc>
          <w:tcPr>
            <w:tcW w:w="600" w:type="dxa"/>
            <w:vAlign w:val="bottom"/>
            <w:tcBorders>
              <w:top w:val="single" w:sz="8" w:color="0000EE"/>
            </w:tcBorders>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7740" w:type="dxa"/>
            <w:vAlign w:val="bottom"/>
          </w:tcPr>
          <w:p>
            <w:pPr>
              <w:jc w:val="center"/>
              <w:ind w:left="3410"/>
              <w:spacing w:after="0"/>
              <w:rPr>
                <w:sz w:val="20"/>
                <w:szCs w:val="20"/>
                <w:color w:val="auto"/>
              </w:rPr>
            </w:pPr>
            <w:r>
              <w:rPr>
                <w:rFonts w:ascii="Arial" w:cs="Arial" w:eastAsia="Arial" w:hAnsi="Arial"/>
                <w:sz w:val="18"/>
                <w:szCs w:val="18"/>
                <w:b w:val="1"/>
                <w:bCs w:val="1"/>
                <w:color w:val="auto"/>
              </w:rPr>
              <w:t>PART I—FINANCIAL INFORMATION</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740" w:type="dxa"/>
            <w:vAlign w:val="bottom"/>
          </w:tcPr>
          <w:p>
            <w:pPr>
              <w:spacing w:after="0"/>
              <w:rPr>
                <w:sz w:val="20"/>
                <w:szCs w:val="20"/>
                <w:color w:val="auto"/>
              </w:rPr>
            </w:pPr>
            <w:r>
              <w:rPr>
                <w:rFonts w:ascii="Arial" w:cs="Arial" w:eastAsia="Arial" w:hAnsi="Arial"/>
                <w:sz w:val="18"/>
                <w:szCs w:val="18"/>
                <w:b w:val="1"/>
                <w:bCs w:val="1"/>
                <w:color w:val="auto"/>
              </w:rPr>
              <w:t>Item 1. Financial Statements.</w:t>
            </w: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7740" w:type="dxa"/>
            <w:vAlign w:val="bottom"/>
          </w:tcPr>
          <w:p>
            <w:pPr>
              <w:jc w:val="center"/>
              <w:ind w:left="3410"/>
              <w:spacing w:after="0"/>
              <w:rPr>
                <w:sz w:val="20"/>
                <w:szCs w:val="20"/>
                <w:color w:val="auto"/>
              </w:rPr>
            </w:pPr>
            <w:r>
              <w:rPr>
                <w:rFonts w:ascii="Arial" w:cs="Arial" w:eastAsia="Arial" w:hAnsi="Arial"/>
                <w:sz w:val="18"/>
                <w:szCs w:val="18"/>
                <w:b w:val="1"/>
                <w:bCs w:val="1"/>
                <w:color w:val="auto"/>
                <w:w w:val="92"/>
              </w:rPr>
              <w:t>Outset Medical, Inc.</w:t>
            </w: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7740" w:type="dxa"/>
            <w:vAlign w:val="bottom"/>
          </w:tcPr>
          <w:p>
            <w:pPr>
              <w:jc w:val="center"/>
              <w:ind w:left="3410"/>
              <w:spacing w:after="0"/>
              <w:rPr>
                <w:sz w:val="20"/>
                <w:szCs w:val="20"/>
                <w:color w:val="auto"/>
              </w:rPr>
            </w:pPr>
            <w:r>
              <w:rPr>
                <w:rFonts w:ascii="Arial" w:cs="Arial" w:eastAsia="Arial" w:hAnsi="Arial"/>
                <w:sz w:val="18"/>
                <w:szCs w:val="18"/>
                <w:b w:val="1"/>
                <w:bCs w:val="1"/>
                <w:color w:val="auto"/>
                <w:w w:val="86"/>
              </w:rPr>
              <w:t>Condensed Balance Sheets</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40" w:type="dxa"/>
            <w:vAlign w:val="bottom"/>
          </w:tcPr>
          <w:p>
            <w:pPr>
              <w:jc w:val="center"/>
              <w:ind w:left="3410"/>
              <w:spacing w:after="0"/>
              <w:rPr>
                <w:sz w:val="20"/>
                <w:szCs w:val="20"/>
                <w:color w:val="auto"/>
              </w:rPr>
            </w:pPr>
            <w:r>
              <w:rPr>
                <w:rFonts w:ascii="Arial" w:cs="Arial" w:eastAsia="Arial" w:hAnsi="Arial"/>
                <w:sz w:val="18"/>
                <w:szCs w:val="18"/>
                <w:i w:val="1"/>
                <w:iCs w:val="1"/>
                <w:color w:val="auto"/>
                <w:w w:val="89"/>
              </w:rPr>
              <w:t>(in thousands, except per share amounts)</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7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8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auto"/>
                <w:w w:val="88"/>
              </w:rPr>
              <w:t>June 30,</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3"/>
              </w:rPr>
              <w:t>December 31,</w:t>
            </w:r>
          </w:p>
        </w:tc>
        <w:tc>
          <w:tcPr>
            <w:tcW w:w="0" w:type="dxa"/>
            <w:vAlign w:val="bottom"/>
          </w:tcPr>
          <w:p>
            <w:pPr>
              <w:spacing w:after="0"/>
              <w:rPr>
                <w:sz w:val="1"/>
                <w:szCs w:val="1"/>
                <w:color w:val="auto"/>
              </w:rPr>
            </w:pPr>
          </w:p>
        </w:tc>
      </w:tr>
      <w:tr>
        <w:trPr>
          <w:trHeight w:val="234"/>
        </w:trPr>
        <w:tc>
          <w:tcPr>
            <w:tcW w:w="7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9"/>
              </w:rPr>
              <w:t>2021</w:t>
            </w: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center"/>
              <w:ind w:right="90"/>
              <w:spacing w:after="0"/>
              <w:rPr>
                <w:sz w:val="20"/>
                <w:szCs w:val="20"/>
                <w:color w:val="auto"/>
              </w:rPr>
            </w:pPr>
            <w:r>
              <w:rPr>
                <w:rFonts w:ascii="Arial" w:cs="Arial" w:eastAsia="Arial" w:hAnsi="Arial"/>
                <w:sz w:val="18"/>
                <w:szCs w:val="18"/>
                <w:b w:val="1"/>
                <w:bCs w:val="1"/>
                <w:color w:val="auto"/>
                <w:w w:val="93"/>
              </w:rPr>
              <w:t>(Unaudited)</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40" w:type="dxa"/>
            <w:vAlign w:val="bottom"/>
          </w:tcPr>
          <w:p>
            <w:pPr>
              <w:spacing w:after="0"/>
              <w:rPr>
                <w:sz w:val="20"/>
                <w:szCs w:val="20"/>
                <w:color w:val="auto"/>
              </w:rPr>
            </w:pPr>
            <w:r>
              <w:rPr>
                <w:rFonts w:ascii="Arial" w:cs="Arial" w:eastAsia="Arial" w:hAnsi="Arial"/>
                <w:sz w:val="18"/>
                <w:szCs w:val="18"/>
                <w:color w:val="auto"/>
              </w:rPr>
              <w:t>Current assets:</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and cash equivalents</w:t>
            </w:r>
          </w:p>
        </w:tc>
        <w:tc>
          <w:tcPr>
            <w:tcW w:w="320" w:type="dxa"/>
            <w:vAlign w:val="bottom"/>
            <w:gridSpan w:val="2"/>
            <w:shd w:val="clear" w:color="auto" w:fill="CFF0FC"/>
          </w:tcPr>
          <w:p>
            <w:pPr>
              <w:jc w:val="right"/>
              <w:ind w:right="27"/>
              <w:spacing w:after="0"/>
              <w:rPr>
                <w:sz w:val="20"/>
                <w:szCs w:val="20"/>
                <w:color w:val="auto"/>
              </w:rPr>
            </w:pPr>
            <w:r>
              <w:rPr>
                <w:rFonts w:ascii="Arial" w:cs="Arial" w:eastAsia="Arial" w:hAnsi="Arial"/>
                <w:sz w:val="18"/>
                <w:szCs w:val="18"/>
                <w:color w:val="auto"/>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274,274</w:t>
            </w:r>
          </w:p>
        </w:tc>
        <w:tc>
          <w:tcPr>
            <w:tcW w:w="300" w:type="dxa"/>
            <w:vAlign w:val="bottom"/>
            <w:shd w:val="clear" w:color="auto" w:fill="CFF0FC"/>
          </w:tcPr>
          <w:p>
            <w:pPr>
              <w:spacing w:after="0"/>
              <w:rPr>
                <w:sz w:val="19"/>
                <w:szCs w:val="19"/>
                <w:color w:val="auto"/>
              </w:rPr>
            </w:pPr>
          </w:p>
        </w:tc>
        <w:tc>
          <w:tcPr>
            <w:tcW w:w="140" w:type="dxa"/>
            <w:vAlign w:val="bottom"/>
            <w:gridSpan w:val="2"/>
            <w:shd w:val="clear" w:color="auto" w:fill="CFF0FC"/>
          </w:tcPr>
          <w:p>
            <w:pPr>
              <w:jc w:val="right"/>
              <w:ind w:right="9"/>
              <w:spacing w:after="0"/>
              <w:rPr>
                <w:sz w:val="20"/>
                <w:szCs w:val="20"/>
                <w:color w:val="auto"/>
              </w:rPr>
            </w:pPr>
            <w:r>
              <w:rPr>
                <w:rFonts w:ascii="Arial" w:cs="Arial" w:eastAsia="Arial" w:hAnsi="Arial"/>
                <w:sz w:val="15"/>
                <w:szCs w:val="15"/>
                <w:color w:val="auto"/>
                <w:w w:val="71"/>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294,972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40" w:type="dxa"/>
            <w:vAlign w:val="bottom"/>
          </w:tcPr>
          <w:p>
            <w:pPr>
              <w:ind w:left="260"/>
              <w:spacing w:after="0"/>
              <w:rPr>
                <w:sz w:val="20"/>
                <w:szCs w:val="20"/>
                <w:color w:val="auto"/>
              </w:rPr>
            </w:pPr>
            <w:r>
              <w:rPr>
                <w:rFonts w:ascii="Arial" w:cs="Arial" w:eastAsia="Arial" w:hAnsi="Arial"/>
                <w:sz w:val="18"/>
                <w:szCs w:val="18"/>
                <w:color w:val="auto"/>
              </w:rPr>
              <w:t>Short-term investments</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121,934</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19,898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Accounts receivable, net</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16,411</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6,468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40" w:type="dxa"/>
            <w:vAlign w:val="bottom"/>
          </w:tcPr>
          <w:p>
            <w:pPr>
              <w:ind w:left="260"/>
              <w:spacing w:after="0"/>
              <w:rPr>
                <w:sz w:val="20"/>
                <w:szCs w:val="20"/>
                <w:color w:val="auto"/>
              </w:rPr>
            </w:pPr>
            <w:r>
              <w:rPr>
                <w:rFonts w:ascii="Arial" w:cs="Arial" w:eastAsia="Arial" w:hAnsi="Arial"/>
                <w:sz w:val="18"/>
                <w:szCs w:val="18"/>
                <w:color w:val="auto"/>
              </w:rPr>
              <w:t>Inventories</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28,882</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18,384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Prepaid expenses and other current assets</w:t>
            </w:r>
          </w:p>
        </w:tc>
        <w:tc>
          <w:tcPr>
            <w:tcW w:w="14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6,459</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6,189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40" w:type="dxa"/>
            <w:vAlign w:val="bottom"/>
          </w:tcPr>
          <w:p>
            <w:pPr>
              <w:ind w:left="380"/>
              <w:spacing w:after="0"/>
              <w:rPr>
                <w:sz w:val="20"/>
                <w:szCs w:val="20"/>
                <w:color w:val="auto"/>
              </w:rPr>
            </w:pPr>
            <w:r>
              <w:rPr>
                <w:rFonts w:ascii="Arial" w:cs="Arial" w:eastAsia="Arial" w:hAnsi="Arial"/>
                <w:sz w:val="18"/>
                <w:szCs w:val="18"/>
                <w:color w:val="auto"/>
              </w:rPr>
              <w:t>Total current assets</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447,960</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345,911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40" w:type="dxa"/>
            <w:vAlign w:val="bottom"/>
            <w:shd w:val="clear" w:color="auto" w:fill="CFF0FC"/>
          </w:tcPr>
          <w:p>
            <w:pPr>
              <w:spacing w:after="0"/>
              <w:rPr>
                <w:sz w:val="20"/>
                <w:szCs w:val="20"/>
                <w:color w:val="auto"/>
              </w:rPr>
            </w:pPr>
            <w:r>
              <w:rPr>
                <w:rFonts w:ascii="Arial" w:cs="Arial" w:eastAsia="Arial" w:hAnsi="Arial"/>
                <w:sz w:val="18"/>
                <w:szCs w:val="18"/>
                <w:color w:val="auto"/>
              </w:rPr>
              <w:t>Restricted cash</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33,311</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33,311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4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15,275</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14,998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4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 right-of-use assets</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7,752</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8,253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assets</w:t>
            </w:r>
          </w:p>
        </w:tc>
        <w:tc>
          <w:tcPr>
            <w:tcW w:w="1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515</w:t>
            </w:r>
          </w:p>
        </w:tc>
        <w:tc>
          <w:tcPr>
            <w:tcW w:w="3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1,356</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4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Total assets</w:t>
            </w:r>
          </w:p>
        </w:tc>
        <w:tc>
          <w:tcPr>
            <w:tcW w:w="1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504,813</w:t>
            </w:r>
          </w:p>
        </w:tc>
        <w:tc>
          <w:tcPr>
            <w:tcW w:w="30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ind w:right="9"/>
              <w:spacing w:after="0"/>
              <w:rPr>
                <w:sz w:val="20"/>
                <w:szCs w:val="20"/>
                <w:color w:val="auto"/>
              </w:rPr>
            </w:pPr>
            <w:r>
              <w:rPr>
                <w:rFonts w:ascii="Arial" w:cs="Arial" w:eastAsia="Arial" w:hAnsi="Arial"/>
                <w:sz w:val="10"/>
                <w:szCs w:val="10"/>
                <w:color w:val="auto"/>
                <w:w w:val="71"/>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403,829</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4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74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740" w:type="dxa"/>
            <w:vAlign w:val="bottom"/>
            <w:shd w:val="clear" w:color="auto" w:fill="CFF0FC"/>
          </w:tcPr>
          <w:p>
            <w:pPr>
              <w:spacing w:after="0"/>
              <w:rPr>
                <w:sz w:val="20"/>
                <w:szCs w:val="20"/>
                <w:color w:val="auto"/>
              </w:rPr>
            </w:pPr>
            <w:r>
              <w:rPr>
                <w:rFonts w:ascii="Arial" w:cs="Arial" w:eastAsia="Arial" w:hAnsi="Arial"/>
                <w:sz w:val="18"/>
                <w:szCs w:val="18"/>
                <w:color w:val="auto"/>
              </w:rPr>
              <w:t>Current liabilities:</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40" w:type="dxa"/>
            <w:vAlign w:val="bottom"/>
          </w:tcPr>
          <w:p>
            <w:pPr>
              <w:ind w:left="260"/>
              <w:spacing w:after="0"/>
              <w:rPr>
                <w:sz w:val="20"/>
                <w:szCs w:val="20"/>
                <w:color w:val="auto"/>
              </w:rPr>
            </w:pPr>
            <w:r>
              <w:rPr>
                <w:rFonts w:ascii="Arial" w:cs="Arial" w:eastAsia="Arial" w:hAnsi="Arial"/>
                <w:sz w:val="18"/>
                <w:szCs w:val="18"/>
                <w:color w:val="auto"/>
              </w:rPr>
              <w:t>Accounts payable</w:t>
            </w:r>
          </w:p>
        </w:tc>
        <w:tc>
          <w:tcPr>
            <w:tcW w:w="32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2,364</w:t>
            </w:r>
          </w:p>
        </w:tc>
        <w:tc>
          <w:tcPr>
            <w:tcW w:w="300" w:type="dxa"/>
            <w:vAlign w:val="bottom"/>
          </w:tcPr>
          <w:p>
            <w:pPr>
              <w:spacing w:after="0"/>
              <w:rPr>
                <w:sz w:val="19"/>
                <w:szCs w:val="19"/>
                <w:color w:val="auto"/>
              </w:rPr>
            </w:pPr>
          </w:p>
        </w:tc>
        <w:tc>
          <w:tcPr>
            <w:tcW w:w="140" w:type="dxa"/>
            <w:vAlign w:val="bottom"/>
            <w:gridSpan w:val="2"/>
          </w:tcPr>
          <w:p>
            <w:pPr>
              <w:jc w:val="right"/>
              <w:ind w:right="9"/>
              <w:spacing w:after="0"/>
              <w:rPr>
                <w:sz w:val="20"/>
                <w:szCs w:val="20"/>
                <w:color w:val="auto"/>
              </w:rPr>
            </w:pPr>
            <w:r>
              <w:rPr>
                <w:rFonts w:ascii="Arial" w:cs="Arial" w:eastAsia="Arial" w:hAnsi="Arial"/>
                <w:sz w:val="15"/>
                <w:szCs w:val="15"/>
                <w:color w:val="auto"/>
                <w:w w:val="71"/>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4,948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Accrued compensation and related benefits</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15,308</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16,845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40" w:type="dxa"/>
            <w:vAlign w:val="bottom"/>
          </w:tcPr>
          <w:p>
            <w:pPr>
              <w:ind w:left="260"/>
              <w:spacing w:after="0"/>
              <w:rPr>
                <w:sz w:val="20"/>
                <w:szCs w:val="20"/>
                <w:color w:val="auto"/>
              </w:rPr>
            </w:pPr>
            <w:r>
              <w:rPr>
                <w:rFonts w:ascii="Arial" w:cs="Arial" w:eastAsia="Arial" w:hAnsi="Arial"/>
                <w:sz w:val="18"/>
                <w:szCs w:val="18"/>
                <w:color w:val="auto"/>
              </w:rPr>
              <w:t>Accrued expenses and other current liabilities</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9,256</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7,903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Accrued warranty liability</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3,073</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2,913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40" w:type="dxa"/>
            <w:vAlign w:val="bottom"/>
          </w:tcPr>
          <w:p>
            <w:pPr>
              <w:ind w:left="260"/>
              <w:spacing w:after="0"/>
              <w:rPr>
                <w:sz w:val="20"/>
                <w:szCs w:val="20"/>
                <w:color w:val="auto"/>
              </w:rPr>
            </w:pPr>
            <w:r>
              <w:rPr>
                <w:rFonts w:ascii="Arial" w:cs="Arial" w:eastAsia="Arial" w:hAnsi="Arial"/>
                <w:sz w:val="18"/>
                <w:szCs w:val="18"/>
                <w:color w:val="auto"/>
              </w:rPr>
              <w:t>Deferred revenue, current</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4,373</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3,201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Operating lease liabilities, current</w:t>
            </w:r>
          </w:p>
        </w:tc>
        <w:tc>
          <w:tcPr>
            <w:tcW w:w="14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1,069</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40" w:type="dxa"/>
            <w:vAlign w:val="bottom"/>
          </w:tcPr>
          <w:p>
            <w:pPr>
              <w:ind w:left="380"/>
              <w:spacing w:after="0"/>
              <w:rPr>
                <w:sz w:val="20"/>
                <w:szCs w:val="20"/>
                <w:color w:val="auto"/>
              </w:rPr>
            </w:pPr>
            <w:r>
              <w:rPr>
                <w:rFonts w:ascii="Arial" w:cs="Arial" w:eastAsia="Arial" w:hAnsi="Arial"/>
                <w:sz w:val="18"/>
                <w:szCs w:val="18"/>
                <w:color w:val="auto"/>
              </w:rPr>
              <w:t>Total current liabilities</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35,443</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36,692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40" w:type="dxa"/>
            <w:vAlign w:val="bottom"/>
            <w:shd w:val="clear" w:color="auto" w:fill="CFF0FC"/>
          </w:tcPr>
          <w:p>
            <w:pPr>
              <w:spacing w:after="0"/>
              <w:rPr>
                <w:sz w:val="20"/>
                <w:szCs w:val="20"/>
                <w:color w:val="auto"/>
              </w:rPr>
            </w:pPr>
            <w:r>
              <w:rPr>
                <w:rFonts w:ascii="Arial" w:cs="Arial" w:eastAsia="Arial" w:hAnsi="Arial"/>
                <w:sz w:val="18"/>
                <w:szCs w:val="18"/>
                <w:color w:val="auto"/>
              </w:rPr>
              <w:t>Accrued interest, noncurrent</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479</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40" w:type="dxa"/>
            <w:vAlign w:val="bottom"/>
          </w:tcPr>
          <w:p>
            <w:pPr>
              <w:spacing w:after="0"/>
              <w:rPr>
                <w:sz w:val="20"/>
                <w:szCs w:val="20"/>
                <w:color w:val="auto"/>
              </w:rPr>
            </w:pPr>
            <w:r>
              <w:rPr>
                <w:rFonts w:ascii="Arial" w:cs="Arial" w:eastAsia="Arial" w:hAnsi="Arial"/>
                <w:sz w:val="18"/>
                <w:szCs w:val="18"/>
                <w:color w:val="auto"/>
              </w:rPr>
              <w:t>Deferred revenue, noncurrent</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515</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570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4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 liabilities, noncurrent</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7,496</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8,044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Term loan, noncurrent</w:t>
            </w:r>
          </w:p>
        </w:tc>
        <w:tc>
          <w:tcPr>
            <w:tcW w:w="1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29,718</w:t>
            </w:r>
          </w:p>
        </w:tc>
        <w:tc>
          <w:tcPr>
            <w:tcW w:w="3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29,674</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Total liabilities</w:t>
            </w:r>
          </w:p>
        </w:tc>
        <w:tc>
          <w:tcPr>
            <w:tcW w:w="14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73,651</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75,220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40" w:type="dxa"/>
            <w:vAlign w:val="bottom"/>
          </w:tcPr>
          <w:p>
            <w:pPr>
              <w:spacing w:after="0"/>
              <w:rPr>
                <w:sz w:val="20"/>
                <w:szCs w:val="20"/>
                <w:color w:val="auto"/>
              </w:rPr>
            </w:pPr>
            <w:r>
              <w:rPr>
                <w:rFonts w:ascii="Arial" w:cs="Arial" w:eastAsia="Arial" w:hAnsi="Arial"/>
                <w:sz w:val="18"/>
                <w:szCs w:val="18"/>
                <w:color w:val="auto"/>
              </w:rPr>
              <w:t>Commitments and contingencies (Note 6)</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40" w:type="dxa"/>
            <w:vAlign w:val="bottom"/>
            <w:shd w:val="clear" w:color="auto" w:fill="CFF0FC"/>
          </w:tcPr>
          <w:p>
            <w:pPr>
              <w:spacing w:after="0"/>
              <w:rPr>
                <w:sz w:val="20"/>
                <w:szCs w:val="20"/>
                <w:color w:val="auto"/>
              </w:rPr>
            </w:pPr>
            <w:r>
              <w:rPr>
                <w:rFonts w:ascii="Arial" w:cs="Arial" w:eastAsia="Arial" w:hAnsi="Arial"/>
                <w:sz w:val="18"/>
                <w:szCs w:val="18"/>
                <w:color w:val="auto"/>
              </w:rPr>
              <w:t>Stockholders' equity:</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740" w:type="dxa"/>
            <w:vAlign w:val="bottom"/>
          </w:tcPr>
          <w:p>
            <w:pPr>
              <w:ind w:left="260"/>
              <w:spacing w:after="0"/>
              <w:rPr>
                <w:sz w:val="20"/>
                <w:szCs w:val="20"/>
                <w:color w:val="auto"/>
              </w:rPr>
            </w:pPr>
            <w:r>
              <w:rPr>
                <w:rFonts w:ascii="Arial" w:cs="Arial" w:eastAsia="Arial" w:hAnsi="Arial"/>
                <w:sz w:val="18"/>
                <w:szCs w:val="18"/>
                <w:color w:val="auto"/>
                <w:w w:val="90"/>
              </w:rPr>
              <w:t>Preferred stock, $0.001 par value; 5,000 shares authorized, and no shares issued and outstanding as of</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40" w:type="dxa"/>
            <w:vAlign w:val="bottom"/>
          </w:tcPr>
          <w:p>
            <w:pPr>
              <w:ind w:left="260"/>
              <w:spacing w:after="0"/>
              <w:rPr>
                <w:sz w:val="20"/>
                <w:szCs w:val="20"/>
                <w:color w:val="auto"/>
              </w:rPr>
            </w:pPr>
            <w:r>
              <w:rPr>
                <w:rFonts w:ascii="Arial" w:cs="Arial" w:eastAsia="Arial" w:hAnsi="Arial"/>
                <w:sz w:val="18"/>
                <w:szCs w:val="18"/>
                <w:color w:val="auto"/>
              </w:rPr>
              <w:t>June 30, 2021 and December 31, 2020</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7740" w:type="dxa"/>
            <w:vAlign w:val="bottom"/>
            <w:shd w:val="clear" w:color="auto" w:fill="CFF0FC"/>
          </w:tcPr>
          <w:p>
            <w:pPr>
              <w:ind w:left="260"/>
              <w:spacing w:after="0"/>
              <w:rPr>
                <w:sz w:val="20"/>
                <w:szCs w:val="20"/>
                <w:color w:val="auto"/>
              </w:rPr>
            </w:pPr>
            <w:r>
              <w:rPr>
                <w:rFonts w:ascii="Arial" w:cs="Arial" w:eastAsia="Arial" w:hAnsi="Arial"/>
                <w:sz w:val="18"/>
                <w:szCs w:val="18"/>
                <w:color w:val="auto"/>
                <w:w w:val="92"/>
              </w:rPr>
              <w:t>Common stock, $0.001 par value; 300,000 shares authorized as of June 30, 2021 and December 31,</w:t>
            </w: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shd w:val="clear" w:color="auto" w:fill="CFF0FC"/>
          </w:tcPr>
          <w:p>
            <w:pPr>
              <w:ind w:left="260"/>
              <w:spacing w:after="0"/>
              <w:rPr>
                <w:sz w:val="20"/>
                <w:szCs w:val="20"/>
                <w:color w:val="auto"/>
              </w:rPr>
            </w:pPr>
            <w:r>
              <w:rPr>
                <w:rFonts w:ascii="Arial" w:cs="Arial" w:eastAsia="Arial" w:hAnsi="Arial"/>
                <w:sz w:val="18"/>
                <w:szCs w:val="18"/>
                <w:color w:val="auto"/>
                <w:w w:val="91"/>
              </w:rPr>
              <w:t>2020; 46,225 and 42,722 shares issued and outstanding as of June 30, 2021 and December 31, 2020,</w:t>
            </w: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respectively</w:t>
            </w:r>
          </w:p>
        </w:tc>
        <w:tc>
          <w:tcPr>
            <w:tcW w:w="1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w:t>
            </w:r>
          </w:p>
        </w:tc>
        <w:tc>
          <w:tcPr>
            <w:tcW w:w="30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740" w:type="dxa"/>
            <w:vAlign w:val="bottom"/>
          </w:tcPr>
          <w:p>
            <w:pPr>
              <w:ind w:left="260"/>
              <w:spacing w:after="0"/>
              <w:rPr>
                <w:sz w:val="20"/>
                <w:szCs w:val="20"/>
                <w:color w:val="auto"/>
              </w:rPr>
            </w:pPr>
            <w:r>
              <w:rPr>
                <w:rFonts w:ascii="Arial" w:cs="Arial" w:eastAsia="Arial" w:hAnsi="Arial"/>
                <w:sz w:val="18"/>
                <w:szCs w:val="18"/>
                <w:color w:val="auto"/>
              </w:rPr>
              <w:t>Additional paid-in capital</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985,436</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822,624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Accumulated other comprehensive (loss) income</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5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(28)</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40" w:type="dxa"/>
            <w:vAlign w:val="bottom"/>
          </w:tcPr>
          <w:p>
            <w:pPr>
              <w:ind w:left="260"/>
              <w:spacing w:after="0"/>
              <w:rPr>
                <w:sz w:val="20"/>
                <w:szCs w:val="20"/>
                <w:color w:val="auto"/>
              </w:rPr>
            </w:pPr>
            <w:r>
              <w:rPr>
                <w:rFonts w:ascii="Arial" w:cs="Arial" w:eastAsia="Arial" w:hAnsi="Arial"/>
                <w:sz w:val="18"/>
                <w:szCs w:val="18"/>
                <w:color w:val="auto"/>
              </w:rPr>
              <w:t>Accumulated deficit</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(554,292)</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gridSpan w:val="2"/>
          </w:tcPr>
          <w:p>
            <w:pPr>
              <w:jc w:val="right"/>
              <w:ind w:right="60"/>
              <w:spacing w:after="0"/>
              <w:rPr>
                <w:sz w:val="20"/>
                <w:szCs w:val="20"/>
                <w:color w:val="auto"/>
              </w:rPr>
            </w:pPr>
            <w:r>
              <w:rPr>
                <w:rFonts w:ascii="Arial" w:cs="Arial" w:eastAsia="Arial" w:hAnsi="Arial"/>
                <w:sz w:val="18"/>
                <w:szCs w:val="18"/>
                <w:color w:val="auto"/>
              </w:rPr>
              <w:t>(494,059)</w:t>
            </w:r>
          </w:p>
        </w:tc>
        <w:tc>
          <w:tcPr>
            <w:tcW w:w="0" w:type="dxa"/>
            <w:vAlign w:val="bottom"/>
          </w:tcPr>
          <w:p>
            <w:pPr>
              <w:spacing w:after="0"/>
              <w:rPr>
                <w:sz w:val="1"/>
                <w:szCs w:val="1"/>
                <w:color w:val="auto"/>
              </w:rPr>
            </w:pPr>
          </w:p>
        </w:tc>
      </w:tr>
      <w:tr>
        <w:trPr>
          <w:trHeight w:val="223"/>
        </w:trPr>
        <w:tc>
          <w:tcPr>
            <w:tcW w:w="7740" w:type="dxa"/>
            <w:vAlign w:val="bottom"/>
            <w:tcBorders>
              <w:top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Total stockholders' equity</w:t>
            </w:r>
          </w:p>
        </w:tc>
        <w:tc>
          <w:tcPr>
            <w:tcW w:w="1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19"/>
                <w:szCs w:val="19"/>
                <w:color w:val="auto"/>
              </w:rPr>
            </w:pP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431,162</w:t>
            </w:r>
          </w:p>
        </w:tc>
        <w:tc>
          <w:tcPr>
            <w:tcW w:w="3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328,609</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40" w:type="dxa"/>
            <w:vAlign w:val="bottom"/>
          </w:tcPr>
          <w:p>
            <w:pPr>
              <w:ind w:left="380"/>
              <w:spacing w:after="0"/>
              <w:rPr>
                <w:sz w:val="20"/>
                <w:szCs w:val="20"/>
                <w:color w:val="auto"/>
              </w:rPr>
            </w:pPr>
            <w:r>
              <w:rPr>
                <w:rFonts w:ascii="Arial" w:cs="Arial" w:eastAsia="Arial" w:hAnsi="Arial"/>
                <w:sz w:val="18"/>
                <w:szCs w:val="18"/>
                <w:color w:val="auto"/>
              </w:rPr>
              <w:t>Total liabilities and stockholders' equity</w:t>
            </w:r>
          </w:p>
        </w:tc>
        <w:tc>
          <w:tcPr>
            <w:tcW w:w="140" w:type="dxa"/>
            <w:vAlign w:val="bottom"/>
          </w:tcPr>
          <w:p>
            <w:pPr>
              <w:spacing w:after="0"/>
              <w:rPr>
                <w:sz w:val="19"/>
                <w:szCs w:val="19"/>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504,813</w:t>
            </w:r>
          </w:p>
        </w:tc>
        <w:tc>
          <w:tcPr>
            <w:tcW w:w="3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403,829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condensed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Outset Medical,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except per share amounts)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60" w:type="dxa"/>
            <w:vAlign w:val="bottom"/>
            <w:gridSpan w:val="6"/>
          </w:tcPr>
          <w:p>
            <w:pPr>
              <w:jc w:val="right"/>
              <w:ind w:right="660"/>
              <w:spacing w:after="0"/>
              <w:rPr>
                <w:sz w:val="20"/>
                <w:szCs w:val="20"/>
                <w:color w:val="auto"/>
              </w:rPr>
            </w:pPr>
            <w:r>
              <w:rPr>
                <w:rFonts w:ascii="Arial" w:cs="Arial" w:eastAsia="Arial" w:hAnsi="Arial"/>
                <w:sz w:val="18"/>
                <w:szCs w:val="18"/>
                <w:b w:val="1"/>
                <w:bCs w:val="1"/>
                <w:color w:val="auto"/>
                <w:w w:val="99"/>
              </w:rPr>
              <w:t>Three Months Ended</w:t>
            </w:r>
          </w:p>
        </w:tc>
        <w:tc>
          <w:tcPr>
            <w:tcW w:w="220" w:type="dxa"/>
            <w:vAlign w:val="bottom"/>
          </w:tcPr>
          <w:p>
            <w:pPr>
              <w:spacing w:after="0"/>
              <w:rPr>
                <w:sz w:val="19"/>
                <w:szCs w:val="19"/>
                <w:color w:val="auto"/>
              </w:rPr>
            </w:pPr>
          </w:p>
        </w:tc>
        <w:tc>
          <w:tcPr>
            <w:tcW w:w="2340" w:type="dxa"/>
            <w:vAlign w:val="bottom"/>
            <w:gridSpan w:val="5"/>
          </w:tcPr>
          <w:p>
            <w:pPr>
              <w:jc w:val="right"/>
              <w:ind w:right="64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34"/>
        </w:trPr>
        <w:tc>
          <w:tcPr>
            <w:tcW w:w="60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4"/>
          </w:tcPr>
          <w:p>
            <w:pPr>
              <w:jc w:val="right"/>
              <w:ind w:right="7"/>
              <w:spacing w:after="0"/>
              <w:rPr>
                <w:sz w:val="20"/>
                <w:szCs w:val="20"/>
                <w:color w:val="auto"/>
              </w:rPr>
            </w:pPr>
            <w:r>
              <w:rPr>
                <w:rFonts w:ascii="Arial" w:cs="Arial" w:eastAsia="Arial" w:hAnsi="Arial"/>
                <w:sz w:val="18"/>
                <w:szCs w:val="18"/>
                <w:b w:val="1"/>
                <w:bCs w:val="1"/>
                <w:color w:val="auto"/>
              </w:rPr>
              <w:t>June 30,</w:t>
            </w:r>
          </w:p>
        </w:tc>
        <w:tc>
          <w:tcPr>
            <w:tcW w:w="82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8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0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4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0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00" w:type="dxa"/>
            <w:vAlign w:val="bottom"/>
          </w:tcPr>
          <w:p>
            <w:pPr>
              <w:ind w:left="260"/>
              <w:spacing w:after="0"/>
              <w:rPr>
                <w:sz w:val="20"/>
                <w:szCs w:val="20"/>
                <w:color w:val="auto"/>
              </w:rPr>
            </w:pPr>
            <w:r>
              <w:rPr>
                <w:rFonts w:ascii="Arial" w:cs="Arial" w:eastAsia="Arial" w:hAnsi="Arial"/>
                <w:sz w:val="18"/>
                <w:szCs w:val="18"/>
                <w:color w:val="auto"/>
              </w:rPr>
              <w:t>Product revenue</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20,628</w:t>
            </w:r>
          </w:p>
        </w:tc>
        <w:tc>
          <w:tcPr>
            <w:tcW w:w="140" w:type="dxa"/>
            <w:vAlign w:val="bottom"/>
          </w:tcPr>
          <w:p>
            <w:pPr>
              <w:spacing w:after="0"/>
              <w:rPr>
                <w:sz w:val="19"/>
                <w:szCs w:val="19"/>
                <w:color w:val="auto"/>
              </w:rPr>
            </w:pPr>
          </w:p>
        </w:tc>
        <w:tc>
          <w:tcPr>
            <w:tcW w:w="380" w:type="dxa"/>
            <w:vAlign w:val="bottom"/>
            <w:gridSpan w:val="2"/>
          </w:tcPr>
          <w:p>
            <w:pPr>
              <w:jc w:val="right"/>
              <w:ind w:right="127"/>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9,697</w:t>
            </w:r>
          </w:p>
        </w:tc>
        <w:tc>
          <w:tcPr>
            <w:tcW w:w="240" w:type="dxa"/>
            <w:vAlign w:val="bottom"/>
          </w:tcPr>
          <w:p>
            <w:pPr>
              <w:spacing w:after="0"/>
              <w:rPr>
                <w:sz w:val="19"/>
                <w:szCs w:val="19"/>
                <w:color w:val="auto"/>
              </w:rPr>
            </w:pP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38,838</w:t>
            </w:r>
          </w:p>
        </w:tc>
        <w:tc>
          <w:tcPr>
            <w:tcW w:w="24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15,623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Service and other revenue</w:t>
            </w:r>
          </w:p>
        </w:tc>
        <w:tc>
          <w:tcPr>
            <w:tcW w:w="22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4,588</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2,045</w:t>
            </w:r>
          </w:p>
        </w:tc>
        <w:tc>
          <w:tcPr>
            <w:tcW w:w="24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9,294</w:t>
            </w:r>
          </w:p>
        </w:tc>
        <w:tc>
          <w:tcPr>
            <w:tcW w:w="24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3,309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00" w:type="dxa"/>
            <w:vAlign w:val="bottom"/>
          </w:tcPr>
          <w:p>
            <w:pPr>
              <w:ind w:left="500"/>
              <w:spacing w:after="0"/>
              <w:rPr>
                <w:sz w:val="20"/>
                <w:szCs w:val="20"/>
                <w:color w:val="auto"/>
              </w:rPr>
            </w:pPr>
            <w:r>
              <w:rPr>
                <w:rFonts w:ascii="Arial" w:cs="Arial" w:eastAsia="Arial" w:hAnsi="Arial"/>
                <w:sz w:val="18"/>
                <w:szCs w:val="18"/>
                <w:color w:val="auto"/>
              </w:rPr>
              <w:t>Total revenue</w:t>
            </w: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25,216</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11,742</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48,132</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18,932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00" w:type="dxa"/>
            <w:vAlign w:val="bottom"/>
            <w:shd w:val="clear" w:color="auto" w:fill="CFF0FC"/>
          </w:tcPr>
          <w:p>
            <w:pPr>
              <w:spacing w:after="0"/>
              <w:rPr>
                <w:sz w:val="20"/>
                <w:szCs w:val="20"/>
                <w:color w:val="auto"/>
              </w:rPr>
            </w:pPr>
            <w:r>
              <w:rPr>
                <w:rFonts w:ascii="Arial" w:cs="Arial" w:eastAsia="Arial" w:hAnsi="Arial"/>
                <w:sz w:val="18"/>
                <w:szCs w:val="18"/>
                <w:color w:val="auto"/>
              </w:rPr>
              <w:t>Cost of revenue:</w:t>
            </w: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00" w:type="dxa"/>
            <w:vAlign w:val="bottom"/>
          </w:tcPr>
          <w:p>
            <w:pPr>
              <w:ind w:left="260"/>
              <w:spacing w:after="0"/>
              <w:rPr>
                <w:sz w:val="20"/>
                <w:szCs w:val="20"/>
                <w:color w:val="auto"/>
              </w:rPr>
            </w:pPr>
            <w:r>
              <w:rPr>
                <w:rFonts w:ascii="Arial" w:cs="Arial" w:eastAsia="Arial" w:hAnsi="Arial"/>
                <w:sz w:val="18"/>
                <w:szCs w:val="18"/>
                <w:color w:val="auto"/>
              </w:rPr>
              <w:t>Cost of product revenue</w:t>
            </w: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22,077</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15,291</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42,654</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24,853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Cost of service and other revenue</w:t>
            </w:r>
          </w:p>
        </w:tc>
        <w:tc>
          <w:tcPr>
            <w:tcW w:w="22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2,087</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1,215</w:t>
            </w:r>
          </w:p>
        </w:tc>
        <w:tc>
          <w:tcPr>
            <w:tcW w:w="24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4,137</w:t>
            </w:r>
          </w:p>
        </w:tc>
        <w:tc>
          <w:tcPr>
            <w:tcW w:w="24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2,407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0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cost of revenue</w:t>
            </w: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24,164</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16,506</w:t>
            </w:r>
          </w:p>
        </w:tc>
        <w:tc>
          <w:tcPr>
            <w:tcW w:w="24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46,791</w:t>
            </w:r>
          </w:p>
        </w:tc>
        <w:tc>
          <w:tcPr>
            <w:tcW w:w="2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27,260</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00" w:type="dxa"/>
            <w:vAlign w:val="bottom"/>
            <w:shd w:val="clear" w:color="auto" w:fill="CFF0FC"/>
          </w:tcPr>
          <w:p>
            <w:pPr>
              <w:ind w:left="620"/>
              <w:spacing w:after="0"/>
              <w:rPr>
                <w:sz w:val="20"/>
                <w:szCs w:val="20"/>
                <w:color w:val="auto"/>
              </w:rPr>
            </w:pPr>
            <w:r>
              <w:rPr>
                <w:rFonts w:ascii="Arial" w:cs="Arial" w:eastAsia="Arial" w:hAnsi="Arial"/>
                <w:sz w:val="18"/>
                <w:szCs w:val="18"/>
                <w:color w:val="auto"/>
              </w:rPr>
              <w:t>Gross profit</w:t>
            </w: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1,052</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(4,764)</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1,341</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(8,328)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00" w:type="dxa"/>
            <w:vAlign w:val="bottom"/>
          </w:tcPr>
          <w:p>
            <w:pPr>
              <w:spacing w:after="0"/>
              <w:rPr>
                <w:sz w:val="20"/>
                <w:szCs w:val="20"/>
                <w:color w:val="auto"/>
              </w:rPr>
            </w:pPr>
            <w:r>
              <w:rPr>
                <w:rFonts w:ascii="Arial" w:cs="Arial" w:eastAsia="Arial" w:hAnsi="Arial"/>
                <w:sz w:val="18"/>
                <w:szCs w:val="18"/>
                <w:color w:val="auto"/>
              </w:rPr>
              <w:t>Operating expenses:</w:t>
            </w: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Research and development</w:t>
            </w: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8,032</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6,053</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15,602</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11,891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00" w:type="dxa"/>
            <w:vAlign w:val="bottom"/>
          </w:tcPr>
          <w:p>
            <w:pPr>
              <w:ind w:left="260"/>
              <w:spacing w:after="0"/>
              <w:rPr>
                <w:sz w:val="20"/>
                <w:szCs w:val="20"/>
                <w:color w:val="auto"/>
              </w:rPr>
            </w:pPr>
            <w:r>
              <w:rPr>
                <w:rFonts w:ascii="Arial" w:cs="Arial" w:eastAsia="Arial" w:hAnsi="Arial"/>
                <w:sz w:val="18"/>
                <w:szCs w:val="18"/>
                <w:color w:val="auto"/>
              </w:rPr>
              <w:t>Sales and marketing</w:t>
            </w: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13,204</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9,244</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26,353</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16,526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General and administrative</w:t>
            </w:r>
          </w:p>
        </w:tc>
        <w:tc>
          <w:tcPr>
            <w:tcW w:w="22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9,722</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4,848</w:t>
            </w:r>
          </w:p>
        </w:tc>
        <w:tc>
          <w:tcPr>
            <w:tcW w:w="24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18,968</w:t>
            </w:r>
          </w:p>
        </w:tc>
        <w:tc>
          <w:tcPr>
            <w:tcW w:w="24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8,374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0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operating expenses</w:t>
            </w: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30,958</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20,145</w:t>
            </w:r>
          </w:p>
        </w:tc>
        <w:tc>
          <w:tcPr>
            <w:tcW w:w="24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60,923</w:t>
            </w:r>
          </w:p>
        </w:tc>
        <w:tc>
          <w:tcPr>
            <w:tcW w:w="2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36,791</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00" w:type="dxa"/>
            <w:vAlign w:val="bottom"/>
            <w:shd w:val="clear" w:color="auto" w:fill="CFF0FC"/>
          </w:tcPr>
          <w:p>
            <w:pPr>
              <w:spacing w:after="0"/>
              <w:rPr>
                <w:sz w:val="20"/>
                <w:szCs w:val="20"/>
                <w:color w:val="auto"/>
              </w:rPr>
            </w:pPr>
            <w:r>
              <w:rPr>
                <w:rFonts w:ascii="Arial" w:cs="Arial" w:eastAsia="Arial" w:hAnsi="Arial"/>
                <w:sz w:val="18"/>
                <w:szCs w:val="18"/>
                <w:color w:val="auto"/>
              </w:rPr>
              <w:t>Loss from operations</w:t>
            </w: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(29,906)</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(24,909)</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(59,582)</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(45,119)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00" w:type="dxa"/>
            <w:vAlign w:val="bottom"/>
          </w:tcPr>
          <w:p>
            <w:pPr>
              <w:ind w:left="260"/>
              <w:spacing w:after="0"/>
              <w:rPr>
                <w:sz w:val="20"/>
                <w:szCs w:val="20"/>
                <w:color w:val="auto"/>
              </w:rPr>
            </w:pPr>
            <w:r>
              <w:rPr>
                <w:rFonts w:ascii="Arial" w:cs="Arial" w:eastAsia="Arial" w:hAnsi="Arial"/>
                <w:sz w:val="18"/>
                <w:szCs w:val="18"/>
                <w:color w:val="auto"/>
              </w:rPr>
              <w:t>Interest income and other income, net</w:t>
            </w: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164</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67</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276</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527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expense</w:t>
            </w:r>
          </w:p>
        </w:tc>
        <w:tc>
          <w:tcPr>
            <w:tcW w:w="2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(431)</w:t>
            </w: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(1,032)</w:t>
            </w:r>
          </w:p>
        </w:tc>
        <w:tc>
          <w:tcPr>
            <w:tcW w:w="2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(853)</w:t>
            </w:r>
          </w:p>
        </w:tc>
        <w:tc>
          <w:tcPr>
            <w:tcW w:w="28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(2,033)</w:t>
            </w:r>
          </w:p>
        </w:tc>
        <w:tc>
          <w:tcPr>
            <w:tcW w:w="0" w:type="dxa"/>
            <w:vAlign w:val="bottom"/>
          </w:tcPr>
          <w:p>
            <w:pPr>
              <w:spacing w:after="0"/>
              <w:rPr>
                <w:sz w:val="1"/>
                <w:szCs w:val="1"/>
                <w:color w:val="auto"/>
              </w:rPr>
            </w:pPr>
          </w:p>
        </w:tc>
      </w:tr>
      <w:tr>
        <w:trPr>
          <w:trHeight w:val="215"/>
        </w:trPr>
        <w:tc>
          <w:tcPr>
            <w:tcW w:w="6000" w:type="dxa"/>
            <w:vAlign w:val="bottom"/>
          </w:tcPr>
          <w:p>
            <w:pPr>
              <w:ind w:left="260"/>
              <w:spacing w:after="0"/>
              <w:rPr>
                <w:sz w:val="20"/>
                <w:szCs w:val="20"/>
                <w:color w:val="auto"/>
              </w:rPr>
            </w:pPr>
            <w:r>
              <w:rPr>
                <w:rFonts w:ascii="Arial" w:cs="Arial" w:eastAsia="Arial" w:hAnsi="Arial"/>
                <w:sz w:val="18"/>
                <w:szCs w:val="18"/>
                <w:color w:val="auto"/>
              </w:rPr>
              <w:t>Change in fair value of redeemable convertible preferred stock</w:t>
            </w: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000" w:type="dxa"/>
            <w:vAlign w:val="bottom"/>
          </w:tcPr>
          <w:p>
            <w:pPr>
              <w:ind w:left="380"/>
              <w:spacing w:after="0"/>
              <w:rPr>
                <w:sz w:val="20"/>
                <w:szCs w:val="20"/>
                <w:color w:val="auto"/>
              </w:rPr>
            </w:pPr>
            <w:r>
              <w:rPr>
                <w:rFonts w:ascii="Arial" w:cs="Arial" w:eastAsia="Arial" w:hAnsi="Arial"/>
                <w:sz w:val="18"/>
                <w:szCs w:val="18"/>
                <w:color w:val="auto"/>
              </w:rPr>
              <w:t>warrant liability</w:t>
            </w:r>
          </w:p>
        </w:tc>
        <w:tc>
          <w:tcPr>
            <w:tcW w:w="220" w:type="dxa"/>
            <w:vAlign w:val="bottom"/>
          </w:tcPr>
          <w:p>
            <w:pPr>
              <w:spacing w:after="0"/>
              <w:rPr>
                <w:sz w:val="20"/>
                <w:szCs w:val="20"/>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(631)</w:t>
            </w:r>
          </w:p>
        </w:tc>
        <w:tc>
          <w:tcPr>
            <w:tcW w:w="220" w:type="dxa"/>
            <w:vAlign w:val="bottom"/>
          </w:tcPr>
          <w:p>
            <w:pPr>
              <w:spacing w:after="0"/>
              <w:rPr>
                <w:sz w:val="20"/>
                <w:szCs w:val="20"/>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(530)</w:t>
            </w:r>
          </w:p>
        </w:tc>
        <w:tc>
          <w:tcPr>
            <w:tcW w:w="0" w:type="dxa"/>
            <w:vAlign w:val="bottom"/>
          </w:tcPr>
          <w:p>
            <w:pPr>
              <w:spacing w:after="0"/>
              <w:rPr>
                <w:sz w:val="1"/>
                <w:szCs w:val="1"/>
                <w:color w:val="auto"/>
              </w:rPr>
            </w:pPr>
          </w:p>
        </w:tc>
      </w:tr>
      <w:tr>
        <w:trPr>
          <w:trHeight w:val="223"/>
        </w:trPr>
        <w:tc>
          <w:tcPr>
            <w:tcW w:w="60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Loss before provision for income taxes</w:t>
            </w:r>
          </w:p>
        </w:tc>
        <w:tc>
          <w:tcPr>
            <w:tcW w:w="22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(30,173)</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(26,505)</w:t>
            </w:r>
          </w:p>
        </w:tc>
        <w:tc>
          <w:tcPr>
            <w:tcW w:w="2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(60,159)</w:t>
            </w:r>
          </w:p>
        </w:tc>
        <w:tc>
          <w:tcPr>
            <w:tcW w:w="24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(47,155)</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35</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74</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w:t>
            </w: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(30,208)</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(26,505)</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(60,233)</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(47,155)</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9"/>
        </w:trPr>
        <w:tc>
          <w:tcPr>
            <w:tcW w:w="6000" w:type="dxa"/>
            <w:vAlign w:val="bottom"/>
          </w:tcPr>
          <w:p>
            <w:pPr>
              <w:spacing w:after="0"/>
              <w:rPr>
                <w:sz w:val="20"/>
                <w:szCs w:val="20"/>
                <w:color w:val="auto"/>
              </w:rPr>
            </w:pPr>
            <w:r>
              <w:rPr>
                <w:rFonts w:ascii="Arial" w:cs="Arial" w:eastAsia="Arial" w:hAnsi="Arial"/>
                <w:sz w:val="18"/>
                <w:szCs w:val="18"/>
                <w:color w:val="auto"/>
              </w:rPr>
              <w:t>Net loss attributable to common stockholders, basic and diluted</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(30,208)</w:t>
            </w:r>
          </w:p>
        </w:tc>
        <w:tc>
          <w:tcPr>
            <w:tcW w:w="380" w:type="dxa"/>
            <w:vAlign w:val="bottom"/>
            <w:gridSpan w:val="2"/>
          </w:tcPr>
          <w:p>
            <w:pPr>
              <w:jc w:val="right"/>
              <w:ind w:right="127"/>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(26,505)</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(60,233)</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(4,987)</w:t>
            </w:r>
          </w:p>
        </w:tc>
        <w:tc>
          <w:tcPr>
            <w:tcW w:w="0" w:type="dxa"/>
            <w:vAlign w:val="bottom"/>
          </w:tcPr>
          <w:p>
            <w:pPr>
              <w:spacing w:after="0"/>
              <w:rPr>
                <w:sz w:val="1"/>
                <w:szCs w:val="1"/>
                <w:color w:val="auto"/>
              </w:rPr>
            </w:pPr>
          </w:p>
        </w:tc>
      </w:tr>
      <w:tr>
        <w:trPr>
          <w:trHeight w:val="196"/>
        </w:trPr>
        <w:tc>
          <w:tcPr>
            <w:tcW w:w="6000" w:type="dxa"/>
            <w:vAlign w:val="bottom"/>
            <w:tcBorders>
              <w:top w:val="single" w:sz="8" w:color="CFF0FC"/>
            </w:tcBorders>
            <w:shd w:val="clear" w:color="auto" w:fill="CFF0FC"/>
          </w:tcPr>
          <w:p>
            <w:pPr>
              <w:spacing w:after="0" w:line="195" w:lineRule="exact"/>
              <w:rPr>
                <w:sz w:val="20"/>
                <w:szCs w:val="20"/>
                <w:color w:val="auto"/>
              </w:rPr>
            </w:pPr>
            <w:r>
              <w:rPr>
                <w:rFonts w:ascii="Arial" w:cs="Arial" w:eastAsia="Arial" w:hAnsi="Arial"/>
                <w:sz w:val="18"/>
                <w:szCs w:val="18"/>
                <w:color w:val="auto"/>
              </w:rPr>
              <w:t>Net loss per share attributable to common stockholders,</w:t>
            </w:r>
          </w:p>
        </w:tc>
        <w:tc>
          <w:tcPr>
            <w:tcW w:w="220" w:type="dxa"/>
            <w:vAlign w:val="bottom"/>
            <w:tcBorders>
              <w:top w:val="single" w:sz="8" w:color="auto"/>
            </w:tcBorders>
            <w:shd w:val="clear" w:color="auto" w:fill="CFF0FC"/>
          </w:tcPr>
          <w:p>
            <w:pPr>
              <w:spacing w:after="0"/>
              <w:rPr>
                <w:sz w:val="17"/>
                <w:szCs w:val="17"/>
                <w:color w:val="auto"/>
              </w:rPr>
            </w:pPr>
          </w:p>
        </w:tc>
        <w:tc>
          <w:tcPr>
            <w:tcW w:w="88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280" w:type="dxa"/>
            <w:vAlign w:val="bottom"/>
            <w:tcBorders>
              <w:top w:val="single" w:sz="8" w:color="auto"/>
            </w:tcBorders>
            <w:shd w:val="clear" w:color="auto" w:fill="CFF0FC"/>
          </w:tcPr>
          <w:p>
            <w:pPr>
              <w:spacing w:after="0"/>
              <w:rPr>
                <w:sz w:val="17"/>
                <w:szCs w:val="17"/>
                <w:color w:val="auto"/>
              </w:rPr>
            </w:pPr>
          </w:p>
        </w:tc>
        <w:tc>
          <w:tcPr>
            <w:tcW w:w="82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88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280" w:type="dxa"/>
            <w:vAlign w:val="bottom"/>
            <w:tcBorders>
              <w:top w:val="single" w:sz="8" w:color="auto"/>
            </w:tcBorders>
            <w:shd w:val="clear" w:color="auto" w:fill="CFF0FC"/>
          </w:tcPr>
          <w:p>
            <w:pPr>
              <w:spacing w:after="0"/>
              <w:rPr>
                <w:sz w:val="17"/>
                <w:szCs w:val="17"/>
                <w:color w:val="auto"/>
              </w:rPr>
            </w:pPr>
          </w:p>
        </w:tc>
        <w:tc>
          <w:tcPr>
            <w:tcW w:w="84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0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basic and diluted</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(0.66)</w:t>
            </w:r>
          </w:p>
        </w:tc>
        <w:tc>
          <w:tcPr>
            <w:tcW w:w="380" w:type="dxa"/>
            <w:vAlign w:val="bottom"/>
            <w:gridSpan w:val="2"/>
            <w:shd w:val="clear" w:color="auto" w:fill="CFF0FC"/>
          </w:tcPr>
          <w:p>
            <w:pPr>
              <w:jc w:val="right"/>
              <w:ind w:right="127"/>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(4.58)</w:t>
            </w: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(1.36)</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(0.98)</w:t>
            </w:r>
          </w:p>
        </w:tc>
        <w:tc>
          <w:tcPr>
            <w:tcW w:w="0" w:type="dxa"/>
            <w:vAlign w:val="bottom"/>
          </w:tcPr>
          <w:p>
            <w:pPr>
              <w:spacing w:after="0"/>
              <w:rPr>
                <w:sz w:val="1"/>
                <w:szCs w:val="1"/>
                <w:color w:val="auto"/>
              </w:rPr>
            </w:pPr>
          </w:p>
        </w:tc>
      </w:tr>
      <w:tr>
        <w:trPr>
          <w:trHeight w:val="20"/>
        </w:trPr>
        <w:tc>
          <w:tcPr>
            <w:tcW w:w="600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color w:val="auto"/>
              </w:rPr>
              <w:t>Weighted-average shares used in computing net loss per share</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0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000" w:type="dxa"/>
            <w:vAlign w:val="bottom"/>
          </w:tcPr>
          <w:p>
            <w:pPr>
              <w:ind w:left="140"/>
              <w:spacing w:after="0"/>
              <w:rPr>
                <w:sz w:val="20"/>
                <w:szCs w:val="20"/>
                <w:color w:val="auto"/>
              </w:rPr>
            </w:pPr>
            <w:r>
              <w:rPr>
                <w:rFonts w:ascii="Arial" w:cs="Arial" w:eastAsia="Arial" w:hAnsi="Arial"/>
                <w:sz w:val="18"/>
                <w:szCs w:val="18"/>
                <w:color w:val="auto"/>
              </w:rPr>
              <w:t>attributable to common stockholders, basic and diluted</w:t>
            </w: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45,680</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5,784</w:t>
            </w:r>
          </w:p>
        </w:tc>
        <w:tc>
          <w:tcPr>
            <w:tcW w:w="2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44,228</w:t>
            </w:r>
          </w:p>
        </w:tc>
        <w:tc>
          <w:tcPr>
            <w:tcW w:w="2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5,086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0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condensed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Outset Medical,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60" w:type="dxa"/>
            <w:vAlign w:val="bottom"/>
            <w:gridSpan w:val="5"/>
          </w:tcPr>
          <w:p>
            <w:pPr>
              <w:ind w:left="180"/>
              <w:spacing w:after="0"/>
              <w:rPr>
                <w:sz w:val="20"/>
                <w:szCs w:val="20"/>
                <w:color w:val="auto"/>
              </w:rPr>
            </w:pPr>
            <w:r>
              <w:rPr>
                <w:rFonts w:ascii="Arial" w:cs="Arial" w:eastAsia="Arial" w:hAnsi="Arial"/>
                <w:sz w:val="18"/>
                <w:szCs w:val="18"/>
                <w:b w:val="1"/>
                <w:bCs w:val="1"/>
                <w:color w:val="auto"/>
              </w:rPr>
              <w:t>Three Months Ended</w:t>
            </w:r>
          </w:p>
        </w:tc>
        <w:tc>
          <w:tcPr>
            <w:tcW w:w="220" w:type="dxa"/>
            <w:vAlign w:val="bottom"/>
          </w:tcPr>
          <w:p>
            <w:pPr>
              <w:spacing w:after="0"/>
              <w:rPr>
                <w:sz w:val="19"/>
                <w:szCs w:val="19"/>
                <w:color w:val="auto"/>
              </w:rPr>
            </w:pPr>
          </w:p>
        </w:tc>
        <w:tc>
          <w:tcPr>
            <w:tcW w:w="2340" w:type="dxa"/>
            <w:vAlign w:val="bottom"/>
            <w:gridSpan w:val="5"/>
          </w:tcPr>
          <w:p>
            <w:pPr>
              <w:jc w:val="right"/>
              <w:ind w:right="640"/>
              <w:spacing w:after="0"/>
              <w:rPr>
                <w:sz w:val="20"/>
                <w:szCs w:val="20"/>
                <w:color w:val="auto"/>
              </w:rPr>
            </w:pPr>
            <w:r>
              <w:rPr>
                <w:rFonts w:ascii="Arial" w:cs="Arial" w:eastAsia="Arial" w:hAnsi="Arial"/>
                <w:sz w:val="18"/>
                <w:szCs w:val="18"/>
                <w:b w:val="1"/>
                <w:bCs w:val="1"/>
                <w:color w:val="auto"/>
              </w:rPr>
              <w:t>Six Months Ended</w:t>
            </w:r>
          </w:p>
        </w:tc>
      </w:tr>
      <w:tr>
        <w:trPr>
          <w:trHeight w:val="234"/>
        </w:trPr>
        <w:tc>
          <w:tcPr>
            <w:tcW w:w="60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3"/>
          </w:tcPr>
          <w:p>
            <w:pPr>
              <w:jc w:val="right"/>
              <w:ind w:right="7"/>
              <w:spacing w:after="0"/>
              <w:rPr>
                <w:sz w:val="20"/>
                <w:szCs w:val="20"/>
                <w:color w:val="auto"/>
              </w:rPr>
            </w:pPr>
            <w:r>
              <w:rPr>
                <w:rFonts w:ascii="Arial" w:cs="Arial" w:eastAsia="Arial" w:hAnsi="Arial"/>
                <w:sz w:val="18"/>
                <w:szCs w:val="18"/>
                <w:b w:val="1"/>
                <w:bCs w:val="1"/>
                <w:color w:val="auto"/>
              </w:rPr>
              <w:t>June 30,</w:t>
            </w:r>
          </w:p>
        </w:tc>
        <w:tc>
          <w:tcPr>
            <w:tcW w:w="82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8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60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4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FF0FC"/>
            </w:tcBorders>
          </w:tcPr>
          <w:p>
            <w:pPr>
              <w:spacing w:after="0"/>
              <w:rPr>
                <w:sz w:val="19"/>
                <w:szCs w:val="19"/>
                <w:color w:val="auto"/>
              </w:rPr>
            </w:pPr>
          </w:p>
        </w:tc>
      </w:tr>
      <w:tr>
        <w:trPr>
          <w:trHeight w:val="223"/>
        </w:trPr>
        <w:tc>
          <w:tcPr>
            <w:tcW w:w="600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(30,208)</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(26,505)</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(60,233)</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(47,155)</w:t>
            </w:r>
          </w:p>
        </w:tc>
        <w:tc>
          <w:tcPr>
            <w:tcW w:w="100" w:type="dxa"/>
            <w:vAlign w:val="bottom"/>
            <w:shd w:val="clear" w:color="auto" w:fill="CFF0FC"/>
          </w:tcPr>
          <w:p>
            <w:pPr>
              <w:spacing w:after="0"/>
              <w:rPr>
                <w:sz w:val="19"/>
                <w:szCs w:val="19"/>
                <w:color w:val="auto"/>
              </w:rPr>
            </w:pP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Other comprehensive loss:</w:t>
            </w: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60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Unrealized gain (loss) on available-for-sale securities</w:t>
            </w:r>
          </w:p>
        </w:tc>
        <w:tc>
          <w:tcPr>
            <w:tcW w:w="2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(20)</w:t>
            </w:r>
          </w:p>
        </w:tc>
        <w:tc>
          <w:tcPr>
            <w:tcW w:w="2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(29)</w:t>
            </w:r>
          </w:p>
        </w:tc>
        <w:tc>
          <w:tcPr>
            <w:tcW w:w="28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(22)</w:t>
            </w:r>
          </w:p>
        </w:tc>
      </w:tr>
      <w:tr>
        <w:trPr>
          <w:trHeight w:val="223"/>
        </w:trPr>
        <w:tc>
          <w:tcPr>
            <w:tcW w:w="6000" w:type="dxa"/>
            <w:vAlign w:val="bottom"/>
          </w:tcPr>
          <w:p>
            <w:pPr>
              <w:spacing w:after="0"/>
              <w:rPr>
                <w:sz w:val="20"/>
                <w:szCs w:val="20"/>
                <w:color w:val="auto"/>
              </w:rPr>
            </w:pPr>
            <w:r>
              <w:rPr>
                <w:rFonts w:ascii="Arial" w:cs="Arial" w:eastAsia="Arial" w:hAnsi="Arial"/>
                <w:sz w:val="18"/>
                <w:szCs w:val="18"/>
                <w:color w:val="auto"/>
              </w:rPr>
              <w:t>Comprehensive loss</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(30,228)</w:t>
            </w:r>
          </w:p>
        </w:tc>
        <w:tc>
          <w:tcPr>
            <w:tcW w:w="24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(26,492)</w:t>
            </w:r>
          </w:p>
        </w:tc>
        <w:tc>
          <w:tcPr>
            <w:tcW w:w="24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(60,262)</w:t>
            </w:r>
          </w:p>
        </w:tc>
        <w:tc>
          <w:tcPr>
            <w:tcW w:w="24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(47,177)</w:t>
            </w:r>
          </w:p>
        </w:tc>
        <w:tc>
          <w:tcPr>
            <w:tcW w:w="100" w:type="dxa"/>
            <w:vAlign w:val="bottom"/>
          </w:tcPr>
          <w:p>
            <w:pPr>
              <w:spacing w:after="0"/>
              <w:rPr>
                <w:sz w:val="19"/>
                <w:szCs w:val="19"/>
                <w:color w:val="auto"/>
              </w:rPr>
            </w:pPr>
          </w:p>
        </w:tc>
      </w:tr>
      <w:tr>
        <w:trPr>
          <w:trHeight w:val="20"/>
        </w:trPr>
        <w:tc>
          <w:tcPr>
            <w:tcW w:w="60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Outset Medical,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 of Redeemable Convertible Preferred Stock and Stockholders’ Equity (Deficit)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2560" w:type="dxa"/>
            <w:vAlign w:val="bottom"/>
          </w:tcPr>
          <w:p>
            <w:pPr>
              <w:spacing w:after="0"/>
              <w:rPr>
                <w:sz w:val="18"/>
                <w:szCs w:val="18"/>
                <w:color w:val="auto"/>
              </w:rPr>
            </w:pPr>
          </w:p>
        </w:tc>
        <w:tc>
          <w:tcPr>
            <w:tcW w:w="1420" w:type="dxa"/>
            <w:vAlign w:val="bottom"/>
            <w:gridSpan w:val="3"/>
          </w:tcPr>
          <w:p>
            <w:pPr>
              <w:jc w:val="center"/>
              <w:ind w:left="110"/>
              <w:spacing w:after="0"/>
              <w:rPr>
                <w:sz w:val="20"/>
                <w:szCs w:val="20"/>
                <w:color w:val="auto"/>
              </w:rPr>
            </w:pPr>
            <w:r>
              <w:rPr>
                <w:rFonts w:ascii="Arial" w:cs="Arial" w:eastAsia="Arial" w:hAnsi="Arial"/>
                <w:sz w:val="18"/>
                <w:szCs w:val="18"/>
                <w:b w:val="1"/>
                <w:bCs w:val="1"/>
                <w:color w:val="auto"/>
                <w:w w:val="88"/>
              </w:rPr>
              <w:t>Redeemable</w:t>
            </w:r>
          </w:p>
        </w:tc>
        <w:tc>
          <w:tcPr>
            <w:tcW w:w="20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90"/>
              </w:rPr>
              <w:t>Accumulated</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Total</w:t>
            </w:r>
          </w:p>
        </w:tc>
        <w:tc>
          <w:tcPr>
            <w:tcW w:w="0" w:type="dxa"/>
            <w:vAlign w:val="bottom"/>
          </w:tcPr>
          <w:p>
            <w:pPr>
              <w:spacing w:after="0"/>
              <w:rPr>
                <w:sz w:val="1"/>
                <w:szCs w:val="1"/>
                <w:color w:val="auto"/>
              </w:rPr>
            </w:pPr>
          </w:p>
        </w:tc>
      </w:tr>
      <w:tr>
        <w:trPr>
          <w:trHeight w:val="216"/>
        </w:trPr>
        <w:tc>
          <w:tcPr>
            <w:tcW w:w="2560" w:type="dxa"/>
            <w:vAlign w:val="bottom"/>
          </w:tcPr>
          <w:p>
            <w:pPr>
              <w:spacing w:after="0"/>
              <w:rPr>
                <w:sz w:val="18"/>
                <w:szCs w:val="18"/>
                <w:color w:val="auto"/>
              </w:rPr>
            </w:pPr>
          </w:p>
        </w:tc>
        <w:tc>
          <w:tcPr>
            <w:tcW w:w="1420" w:type="dxa"/>
            <w:vAlign w:val="bottom"/>
            <w:gridSpan w:val="3"/>
          </w:tcPr>
          <w:p>
            <w:pPr>
              <w:jc w:val="center"/>
              <w:ind w:left="90"/>
              <w:spacing w:after="0"/>
              <w:rPr>
                <w:sz w:val="20"/>
                <w:szCs w:val="20"/>
                <w:color w:val="auto"/>
              </w:rPr>
            </w:pPr>
            <w:r>
              <w:rPr>
                <w:rFonts w:ascii="Arial" w:cs="Arial" w:eastAsia="Arial" w:hAnsi="Arial"/>
                <w:sz w:val="18"/>
                <w:szCs w:val="18"/>
                <w:b w:val="1"/>
                <w:bCs w:val="1"/>
                <w:color w:val="auto"/>
                <w:w w:val="92"/>
              </w:rPr>
              <w:t>Convertible</w:t>
            </w:r>
          </w:p>
        </w:tc>
        <w:tc>
          <w:tcPr>
            <w:tcW w:w="20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4"/>
          </w:tcPr>
          <w:p>
            <w:pPr>
              <w:ind w:left="220"/>
              <w:spacing w:after="0"/>
              <w:rPr>
                <w:sz w:val="20"/>
                <w:szCs w:val="20"/>
                <w:color w:val="auto"/>
              </w:rPr>
            </w:pPr>
            <w:r>
              <w:rPr>
                <w:rFonts w:ascii="Arial" w:cs="Arial" w:eastAsia="Arial" w:hAnsi="Arial"/>
                <w:sz w:val="18"/>
                <w:szCs w:val="18"/>
                <w:b w:val="1"/>
                <w:bCs w:val="1"/>
                <w:color w:val="auto"/>
              </w:rPr>
              <w:t>Additional</w:t>
            </w:r>
          </w:p>
        </w:tc>
        <w:tc>
          <w:tcPr>
            <w:tcW w:w="220" w:type="dxa"/>
            <w:vAlign w:val="bottom"/>
          </w:tcPr>
          <w:p>
            <w:pPr>
              <w:spacing w:after="0"/>
              <w:rPr>
                <w:sz w:val="18"/>
                <w:szCs w:val="18"/>
                <w:color w:val="auto"/>
              </w:rPr>
            </w:pPr>
          </w:p>
        </w:tc>
        <w:tc>
          <w:tcPr>
            <w:tcW w:w="11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5"/>
              </w:rPr>
              <w:t>Other</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3"/>
          </w:tcPr>
          <w:p>
            <w:pPr>
              <w:spacing w:after="0"/>
              <w:rPr>
                <w:sz w:val="20"/>
                <w:szCs w:val="20"/>
                <w:color w:val="auto"/>
              </w:rPr>
            </w:pPr>
            <w:r>
              <w:rPr>
                <w:rFonts w:ascii="Arial" w:cs="Arial" w:eastAsia="Arial" w:hAnsi="Arial"/>
                <w:sz w:val="18"/>
                <w:szCs w:val="18"/>
                <w:b w:val="1"/>
                <w:bCs w:val="1"/>
                <w:color w:val="auto"/>
                <w:w w:val="92"/>
              </w:rPr>
              <w:t>Stockholders’</w:t>
            </w:r>
          </w:p>
        </w:tc>
        <w:tc>
          <w:tcPr>
            <w:tcW w:w="0" w:type="dxa"/>
            <w:vAlign w:val="bottom"/>
          </w:tcPr>
          <w:p>
            <w:pPr>
              <w:spacing w:after="0"/>
              <w:rPr>
                <w:sz w:val="1"/>
                <w:szCs w:val="1"/>
                <w:color w:val="auto"/>
              </w:rPr>
            </w:pPr>
          </w:p>
        </w:tc>
      </w:tr>
      <w:tr>
        <w:trPr>
          <w:trHeight w:val="234"/>
        </w:trPr>
        <w:tc>
          <w:tcPr>
            <w:tcW w:w="2560" w:type="dxa"/>
            <w:vAlign w:val="bottom"/>
          </w:tcPr>
          <w:p>
            <w:pPr>
              <w:spacing w:after="0"/>
              <w:rPr>
                <w:sz w:val="20"/>
                <w:szCs w:val="20"/>
                <w:color w:val="auto"/>
              </w:rPr>
            </w:pPr>
          </w:p>
        </w:tc>
        <w:tc>
          <w:tcPr>
            <w:tcW w:w="1420" w:type="dxa"/>
            <w:vAlign w:val="bottom"/>
            <w:tcBorders>
              <w:bottom w:val="single" w:sz="8" w:color="auto"/>
            </w:tcBorders>
            <w:gridSpan w:val="3"/>
          </w:tcPr>
          <w:p>
            <w:pPr>
              <w:jc w:val="center"/>
              <w:ind w:left="110"/>
              <w:spacing w:after="0"/>
              <w:rPr>
                <w:sz w:val="20"/>
                <w:szCs w:val="20"/>
                <w:color w:val="auto"/>
              </w:rPr>
            </w:pPr>
            <w:r>
              <w:rPr>
                <w:rFonts w:ascii="Arial" w:cs="Arial" w:eastAsia="Arial" w:hAnsi="Arial"/>
                <w:sz w:val="18"/>
                <w:szCs w:val="18"/>
                <w:b w:val="1"/>
                <w:bCs w:val="1"/>
                <w:color w:val="auto"/>
                <w:w w:val="90"/>
              </w:rPr>
              <w:t>Preferred Stock</w:t>
            </w:r>
          </w:p>
        </w:tc>
        <w:tc>
          <w:tcPr>
            <w:tcW w:w="200" w:type="dxa"/>
            <w:vAlign w:val="bottom"/>
            <w:tcBorders>
              <w:bottom w:val="single" w:sz="8" w:color="auto"/>
            </w:tcBorders>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4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Common Stock</w:t>
            </w:r>
          </w:p>
        </w:tc>
        <w:tc>
          <w:tcPr>
            <w:tcW w:w="2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gridSpan w:val="2"/>
          </w:tcPr>
          <w:p>
            <w:pPr>
              <w:ind w:left="20"/>
              <w:spacing w:after="0"/>
              <w:rPr>
                <w:sz w:val="20"/>
                <w:szCs w:val="20"/>
                <w:color w:val="auto"/>
              </w:rPr>
            </w:pPr>
            <w:r>
              <w:rPr>
                <w:rFonts w:ascii="Arial" w:cs="Arial" w:eastAsia="Arial" w:hAnsi="Arial"/>
                <w:sz w:val="18"/>
                <w:szCs w:val="18"/>
                <w:b w:val="1"/>
                <w:bCs w:val="1"/>
                <w:color w:val="auto"/>
              </w:rPr>
              <w:t>Paid-in</w:t>
            </w:r>
          </w:p>
        </w:tc>
        <w:tc>
          <w:tcPr>
            <w:tcW w:w="1340" w:type="dxa"/>
            <w:vAlign w:val="bottom"/>
            <w:gridSpan w:val="3"/>
          </w:tcPr>
          <w:p>
            <w:pPr>
              <w:spacing w:after="0"/>
              <w:rPr>
                <w:sz w:val="20"/>
                <w:szCs w:val="20"/>
                <w:color w:val="auto"/>
              </w:rPr>
            </w:pPr>
            <w:r>
              <w:rPr>
                <w:rFonts w:ascii="Arial" w:cs="Arial" w:eastAsia="Arial" w:hAnsi="Arial"/>
                <w:sz w:val="18"/>
                <w:szCs w:val="18"/>
                <w:b w:val="1"/>
                <w:bCs w:val="1"/>
                <w:color w:val="auto"/>
                <w:w w:val="97"/>
              </w:rPr>
              <w:t>Comprehensive</w:t>
            </w:r>
          </w:p>
        </w:tc>
        <w:tc>
          <w:tcPr>
            <w:tcW w:w="1340" w:type="dxa"/>
            <w:vAlign w:val="bottom"/>
            <w:gridSpan w:val="4"/>
          </w:tcPr>
          <w:p>
            <w:pPr>
              <w:jc w:val="right"/>
              <w:ind w:right="161"/>
              <w:spacing w:after="0"/>
              <w:rPr>
                <w:sz w:val="20"/>
                <w:szCs w:val="20"/>
                <w:color w:val="auto"/>
              </w:rPr>
            </w:pPr>
            <w:r>
              <w:rPr>
                <w:rFonts w:ascii="Arial" w:cs="Arial" w:eastAsia="Arial" w:hAnsi="Arial"/>
                <w:sz w:val="18"/>
                <w:szCs w:val="18"/>
                <w:b w:val="1"/>
                <w:bCs w:val="1"/>
                <w:color w:val="auto"/>
                <w:w w:val="95"/>
              </w:rPr>
              <w:t>Accumulated</w:t>
            </w:r>
          </w:p>
        </w:tc>
        <w:tc>
          <w:tcPr>
            <w:tcW w:w="120" w:type="dxa"/>
            <w:vAlign w:val="bottom"/>
          </w:tcPr>
          <w:p>
            <w:pPr>
              <w:spacing w:after="0"/>
              <w:rPr>
                <w:sz w:val="20"/>
                <w:szCs w:val="20"/>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4"/>
              </w:rPr>
              <w:t>Equity</w:t>
            </w:r>
          </w:p>
        </w:tc>
        <w:tc>
          <w:tcPr>
            <w:tcW w:w="0" w:type="dxa"/>
            <w:vAlign w:val="bottom"/>
          </w:tcPr>
          <w:p>
            <w:pPr>
              <w:spacing w:after="0"/>
              <w:rPr>
                <w:sz w:val="1"/>
                <w:szCs w:val="1"/>
                <w:color w:val="auto"/>
              </w:rPr>
            </w:pPr>
          </w:p>
        </w:tc>
      </w:tr>
      <w:tr>
        <w:trPr>
          <w:trHeight w:val="223"/>
        </w:trPr>
        <w:tc>
          <w:tcPr>
            <w:tcW w:w="2560" w:type="dxa"/>
            <w:vAlign w:val="bottom"/>
          </w:tcPr>
          <w:p>
            <w:pPr>
              <w:spacing w:after="0"/>
              <w:rPr>
                <w:sz w:val="19"/>
                <w:szCs w:val="19"/>
                <w:color w:val="auto"/>
              </w:rPr>
            </w:pPr>
          </w:p>
        </w:tc>
        <w:tc>
          <w:tcPr>
            <w:tcW w:w="680" w:type="dxa"/>
            <w:vAlign w:val="bottom"/>
          </w:tcPr>
          <w:p>
            <w:pPr>
              <w:ind w:left="80"/>
              <w:spacing w:after="0"/>
              <w:rPr>
                <w:sz w:val="20"/>
                <w:szCs w:val="20"/>
                <w:color w:val="auto"/>
              </w:rPr>
            </w:pPr>
            <w:r>
              <w:rPr>
                <w:rFonts w:ascii="Arial" w:cs="Arial" w:eastAsia="Arial" w:hAnsi="Arial"/>
                <w:sz w:val="18"/>
                <w:szCs w:val="18"/>
                <w:b w:val="1"/>
                <w:bCs w:val="1"/>
                <w:color w:val="auto"/>
                <w:w w:val="96"/>
              </w:rPr>
              <w:t>Shares</w:t>
            </w:r>
          </w:p>
        </w:tc>
        <w:tc>
          <w:tcPr>
            <w:tcW w:w="220" w:type="dxa"/>
            <w:vAlign w:val="bottom"/>
          </w:tcPr>
          <w:p>
            <w:pPr>
              <w:spacing w:after="0"/>
              <w:rPr>
                <w:sz w:val="19"/>
                <w:szCs w:val="19"/>
                <w:color w:val="auto"/>
              </w:rPr>
            </w:pPr>
          </w:p>
        </w:tc>
        <w:tc>
          <w:tcPr>
            <w:tcW w:w="720" w:type="dxa"/>
            <w:vAlign w:val="bottom"/>
            <w:gridSpan w:val="2"/>
          </w:tcPr>
          <w:p>
            <w:pPr>
              <w:ind w:left="40"/>
              <w:spacing w:after="0"/>
              <w:rPr>
                <w:sz w:val="20"/>
                <w:szCs w:val="20"/>
                <w:color w:val="auto"/>
              </w:rPr>
            </w:pPr>
            <w:r>
              <w:rPr>
                <w:rFonts w:ascii="Arial" w:cs="Arial" w:eastAsia="Arial" w:hAnsi="Arial"/>
                <w:sz w:val="18"/>
                <w:szCs w:val="18"/>
                <w:b w:val="1"/>
                <w:bCs w:val="1"/>
                <w:color w:val="auto"/>
                <w:w w:val="97"/>
              </w:rPr>
              <w:t>Amount</w:t>
            </w:r>
          </w:p>
        </w:tc>
        <w:tc>
          <w:tcPr>
            <w:tcW w:w="2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Shares</w:t>
            </w:r>
          </w:p>
        </w:tc>
        <w:tc>
          <w:tcPr>
            <w:tcW w:w="20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b w:val="1"/>
                <w:bCs w:val="1"/>
                <w:color w:val="auto"/>
                <w:w w:val="97"/>
              </w:rPr>
              <w:t>Amount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ind w:left="20"/>
              <w:spacing w:after="0"/>
              <w:rPr>
                <w:sz w:val="20"/>
                <w:szCs w:val="20"/>
                <w:color w:val="auto"/>
              </w:rPr>
            </w:pPr>
            <w:r>
              <w:rPr>
                <w:rFonts w:ascii="Arial" w:cs="Arial" w:eastAsia="Arial" w:hAnsi="Arial"/>
                <w:sz w:val="18"/>
                <w:szCs w:val="18"/>
                <w:b w:val="1"/>
                <w:bCs w:val="1"/>
                <w:color w:val="auto"/>
              </w:rPr>
              <w:t>Capital</w:t>
            </w:r>
          </w:p>
        </w:tc>
        <w:tc>
          <w:tcPr>
            <w:tcW w:w="134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88"/>
              </w:rPr>
              <w:t>Income (Loss)</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jc w:val="right"/>
              <w:ind w:right="421"/>
              <w:spacing w:after="0"/>
              <w:rPr>
                <w:sz w:val="20"/>
                <w:szCs w:val="20"/>
                <w:color w:val="auto"/>
              </w:rPr>
            </w:pPr>
            <w:r>
              <w:rPr>
                <w:rFonts w:ascii="Arial" w:cs="Arial" w:eastAsia="Arial" w:hAnsi="Arial"/>
                <w:sz w:val="18"/>
                <w:szCs w:val="18"/>
                <w:b w:val="1"/>
                <w:bCs w:val="1"/>
                <w:color w:val="auto"/>
              </w:rPr>
              <w:t>Deficit</w:t>
            </w:r>
          </w:p>
        </w:tc>
        <w:tc>
          <w:tcPr>
            <w:tcW w:w="120" w:type="dxa"/>
            <w:vAlign w:val="bottom"/>
          </w:tcPr>
          <w:p>
            <w:pPr>
              <w:spacing w:after="0"/>
              <w:rPr>
                <w:sz w:val="19"/>
                <w:szCs w:val="19"/>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5"/>
              </w:rPr>
              <w:t>(Deficit)</w:t>
            </w:r>
          </w:p>
        </w:tc>
        <w:tc>
          <w:tcPr>
            <w:tcW w:w="0" w:type="dxa"/>
            <w:vAlign w:val="bottom"/>
          </w:tcPr>
          <w:p>
            <w:pPr>
              <w:spacing w:after="0"/>
              <w:rPr>
                <w:sz w:val="1"/>
                <w:szCs w:val="1"/>
                <w:color w:val="auto"/>
              </w:rPr>
            </w:pPr>
          </w:p>
        </w:tc>
      </w:tr>
      <w:tr>
        <w:trPr>
          <w:trHeight w:val="205"/>
        </w:trPr>
        <w:tc>
          <w:tcPr>
            <w:tcW w:w="2560" w:type="dxa"/>
            <w:vAlign w:val="bottom"/>
            <w:tcBorders>
              <w:top w:val="single" w:sz="8" w:color="CFF0FC"/>
            </w:tcBorders>
            <w:shd w:val="clear" w:color="auto" w:fill="CFF0FC"/>
          </w:tcPr>
          <w:p>
            <w:pPr>
              <w:spacing w:after="0" w:line="205" w:lineRule="exact"/>
              <w:rPr>
                <w:sz w:val="20"/>
                <w:szCs w:val="20"/>
                <w:color w:val="auto"/>
              </w:rPr>
            </w:pPr>
            <w:r>
              <w:rPr>
                <w:rFonts w:ascii="Arial" w:cs="Arial" w:eastAsia="Arial" w:hAnsi="Arial"/>
                <w:sz w:val="18"/>
                <w:szCs w:val="18"/>
                <w:b w:val="1"/>
                <w:bCs w:val="1"/>
                <w:color w:val="auto"/>
              </w:rPr>
              <w:t>Balance as of December 31,</w:t>
            </w:r>
          </w:p>
        </w:tc>
        <w:tc>
          <w:tcPr>
            <w:tcW w:w="68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52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right w:val="single" w:sz="8" w:color="auto"/>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74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52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72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98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86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right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920" w:type="dxa"/>
            <w:vAlign w:val="bottom"/>
            <w:tcBorders>
              <w:top w:val="single" w:sz="8" w:color="auto"/>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5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2020</w:t>
            </w:r>
          </w:p>
        </w:tc>
        <w:tc>
          <w:tcPr>
            <w:tcW w:w="680" w:type="dxa"/>
            <w:vAlign w:val="bottom"/>
            <w:shd w:val="clear" w:color="auto" w:fill="CFF0FC"/>
          </w:tcPr>
          <w:p>
            <w:pPr>
              <w:ind w:left="500"/>
              <w:spacing w:after="0"/>
              <w:rPr>
                <w:sz w:val="20"/>
                <w:szCs w:val="20"/>
                <w:color w:val="auto"/>
              </w:rPr>
            </w:pPr>
            <w:r>
              <w:rPr>
                <w:rFonts w:ascii="Arial" w:cs="Arial" w:eastAsia="Arial" w:hAnsi="Arial"/>
                <w:sz w:val="18"/>
                <w:szCs w:val="18"/>
                <w:color w:val="auto"/>
                <w:w w:val="88"/>
              </w:rPr>
              <w:t>—</w:t>
            </w:r>
          </w:p>
        </w:tc>
        <w:tc>
          <w:tcPr>
            <w:tcW w:w="740" w:type="dxa"/>
            <w:vAlign w:val="bottom"/>
            <w:gridSpan w:val="2"/>
            <w:shd w:val="clear" w:color="auto" w:fill="CFF0FC"/>
          </w:tcPr>
          <w:p>
            <w:pPr>
              <w:jc w:val="right"/>
              <w:ind w:right="361"/>
              <w:spacing w:after="0"/>
              <w:rPr>
                <w:sz w:val="20"/>
                <w:szCs w:val="20"/>
                <w:color w:val="auto"/>
              </w:rPr>
            </w:pPr>
            <w:r>
              <w:rPr>
                <w:rFonts w:ascii="Arial" w:cs="Arial" w:eastAsia="Arial" w:hAnsi="Arial"/>
                <w:sz w:val="18"/>
                <w:szCs w:val="18"/>
                <w:color w:val="auto"/>
              </w:rPr>
              <w:t>$</w:t>
            </w:r>
          </w:p>
        </w:tc>
        <w:tc>
          <w:tcPr>
            <w:tcW w:w="440" w:type="dxa"/>
            <w:vAlign w:val="bottom"/>
            <w:tcBorders>
              <w:right w:val="single" w:sz="8" w:color="auto"/>
            </w:tcBorders>
            <w:gridSpan w:val="2"/>
            <w:shd w:val="clear" w:color="auto" w:fill="CFF0FC"/>
          </w:tcPr>
          <w:p>
            <w:pPr>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0"/>
                <w:szCs w:val="20"/>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42,722</w:t>
            </w:r>
          </w:p>
        </w:tc>
        <w:tc>
          <w:tcPr>
            <w:tcW w:w="720" w:type="dxa"/>
            <w:vAlign w:val="bottom"/>
            <w:gridSpan w:val="2"/>
            <w:shd w:val="clear" w:color="auto" w:fill="CFF0FC"/>
          </w:tcPr>
          <w:p>
            <w:pPr>
              <w:jc w:val="right"/>
              <w:ind w:right="33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9"/>
              </w:rPr>
              <w:t>43</w:t>
            </w:r>
          </w:p>
        </w:tc>
        <w:tc>
          <w:tcPr>
            <w:tcW w:w="320" w:type="dxa"/>
            <w:vAlign w:val="bottom"/>
            <w:gridSpan w:val="2"/>
            <w:shd w:val="clear" w:color="auto" w:fill="CFF0FC"/>
          </w:tcPr>
          <w:p>
            <w:pPr>
              <w:ind w:left="22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822,624</w:t>
            </w:r>
          </w:p>
        </w:tc>
        <w:tc>
          <w:tcPr>
            <w:tcW w:w="2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40" w:type="dxa"/>
            <w:vAlign w:val="bottom"/>
            <w:shd w:val="clear" w:color="auto" w:fill="CFF0FC"/>
          </w:tcPr>
          <w:p>
            <w:pPr>
              <w:spacing w:after="0"/>
              <w:rPr>
                <w:sz w:val="20"/>
                <w:szCs w:val="20"/>
                <w:color w:val="auto"/>
              </w:rPr>
            </w:pPr>
          </w:p>
        </w:tc>
        <w:tc>
          <w:tcPr>
            <w:tcW w:w="240" w:type="dxa"/>
            <w:vAlign w:val="bottom"/>
            <w:gridSpan w:val="2"/>
            <w:shd w:val="clear" w:color="auto" w:fill="CFF0FC"/>
          </w:tcPr>
          <w:p>
            <w:pPr>
              <w:jc w:val="right"/>
              <w:ind w:right="7"/>
              <w:spacing w:after="0"/>
              <w:rPr>
                <w:sz w:val="20"/>
                <w:szCs w:val="20"/>
                <w:color w:val="auto"/>
              </w:rPr>
            </w:pPr>
            <w:r>
              <w:rPr>
                <w:rFonts w:ascii="Arial" w:cs="Arial" w:eastAsia="Arial" w:hAnsi="Arial"/>
                <w:sz w:val="18"/>
                <w:szCs w:val="18"/>
                <w:color w:val="auto"/>
              </w:rPr>
              <w:t>$</w:t>
            </w:r>
          </w:p>
        </w:tc>
        <w:tc>
          <w:tcPr>
            <w:tcW w:w="1100" w:type="dxa"/>
            <w:vAlign w:val="bottom"/>
            <w:tcBorders>
              <w:right w:val="single" w:sz="8" w:color="CFF0FC"/>
            </w:tcBorders>
            <w:gridSpan w:val="2"/>
            <w:shd w:val="clear" w:color="auto" w:fill="CFF0FC"/>
          </w:tcPr>
          <w:p>
            <w:pPr>
              <w:jc w:val="right"/>
              <w:ind w:right="101"/>
              <w:spacing w:after="0"/>
              <w:rPr>
                <w:sz w:val="20"/>
                <w:szCs w:val="20"/>
                <w:color w:val="auto"/>
              </w:rPr>
            </w:pPr>
            <w:r>
              <w:rPr>
                <w:rFonts w:ascii="Arial" w:cs="Arial" w:eastAsia="Arial" w:hAnsi="Arial"/>
                <w:sz w:val="18"/>
                <w:szCs w:val="18"/>
                <w:color w:val="auto"/>
              </w:rPr>
              <w:t>(494,059)</w:t>
            </w:r>
          </w:p>
        </w:tc>
        <w:tc>
          <w:tcPr>
            <w:tcW w:w="120" w:type="dxa"/>
            <w:vAlign w:val="bottom"/>
            <w:shd w:val="clear" w:color="auto" w:fill="CFF0FC"/>
          </w:tcPr>
          <w:p>
            <w:pPr>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328,609</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560" w:type="dxa"/>
            <w:vAlign w:val="bottom"/>
          </w:tcPr>
          <w:p>
            <w:pPr>
              <w:ind w:left="260"/>
              <w:spacing w:after="0"/>
              <w:rPr>
                <w:sz w:val="20"/>
                <w:szCs w:val="20"/>
                <w:color w:val="auto"/>
              </w:rPr>
            </w:pPr>
            <w:r>
              <w:rPr>
                <w:rFonts w:ascii="Arial" w:cs="Arial" w:eastAsia="Arial" w:hAnsi="Arial"/>
                <w:sz w:val="18"/>
                <w:szCs w:val="18"/>
                <w:color w:val="auto"/>
              </w:rPr>
              <w:t>Issuance of common stock</w:t>
            </w: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60" w:type="dxa"/>
            <w:vAlign w:val="bottom"/>
          </w:tcPr>
          <w:p>
            <w:pPr>
              <w:ind w:left="260"/>
              <w:spacing w:after="0"/>
              <w:rPr>
                <w:sz w:val="20"/>
                <w:szCs w:val="20"/>
                <w:color w:val="auto"/>
              </w:rPr>
            </w:pPr>
            <w:r>
              <w:rPr>
                <w:rFonts w:ascii="Arial" w:cs="Arial" w:eastAsia="Arial" w:hAnsi="Arial"/>
                <w:sz w:val="18"/>
                <w:szCs w:val="18"/>
                <w:color w:val="auto"/>
              </w:rPr>
              <w:t>through employee</w:t>
            </w: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560" w:type="dxa"/>
            <w:vAlign w:val="bottom"/>
          </w:tcPr>
          <w:p>
            <w:pPr>
              <w:ind w:left="340"/>
              <w:spacing w:after="0"/>
              <w:rPr>
                <w:sz w:val="20"/>
                <w:szCs w:val="20"/>
                <w:color w:val="auto"/>
              </w:rPr>
            </w:pPr>
            <w:r>
              <w:rPr>
                <w:rFonts w:ascii="Arial" w:cs="Arial" w:eastAsia="Arial" w:hAnsi="Arial"/>
                <w:sz w:val="18"/>
                <w:szCs w:val="18"/>
                <w:color w:val="auto"/>
              </w:rPr>
              <w:t>stock purchase plan</w:t>
            </w:r>
          </w:p>
        </w:tc>
        <w:tc>
          <w:tcPr>
            <w:tcW w:w="680" w:type="dxa"/>
            <w:vAlign w:val="bottom"/>
          </w:tcPr>
          <w:p>
            <w:pPr>
              <w:ind w:left="500"/>
              <w:spacing w:after="0"/>
              <w:rPr>
                <w:sz w:val="20"/>
                <w:szCs w:val="20"/>
                <w:color w:val="auto"/>
              </w:rPr>
            </w:pPr>
            <w:r>
              <w:rPr>
                <w:rFonts w:ascii="Arial" w:cs="Arial" w:eastAsia="Arial" w:hAnsi="Arial"/>
                <w:sz w:val="18"/>
                <w:szCs w:val="18"/>
                <w:color w:val="auto"/>
                <w:w w:val="88"/>
              </w:rPr>
              <w:t>—</w:t>
            </w:r>
          </w:p>
        </w:tc>
        <w:tc>
          <w:tcPr>
            <w:tcW w:w="2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4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80</w:t>
            </w:r>
          </w:p>
        </w:tc>
        <w:tc>
          <w:tcPr>
            <w:tcW w:w="2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1,838</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gridSpan w:val="2"/>
          </w:tcPr>
          <w:p>
            <w:pPr>
              <w:jc w:val="right"/>
              <w:ind w:right="18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1,838</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5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Stock option exercises</w:t>
            </w:r>
          </w:p>
        </w:tc>
        <w:tc>
          <w:tcPr>
            <w:tcW w:w="680" w:type="dxa"/>
            <w:vAlign w:val="bottom"/>
            <w:shd w:val="clear" w:color="auto" w:fill="CFF0FC"/>
          </w:tcPr>
          <w:p>
            <w:pPr>
              <w:ind w:left="500"/>
              <w:spacing w:after="0"/>
              <w:rPr>
                <w:sz w:val="20"/>
                <w:szCs w:val="20"/>
                <w:color w:val="auto"/>
              </w:rPr>
            </w:pPr>
            <w:r>
              <w:rPr>
                <w:rFonts w:ascii="Arial" w:cs="Arial" w:eastAsia="Arial" w:hAnsi="Arial"/>
                <w:sz w:val="18"/>
                <w:szCs w:val="18"/>
                <w:color w:val="auto"/>
                <w:w w:val="88"/>
              </w:rPr>
              <w:t>—</w:t>
            </w:r>
          </w:p>
        </w:tc>
        <w:tc>
          <w:tcPr>
            <w:tcW w:w="2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440" w:type="dxa"/>
            <w:vAlign w:val="bottom"/>
            <w:tcBorders>
              <w:right w:val="single" w:sz="8" w:color="auto"/>
            </w:tcBorders>
            <w:gridSpan w:val="2"/>
            <w:shd w:val="clear" w:color="auto" w:fill="CFF0FC"/>
          </w:tcPr>
          <w:p>
            <w:pPr>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w:t>
            </w:r>
          </w:p>
        </w:tc>
        <w:tc>
          <w:tcPr>
            <w:tcW w:w="20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380</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00" w:type="dxa"/>
            <w:vAlign w:val="bottom"/>
            <w:tcBorders>
              <w:right w:val="single" w:sz="8" w:color="CFF0FC"/>
            </w:tcBorders>
            <w:gridSpan w:val="2"/>
            <w:shd w:val="clear" w:color="auto" w:fill="CFF0FC"/>
          </w:tcPr>
          <w:p>
            <w:pPr>
              <w:jc w:val="right"/>
              <w:ind w:right="181"/>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380</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560" w:type="dxa"/>
            <w:vAlign w:val="bottom"/>
          </w:tcPr>
          <w:p>
            <w:pPr>
              <w:ind w:left="260"/>
              <w:spacing w:after="0"/>
              <w:rPr>
                <w:sz w:val="20"/>
                <w:szCs w:val="20"/>
                <w:color w:val="auto"/>
              </w:rPr>
            </w:pPr>
            <w:r>
              <w:rPr>
                <w:rFonts w:ascii="Arial" w:cs="Arial" w:eastAsia="Arial" w:hAnsi="Arial"/>
                <w:sz w:val="18"/>
                <w:szCs w:val="18"/>
                <w:color w:val="auto"/>
              </w:rPr>
              <w:t>Stock-based compensation</w:t>
            </w: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560" w:type="dxa"/>
            <w:vAlign w:val="bottom"/>
          </w:tcPr>
          <w:p>
            <w:pPr>
              <w:ind w:left="260"/>
              <w:spacing w:after="0"/>
              <w:rPr>
                <w:sz w:val="20"/>
                <w:szCs w:val="20"/>
                <w:color w:val="auto"/>
              </w:rPr>
            </w:pPr>
            <w:r>
              <w:rPr>
                <w:rFonts w:ascii="Arial" w:cs="Arial" w:eastAsia="Arial" w:hAnsi="Arial"/>
                <w:sz w:val="18"/>
                <w:szCs w:val="18"/>
                <w:color w:val="auto"/>
              </w:rPr>
              <w:t>expense</w:t>
            </w:r>
          </w:p>
        </w:tc>
        <w:tc>
          <w:tcPr>
            <w:tcW w:w="680" w:type="dxa"/>
            <w:vAlign w:val="bottom"/>
          </w:tcPr>
          <w:p>
            <w:pPr>
              <w:ind w:left="500"/>
              <w:spacing w:after="0"/>
              <w:rPr>
                <w:sz w:val="20"/>
                <w:szCs w:val="20"/>
                <w:color w:val="auto"/>
              </w:rPr>
            </w:pPr>
            <w:r>
              <w:rPr>
                <w:rFonts w:ascii="Arial" w:cs="Arial" w:eastAsia="Arial" w:hAnsi="Arial"/>
                <w:sz w:val="18"/>
                <w:szCs w:val="18"/>
                <w:color w:val="auto"/>
                <w:w w:val="88"/>
              </w:rPr>
              <w:t>—</w:t>
            </w:r>
          </w:p>
        </w:tc>
        <w:tc>
          <w:tcPr>
            <w:tcW w:w="2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4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5,852</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gridSpan w:val="2"/>
          </w:tcPr>
          <w:p>
            <w:pPr>
              <w:jc w:val="right"/>
              <w:ind w:right="18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5,852</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560" w:type="dxa"/>
            <w:vAlign w:val="bottom"/>
            <w:shd w:val="clear" w:color="auto" w:fill="CFF0FC"/>
          </w:tcPr>
          <w:p>
            <w:pPr>
              <w:ind w:left="260"/>
              <w:spacing w:after="0"/>
              <w:rPr>
                <w:sz w:val="20"/>
                <w:szCs w:val="20"/>
                <w:color w:val="auto"/>
              </w:rPr>
            </w:pPr>
            <w:r>
              <w:rPr>
                <w:rFonts w:ascii="Arial" w:cs="Arial" w:eastAsia="Arial" w:hAnsi="Arial"/>
                <w:sz w:val="18"/>
                <w:szCs w:val="18"/>
                <w:color w:val="auto"/>
                <w:w w:val="99"/>
              </w:rPr>
              <w:t>Unrealized loss on available-</w:t>
            </w:r>
          </w:p>
        </w:tc>
        <w:tc>
          <w:tcPr>
            <w:tcW w:w="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40" w:type="dxa"/>
            <w:vAlign w:val="bottom"/>
            <w:tcBorders>
              <w:right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4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for-sale</w:t>
            </w:r>
          </w:p>
        </w:tc>
        <w:tc>
          <w:tcPr>
            <w:tcW w:w="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40" w:type="dxa"/>
            <w:vAlign w:val="bottom"/>
            <w:tcBorders>
              <w:right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4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560" w:type="dxa"/>
            <w:vAlign w:val="bottom"/>
            <w:shd w:val="clear" w:color="auto" w:fill="CFF0FC"/>
          </w:tcPr>
          <w:p>
            <w:pPr>
              <w:ind w:left="340"/>
              <w:spacing w:after="0"/>
              <w:rPr>
                <w:sz w:val="20"/>
                <w:szCs w:val="20"/>
                <w:color w:val="auto"/>
              </w:rPr>
            </w:pPr>
            <w:r>
              <w:rPr>
                <w:rFonts w:ascii="Arial" w:cs="Arial" w:eastAsia="Arial" w:hAnsi="Arial"/>
                <w:sz w:val="18"/>
                <w:szCs w:val="18"/>
                <w:color w:val="auto"/>
              </w:rPr>
              <w:t>securities</w:t>
            </w:r>
          </w:p>
        </w:tc>
        <w:tc>
          <w:tcPr>
            <w:tcW w:w="680" w:type="dxa"/>
            <w:vAlign w:val="bottom"/>
            <w:shd w:val="clear" w:color="auto" w:fill="CFF0FC"/>
          </w:tcPr>
          <w:p>
            <w:pPr>
              <w:ind w:left="500"/>
              <w:spacing w:after="0"/>
              <w:rPr>
                <w:sz w:val="20"/>
                <w:szCs w:val="20"/>
                <w:color w:val="auto"/>
              </w:rPr>
            </w:pPr>
            <w:r>
              <w:rPr>
                <w:rFonts w:ascii="Arial" w:cs="Arial" w:eastAsia="Arial" w:hAnsi="Arial"/>
                <w:sz w:val="18"/>
                <w:szCs w:val="18"/>
                <w:color w:val="auto"/>
                <w:w w:val="88"/>
              </w:rPr>
              <w:t>—</w:t>
            </w:r>
          </w:p>
        </w:tc>
        <w:tc>
          <w:tcPr>
            <w:tcW w:w="220" w:type="dxa"/>
            <w:vAlign w:val="bottom"/>
            <w:shd w:val="clear" w:color="auto" w:fill="CFF0FC"/>
          </w:tcPr>
          <w:p>
            <w:pPr>
              <w:spacing w:after="0"/>
              <w:rPr>
                <w:sz w:val="20"/>
                <w:szCs w:val="20"/>
                <w:color w:val="auto"/>
              </w:rPr>
            </w:pPr>
          </w:p>
        </w:tc>
        <w:tc>
          <w:tcPr>
            <w:tcW w:w="520" w:type="dxa"/>
            <w:vAlign w:val="bottom"/>
            <w:shd w:val="clear" w:color="auto" w:fill="CFF0FC"/>
          </w:tcPr>
          <w:p>
            <w:pPr>
              <w:spacing w:after="0"/>
              <w:rPr>
                <w:sz w:val="20"/>
                <w:szCs w:val="20"/>
                <w:color w:val="auto"/>
              </w:rPr>
            </w:pPr>
          </w:p>
        </w:tc>
        <w:tc>
          <w:tcPr>
            <w:tcW w:w="440" w:type="dxa"/>
            <w:vAlign w:val="bottom"/>
            <w:tcBorders>
              <w:right w:val="single" w:sz="8" w:color="auto"/>
            </w:tcBorders>
            <w:gridSpan w:val="2"/>
            <w:shd w:val="clear" w:color="auto" w:fill="CFF0FC"/>
          </w:tcPr>
          <w:p>
            <w:pPr>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0"/>
                <w:szCs w:val="20"/>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0"/>
                <w:szCs w:val="20"/>
                <w:color w:val="auto"/>
              </w:rPr>
            </w:pPr>
          </w:p>
        </w:tc>
        <w:tc>
          <w:tcPr>
            <w:tcW w:w="520" w:type="dxa"/>
            <w:vAlign w:val="bottom"/>
            <w:shd w:val="clear" w:color="auto" w:fill="CFF0FC"/>
          </w:tcPr>
          <w:p>
            <w:pPr>
              <w:spacing w:after="0"/>
              <w:rPr>
                <w:sz w:val="20"/>
                <w:szCs w:val="20"/>
                <w:color w:val="auto"/>
              </w:rPr>
            </w:pP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9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(9)</w:t>
            </w:r>
          </w:p>
        </w:tc>
        <w:tc>
          <w:tcPr>
            <w:tcW w:w="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100" w:type="dxa"/>
            <w:vAlign w:val="bottom"/>
            <w:tcBorders>
              <w:right w:val="single" w:sz="8" w:color="CFF0FC"/>
            </w:tcBorders>
            <w:gridSpan w:val="2"/>
            <w:shd w:val="clear" w:color="auto" w:fill="CFF0FC"/>
          </w:tcPr>
          <w:p>
            <w:pPr>
              <w:jc w:val="right"/>
              <w:ind w:right="181"/>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30"/>
        </w:trPr>
        <w:tc>
          <w:tcPr>
            <w:tcW w:w="2560" w:type="dxa"/>
            <w:vAlign w:val="bottom"/>
          </w:tcPr>
          <w:p>
            <w:pPr>
              <w:ind w:left="260"/>
              <w:spacing w:after="0"/>
              <w:rPr>
                <w:sz w:val="20"/>
                <w:szCs w:val="20"/>
                <w:color w:val="auto"/>
              </w:rPr>
            </w:pPr>
            <w:r>
              <w:rPr>
                <w:rFonts w:ascii="Arial" w:cs="Arial" w:eastAsia="Arial" w:hAnsi="Arial"/>
                <w:sz w:val="18"/>
                <w:szCs w:val="18"/>
                <w:color w:val="auto"/>
              </w:rPr>
              <w:t>Net loss</w:t>
            </w:r>
          </w:p>
        </w:tc>
        <w:tc>
          <w:tcPr>
            <w:tcW w:w="680" w:type="dxa"/>
            <w:vAlign w:val="bottom"/>
          </w:tcPr>
          <w:p>
            <w:pPr>
              <w:ind w:left="500"/>
              <w:spacing w:after="0"/>
              <w:rPr>
                <w:sz w:val="20"/>
                <w:szCs w:val="20"/>
                <w:color w:val="auto"/>
              </w:rPr>
            </w:pPr>
            <w:r>
              <w:rPr>
                <w:rFonts w:ascii="Arial" w:cs="Arial" w:eastAsia="Arial" w:hAnsi="Arial"/>
                <w:sz w:val="18"/>
                <w:szCs w:val="18"/>
                <w:color w:val="auto"/>
                <w:w w:val="88"/>
              </w:rPr>
              <w:t>—</w:t>
            </w:r>
          </w:p>
        </w:tc>
        <w:tc>
          <w:tcPr>
            <w:tcW w:w="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0" w:type="dxa"/>
            <w:vAlign w:val="bottom"/>
          </w:tcPr>
          <w:p>
            <w:pPr>
              <w:spacing w:after="0"/>
              <w:rPr>
                <w:sz w:val="20"/>
                <w:szCs w:val="20"/>
                <w:color w:val="auto"/>
              </w:rPr>
            </w:pPr>
            <w:r>
              <w:rPr>
                <w:rFonts w:ascii="Arial" w:cs="Arial" w:eastAsia="Arial" w:hAnsi="Arial"/>
                <w:sz w:val="18"/>
                <w:szCs w:val="18"/>
                <w:color w:val="auto"/>
                <w:w w:val="99"/>
              </w:rPr>
              <w:t>—</w:t>
            </w:r>
          </w:p>
        </w:tc>
        <w:tc>
          <w:tcPr>
            <w:tcW w:w="2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jc w:val="right"/>
              <w:ind w:right="101"/>
              <w:spacing w:after="0"/>
              <w:rPr>
                <w:sz w:val="20"/>
                <w:szCs w:val="20"/>
                <w:color w:val="auto"/>
              </w:rPr>
            </w:pPr>
            <w:r>
              <w:rPr>
                <w:rFonts w:ascii="Arial" w:cs="Arial" w:eastAsia="Arial" w:hAnsi="Arial"/>
                <w:sz w:val="18"/>
                <w:szCs w:val="18"/>
                <w:color w:val="auto"/>
              </w:rPr>
              <w:t>(30,025)</w:t>
            </w:r>
          </w:p>
        </w:tc>
        <w:tc>
          <w:tcPr>
            <w:tcW w:w="12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(30,025)</w:t>
            </w:r>
          </w:p>
        </w:tc>
        <w:tc>
          <w:tcPr>
            <w:tcW w:w="0" w:type="dxa"/>
            <w:vAlign w:val="bottom"/>
          </w:tcPr>
          <w:p>
            <w:pPr>
              <w:spacing w:after="0"/>
              <w:rPr>
                <w:sz w:val="1"/>
                <w:szCs w:val="1"/>
                <w:color w:val="auto"/>
              </w:rPr>
            </w:pPr>
          </w:p>
        </w:tc>
      </w:tr>
      <w:tr>
        <w:trPr>
          <w:trHeight w:val="20"/>
        </w:trPr>
        <w:tc>
          <w:tcPr>
            <w:tcW w:w="2560" w:type="dxa"/>
            <w:vAlign w:val="bottom"/>
            <w:vMerge w:val="restart"/>
            <w:shd w:val="clear" w:color="auto" w:fill="CFF0FC"/>
          </w:tcPr>
          <w:p>
            <w:pPr>
              <w:spacing w:after="0"/>
              <w:rPr>
                <w:sz w:val="20"/>
                <w:szCs w:val="20"/>
                <w:color w:val="auto"/>
              </w:rPr>
            </w:pPr>
            <w:r>
              <w:rPr>
                <w:rFonts w:ascii="Arial" w:cs="Arial" w:eastAsia="Arial" w:hAnsi="Arial"/>
                <w:sz w:val="18"/>
                <w:szCs w:val="18"/>
                <w:b w:val="1"/>
                <w:bCs w:val="1"/>
                <w:color w:val="auto"/>
              </w:rPr>
              <w:t>Balance as of March 31, 2021</w:t>
            </w:r>
          </w:p>
        </w:tc>
        <w:tc>
          <w:tcPr>
            <w:tcW w:w="68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FF0FC"/>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vMerge w:val="restart"/>
            <w:shd w:val="clear" w:color="auto" w:fill="CFF0FC"/>
          </w:tcPr>
          <w:p>
            <w:pPr>
              <w:spacing w:after="0" w:line="20" w:lineRule="exact"/>
              <w:rPr>
                <w:sz w:val="1"/>
                <w:szCs w:val="1"/>
                <w:color w:val="auto"/>
              </w:rPr>
            </w:pPr>
          </w:p>
        </w:tc>
        <w:tc>
          <w:tcPr>
            <w:tcW w:w="80" w:type="dxa"/>
            <w:vAlign w:val="bottom"/>
            <w:vMerge w:val="restart"/>
            <w:shd w:val="clear" w:color="auto" w:fill="CFF0FC"/>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FF0FC"/>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vMerge w:val="restart"/>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tcBorders>
              <w:right w:val="single" w:sz="8" w:color="CFF0FC"/>
            </w:tcBorders>
            <w:vMerge w:val="restart"/>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560" w:type="dxa"/>
            <w:vAlign w:val="bottom"/>
            <w:vMerge w:val="continue"/>
            <w:shd w:val="clear" w:color="auto" w:fill="CFF0FC"/>
          </w:tcPr>
          <w:p>
            <w:pPr>
              <w:spacing w:after="0"/>
              <w:rPr>
                <w:sz w:val="19"/>
                <w:szCs w:val="19"/>
                <w:color w:val="auto"/>
              </w:rPr>
            </w:pPr>
          </w:p>
        </w:tc>
        <w:tc>
          <w:tcPr>
            <w:tcW w:w="680" w:type="dxa"/>
            <w:vAlign w:val="bottom"/>
            <w:shd w:val="clear" w:color="auto" w:fill="CFF0FC"/>
          </w:tcPr>
          <w:p>
            <w:pPr>
              <w:ind w:left="500"/>
              <w:spacing w:after="0"/>
              <w:rPr>
                <w:sz w:val="20"/>
                <w:szCs w:val="20"/>
                <w:color w:val="auto"/>
              </w:rPr>
            </w:pPr>
            <w:r>
              <w:rPr>
                <w:rFonts w:ascii="Arial" w:cs="Arial" w:eastAsia="Arial" w:hAnsi="Arial"/>
                <w:sz w:val="18"/>
                <w:szCs w:val="18"/>
                <w:color w:val="auto"/>
                <w:w w:val="88"/>
              </w:rPr>
              <w:t>—</w:t>
            </w:r>
          </w:p>
        </w:tc>
        <w:tc>
          <w:tcPr>
            <w:tcW w:w="220" w:type="dxa"/>
            <w:vAlign w:val="bottom"/>
            <w:vMerge w:val="continue"/>
            <w:shd w:val="clear" w:color="auto" w:fill="CFF0FC"/>
          </w:tcPr>
          <w:p>
            <w:pPr>
              <w:spacing w:after="0"/>
              <w:rPr>
                <w:sz w:val="19"/>
                <w:szCs w:val="19"/>
                <w:color w:val="auto"/>
              </w:rPr>
            </w:pPr>
          </w:p>
        </w:tc>
        <w:tc>
          <w:tcPr>
            <w:tcW w:w="520" w:type="dxa"/>
            <w:vAlign w:val="bottom"/>
            <w:shd w:val="clear" w:color="auto" w:fill="CFF0FC"/>
          </w:tcPr>
          <w:p>
            <w:pPr>
              <w:jc w:val="right"/>
              <w:ind w:right="361"/>
              <w:spacing w:after="0"/>
              <w:rPr>
                <w:sz w:val="20"/>
                <w:szCs w:val="20"/>
                <w:color w:val="auto"/>
              </w:rPr>
            </w:pPr>
            <w:r>
              <w:rPr>
                <w:rFonts w:ascii="Arial" w:cs="Arial" w:eastAsia="Arial" w:hAnsi="Arial"/>
                <w:sz w:val="15"/>
                <w:szCs w:val="15"/>
                <w:color w:val="auto"/>
                <w:w w:val="71"/>
              </w:rPr>
              <w:t>$</w:t>
            </w:r>
          </w:p>
        </w:tc>
        <w:tc>
          <w:tcPr>
            <w:tcW w:w="200" w:type="dxa"/>
            <w:vAlign w:val="bottom"/>
            <w:shd w:val="clear" w:color="auto" w:fill="CFF0FC"/>
          </w:tcPr>
          <w:p>
            <w:pPr>
              <w:spacing w:after="0"/>
              <w:rPr>
                <w:sz w:val="20"/>
                <w:szCs w:val="20"/>
                <w:color w:val="auto"/>
              </w:rPr>
            </w:pPr>
            <w:r>
              <w:rPr>
                <w:rFonts w:ascii="Arial" w:cs="Arial" w:eastAsia="Arial" w:hAnsi="Arial"/>
                <w:sz w:val="18"/>
                <w:szCs w:val="18"/>
                <w:color w:val="auto"/>
                <w:w w:val="99"/>
              </w:rPr>
              <w:t>—</w:t>
            </w:r>
          </w:p>
        </w:tc>
        <w:tc>
          <w:tcPr>
            <w:tcW w:w="240" w:type="dxa"/>
            <w:vAlign w:val="bottom"/>
            <w:tcBorders>
              <w:right w:val="single" w:sz="8" w:color="auto"/>
            </w:tcBorders>
            <w:vMerge w:val="continue"/>
            <w:shd w:val="clear" w:color="auto" w:fill="CFF0FC"/>
          </w:tcPr>
          <w:p>
            <w:pPr>
              <w:spacing w:after="0"/>
              <w:rPr>
                <w:sz w:val="19"/>
                <w:szCs w:val="19"/>
                <w:color w:val="auto"/>
              </w:rPr>
            </w:pPr>
          </w:p>
        </w:tc>
        <w:tc>
          <w:tcPr>
            <w:tcW w:w="80" w:type="dxa"/>
            <w:vAlign w:val="bottom"/>
            <w:vMerge w:val="continue"/>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42,888</w:t>
            </w:r>
          </w:p>
        </w:tc>
        <w:tc>
          <w:tcPr>
            <w:tcW w:w="200" w:type="dxa"/>
            <w:vAlign w:val="bottom"/>
            <w:vMerge w:val="continue"/>
            <w:shd w:val="clear" w:color="auto" w:fill="CFF0FC"/>
          </w:tcPr>
          <w:p>
            <w:pPr>
              <w:spacing w:after="0"/>
              <w:rPr>
                <w:sz w:val="19"/>
                <w:szCs w:val="19"/>
                <w:color w:val="auto"/>
              </w:rPr>
            </w:pPr>
          </w:p>
        </w:tc>
        <w:tc>
          <w:tcPr>
            <w:tcW w:w="520" w:type="dxa"/>
            <w:vAlign w:val="bottom"/>
            <w:shd w:val="clear" w:color="auto" w:fill="CFF0FC"/>
          </w:tcPr>
          <w:p>
            <w:pPr>
              <w:jc w:val="right"/>
              <w:ind w:right="330"/>
              <w:spacing w:after="0"/>
              <w:rPr>
                <w:sz w:val="20"/>
                <w:szCs w:val="20"/>
                <w:color w:val="auto"/>
              </w:rPr>
            </w:pPr>
            <w:r>
              <w:rPr>
                <w:rFonts w:ascii="Arial" w:cs="Arial" w:eastAsia="Arial" w:hAnsi="Arial"/>
                <w:sz w:val="18"/>
                <w:szCs w:val="18"/>
                <w:color w:val="auto"/>
                <w:w w:val="79"/>
              </w:rPr>
              <w:t>$</w:t>
            </w: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9"/>
              </w:rPr>
              <w:t>43</w:t>
            </w:r>
          </w:p>
        </w:tc>
        <w:tc>
          <w:tcPr>
            <w:tcW w:w="220" w:type="dxa"/>
            <w:vAlign w:val="bottom"/>
            <w:vMerge w:val="continue"/>
            <w:shd w:val="clear" w:color="auto" w:fill="CFF0FC"/>
          </w:tcPr>
          <w:p>
            <w:pPr>
              <w:spacing w:after="0"/>
              <w:rPr>
                <w:sz w:val="19"/>
                <w:szCs w:val="19"/>
                <w:color w:val="auto"/>
              </w:rPr>
            </w:pPr>
          </w:p>
        </w:tc>
        <w:tc>
          <w:tcPr>
            <w:tcW w:w="100" w:type="dxa"/>
            <w:vAlign w:val="bottom"/>
            <w:shd w:val="clear" w:color="auto" w:fill="CFF0FC"/>
          </w:tcPr>
          <w:p>
            <w:pPr>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830,694</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(8)</w:t>
            </w:r>
          </w:p>
        </w:tc>
        <w:tc>
          <w:tcPr>
            <w:tcW w:w="80" w:type="dxa"/>
            <w:vAlign w:val="bottom"/>
            <w:vMerge w:val="continue"/>
            <w:shd w:val="clear" w:color="auto" w:fill="CFF0FC"/>
          </w:tcPr>
          <w:p>
            <w:pPr>
              <w:spacing w:after="0"/>
              <w:rPr>
                <w:sz w:val="19"/>
                <w:szCs w:val="19"/>
                <w:color w:val="auto"/>
              </w:rPr>
            </w:pPr>
          </w:p>
        </w:tc>
        <w:tc>
          <w:tcPr>
            <w:tcW w:w="160" w:type="dxa"/>
            <w:vAlign w:val="bottom"/>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(524,084)</w:t>
            </w:r>
          </w:p>
        </w:tc>
        <w:tc>
          <w:tcPr>
            <w:tcW w:w="240" w:type="dxa"/>
            <w:vAlign w:val="bottom"/>
            <w:tcBorders>
              <w:right w:val="single" w:sz="8" w:color="CFF0FC"/>
            </w:tcBorders>
            <w:vMerge w:val="continue"/>
            <w:shd w:val="clear" w:color="auto" w:fill="CFF0FC"/>
          </w:tcPr>
          <w:p>
            <w:pPr>
              <w:spacing w:after="0"/>
              <w:rPr>
                <w:sz w:val="19"/>
                <w:szCs w:val="19"/>
                <w:color w:val="auto"/>
              </w:rPr>
            </w:pPr>
          </w:p>
        </w:tc>
        <w:tc>
          <w:tcPr>
            <w:tcW w:w="120" w:type="dxa"/>
            <w:vAlign w:val="bottom"/>
            <w:shd w:val="clear" w:color="auto" w:fill="CFF0FC"/>
          </w:tcPr>
          <w:p>
            <w:pPr>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306,645</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560" w:type="dxa"/>
            <w:vAlign w:val="bottom"/>
          </w:tcPr>
          <w:p>
            <w:pPr>
              <w:ind w:left="260"/>
              <w:spacing w:after="0"/>
              <w:rPr>
                <w:sz w:val="20"/>
                <w:szCs w:val="20"/>
                <w:color w:val="auto"/>
              </w:rPr>
            </w:pPr>
            <w:r>
              <w:rPr>
                <w:rFonts w:ascii="Arial" w:cs="Arial" w:eastAsia="Arial" w:hAnsi="Arial"/>
                <w:sz w:val="18"/>
                <w:szCs w:val="18"/>
                <w:color w:val="auto"/>
              </w:rPr>
              <w:t>Issuance of common stock</w:t>
            </w: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60" w:type="dxa"/>
            <w:vAlign w:val="bottom"/>
          </w:tcPr>
          <w:p>
            <w:pPr>
              <w:ind w:left="260"/>
              <w:spacing w:after="0"/>
              <w:rPr>
                <w:sz w:val="20"/>
                <w:szCs w:val="20"/>
                <w:color w:val="auto"/>
              </w:rPr>
            </w:pPr>
            <w:r>
              <w:rPr>
                <w:rFonts w:ascii="Arial" w:cs="Arial" w:eastAsia="Arial" w:hAnsi="Arial"/>
                <w:sz w:val="18"/>
                <w:szCs w:val="18"/>
                <w:color w:val="auto"/>
              </w:rPr>
              <w:t>upon follow-on</w:t>
            </w: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60" w:type="dxa"/>
            <w:vAlign w:val="bottom"/>
          </w:tcPr>
          <w:p>
            <w:pPr>
              <w:ind w:left="340"/>
              <w:spacing w:after="0"/>
              <w:rPr>
                <w:sz w:val="20"/>
                <w:szCs w:val="20"/>
                <w:color w:val="auto"/>
              </w:rPr>
            </w:pPr>
            <w:r>
              <w:rPr>
                <w:rFonts w:ascii="Arial" w:cs="Arial" w:eastAsia="Arial" w:hAnsi="Arial"/>
                <w:sz w:val="18"/>
                <w:szCs w:val="18"/>
                <w:color w:val="auto"/>
              </w:rPr>
              <w:t>public offering, net of</w:t>
            </w: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560" w:type="dxa"/>
            <w:vAlign w:val="bottom"/>
          </w:tcPr>
          <w:p>
            <w:pPr>
              <w:ind w:left="260"/>
              <w:spacing w:after="0"/>
              <w:rPr>
                <w:sz w:val="20"/>
                <w:szCs w:val="20"/>
                <w:color w:val="auto"/>
              </w:rPr>
            </w:pPr>
            <w:r>
              <w:rPr>
                <w:rFonts w:ascii="Arial" w:cs="Arial" w:eastAsia="Arial" w:hAnsi="Arial"/>
                <w:sz w:val="18"/>
                <w:szCs w:val="18"/>
                <w:color w:val="auto"/>
              </w:rPr>
              <w:t>issuance costs</w:t>
            </w:r>
          </w:p>
        </w:tc>
        <w:tc>
          <w:tcPr>
            <w:tcW w:w="680" w:type="dxa"/>
            <w:vAlign w:val="bottom"/>
          </w:tcPr>
          <w:p>
            <w:pPr>
              <w:ind w:left="500"/>
              <w:spacing w:after="0"/>
              <w:rPr>
                <w:sz w:val="20"/>
                <w:szCs w:val="20"/>
                <w:color w:val="auto"/>
              </w:rPr>
            </w:pPr>
            <w:r>
              <w:rPr>
                <w:rFonts w:ascii="Arial" w:cs="Arial" w:eastAsia="Arial" w:hAnsi="Arial"/>
                <w:sz w:val="18"/>
                <w:szCs w:val="18"/>
                <w:color w:val="auto"/>
                <w:w w:val="88"/>
              </w:rPr>
              <w:t>—</w:t>
            </w:r>
          </w:p>
        </w:tc>
        <w:tc>
          <w:tcPr>
            <w:tcW w:w="2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4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2,946</w:t>
            </w:r>
          </w:p>
        </w:tc>
        <w:tc>
          <w:tcPr>
            <w:tcW w:w="2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149,082</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gridSpan w:val="2"/>
          </w:tcPr>
          <w:p>
            <w:pPr>
              <w:jc w:val="right"/>
              <w:ind w:right="18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149,085</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560" w:type="dxa"/>
            <w:vAlign w:val="bottom"/>
            <w:shd w:val="clear" w:color="auto" w:fill="CFF0FC"/>
          </w:tcPr>
          <w:p>
            <w:pPr>
              <w:ind w:left="260"/>
              <w:spacing w:after="0"/>
              <w:rPr>
                <w:sz w:val="20"/>
                <w:szCs w:val="20"/>
                <w:color w:val="auto"/>
              </w:rPr>
            </w:pPr>
            <w:r>
              <w:rPr>
                <w:rFonts w:ascii="Arial" w:cs="Arial" w:eastAsia="Arial" w:hAnsi="Arial"/>
                <w:sz w:val="18"/>
                <w:szCs w:val="18"/>
                <w:color w:val="auto"/>
                <w:w w:val="95"/>
              </w:rPr>
              <w:t>Issuance of common stock for</w:t>
            </w:r>
          </w:p>
        </w:tc>
        <w:tc>
          <w:tcPr>
            <w:tcW w:w="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40" w:type="dxa"/>
            <w:vAlign w:val="bottom"/>
            <w:tcBorders>
              <w:right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4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settlement of</w:t>
            </w:r>
          </w:p>
        </w:tc>
        <w:tc>
          <w:tcPr>
            <w:tcW w:w="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40" w:type="dxa"/>
            <w:vAlign w:val="bottom"/>
            <w:tcBorders>
              <w:right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4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560" w:type="dxa"/>
            <w:vAlign w:val="bottom"/>
            <w:shd w:val="clear" w:color="auto" w:fill="CFF0FC"/>
          </w:tcPr>
          <w:p>
            <w:pPr>
              <w:ind w:left="340"/>
              <w:spacing w:after="0"/>
              <w:rPr>
                <w:sz w:val="20"/>
                <w:szCs w:val="20"/>
                <w:color w:val="auto"/>
              </w:rPr>
            </w:pPr>
            <w:r>
              <w:rPr>
                <w:rFonts w:ascii="Arial" w:cs="Arial" w:eastAsia="Arial" w:hAnsi="Arial"/>
                <w:sz w:val="18"/>
                <w:szCs w:val="18"/>
                <w:color w:val="auto"/>
              </w:rPr>
              <w:t>RSUs</w:t>
            </w:r>
          </w:p>
        </w:tc>
        <w:tc>
          <w:tcPr>
            <w:tcW w:w="680" w:type="dxa"/>
            <w:vAlign w:val="bottom"/>
            <w:shd w:val="clear" w:color="auto" w:fill="CFF0FC"/>
          </w:tcPr>
          <w:p>
            <w:pPr>
              <w:ind w:left="500"/>
              <w:spacing w:after="0"/>
              <w:rPr>
                <w:sz w:val="20"/>
                <w:szCs w:val="20"/>
                <w:color w:val="auto"/>
              </w:rPr>
            </w:pPr>
            <w:r>
              <w:rPr>
                <w:rFonts w:ascii="Arial" w:cs="Arial" w:eastAsia="Arial" w:hAnsi="Arial"/>
                <w:sz w:val="18"/>
                <w:szCs w:val="18"/>
                <w:color w:val="auto"/>
                <w:w w:val="88"/>
              </w:rPr>
              <w:t>—</w:t>
            </w:r>
          </w:p>
        </w:tc>
        <w:tc>
          <w:tcPr>
            <w:tcW w:w="220" w:type="dxa"/>
            <w:vAlign w:val="bottom"/>
            <w:shd w:val="clear" w:color="auto" w:fill="CFF0FC"/>
          </w:tcPr>
          <w:p>
            <w:pPr>
              <w:spacing w:after="0"/>
              <w:rPr>
                <w:sz w:val="20"/>
                <w:szCs w:val="20"/>
                <w:color w:val="auto"/>
              </w:rPr>
            </w:pPr>
          </w:p>
        </w:tc>
        <w:tc>
          <w:tcPr>
            <w:tcW w:w="520" w:type="dxa"/>
            <w:vAlign w:val="bottom"/>
            <w:shd w:val="clear" w:color="auto" w:fill="CFF0FC"/>
          </w:tcPr>
          <w:p>
            <w:pPr>
              <w:spacing w:after="0"/>
              <w:rPr>
                <w:sz w:val="20"/>
                <w:szCs w:val="20"/>
                <w:color w:val="auto"/>
              </w:rPr>
            </w:pPr>
          </w:p>
        </w:tc>
        <w:tc>
          <w:tcPr>
            <w:tcW w:w="440" w:type="dxa"/>
            <w:vAlign w:val="bottom"/>
            <w:tcBorders>
              <w:right w:val="single" w:sz="8" w:color="auto"/>
            </w:tcBorders>
            <w:gridSpan w:val="2"/>
            <w:shd w:val="clear" w:color="auto" w:fill="CFF0FC"/>
          </w:tcPr>
          <w:p>
            <w:pPr>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0"/>
                <w:szCs w:val="20"/>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00" w:type="dxa"/>
            <w:vAlign w:val="bottom"/>
            <w:shd w:val="clear" w:color="auto" w:fill="CFF0FC"/>
          </w:tcPr>
          <w:p>
            <w:pPr>
              <w:spacing w:after="0"/>
              <w:rPr>
                <w:sz w:val="20"/>
                <w:szCs w:val="20"/>
                <w:color w:val="auto"/>
              </w:rPr>
            </w:pPr>
          </w:p>
        </w:tc>
        <w:tc>
          <w:tcPr>
            <w:tcW w:w="520" w:type="dxa"/>
            <w:vAlign w:val="bottom"/>
            <w:shd w:val="clear" w:color="auto" w:fill="CFF0FC"/>
          </w:tcPr>
          <w:p>
            <w:pPr>
              <w:spacing w:after="0"/>
              <w:rPr>
                <w:sz w:val="20"/>
                <w:szCs w:val="20"/>
                <w:color w:val="auto"/>
              </w:rPr>
            </w:pP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9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100" w:type="dxa"/>
            <w:vAlign w:val="bottom"/>
            <w:tcBorders>
              <w:right w:val="single" w:sz="8" w:color="CFF0FC"/>
            </w:tcBorders>
            <w:gridSpan w:val="2"/>
            <w:shd w:val="clear" w:color="auto" w:fill="CFF0FC"/>
          </w:tcPr>
          <w:p>
            <w:pPr>
              <w:jc w:val="right"/>
              <w:ind w:right="181"/>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560" w:type="dxa"/>
            <w:vAlign w:val="bottom"/>
          </w:tcPr>
          <w:p>
            <w:pPr>
              <w:ind w:left="260"/>
              <w:spacing w:after="0"/>
              <w:rPr>
                <w:sz w:val="20"/>
                <w:szCs w:val="20"/>
                <w:color w:val="auto"/>
              </w:rPr>
            </w:pPr>
            <w:r>
              <w:rPr>
                <w:rFonts w:ascii="Arial" w:cs="Arial" w:eastAsia="Arial" w:hAnsi="Arial"/>
                <w:sz w:val="18"/>
                <w:szCs w:val="18"/>
                <w:color w:val="auto"/>
              </w:rPr>
              <w:t>Stock option exercises</w:t>
            </w:r>
          </w:p>
        </w:tc>
        <w:tc>
          <w:tcPr>
            <w:tcW w:w="680" w:type="dxa"/>
            <w:vAlign w:val="bottom"/>
          </w:tcPr>
          <w:p>
            <w:pPr>
              <w:ind w:left="500"/>
              <w:spacing w:after="0"/>
              <w:rPr>
                <w:sz w:val="20"/>
                <w:szCs w:val="20"/>
                <w:color w:val="auto"/>
              </w:rPr>
            </w:pPr>
            <w:r>
              <w:rPr>
                <w:rFonts w:ascii="Arial" w:cs="Arial" w:eastAsia="Arial" w:hAnsi="Arial"/>
                <w:sz w:val="18"/>
                <w:szCs w:val="18"/>
                <w:color w:val="auto"/>
                <w:w w:val="88"/>
              </w:rPr>
              <w:t>—</w:t>
            </w:r>
          </w:p>
        </w:tc>
        <w:tc>
          <w:tcPr>
            <w:tcW w:w="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4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390</w:t>
            </w:r>
          </w:p>
        </w:tc>
        <w:tc>
          <w:tcPr>
            <w:tcW w:w="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1,723</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jc w:val="right"/>
              <w:ind w:right="18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1,723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5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Stock-based compensation</w:t>
            </w:r>
          </w:p>
        </w:tc>
        <w:tc>
          <w:tcPr>
            <w:tcW w:w="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40" w:type="dxa"/>
            <w:vAlign w:val="bottom"/>
            <w:tcBorders>
              <w:right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4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5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expense</w:t>
            </w:r>
          </w:p>
        </w:tc>
        <w:tc>
          <w:tcPr>
            <w:tcW w:w="680" w:type="dxa"/>
            <w:vAlign w:val="bottom"/>
            <w:shd w:val="clear" w:color="auto" w:fill="CFF0FC"/>
          </w:tcPr>
          <w:p>
            <w:pPr>
              <w:ind w:left="500"/>
              <w:spacing w:after="0"/>
              <w:rPr>
                <w:sz w:val="20"/>
                <w:szCs w:val="20"/>
                <w:color w:val="auto"/>
              </w:rPr>
            </w:pPr>
            <w:r>
              <w:rPr>
                <w:rFonts w:ascii="Arial" w:cs="Arial" w:eastAsia="Arial" w:hAnsi="Arial"/>
                <w:sz w:val="18"/>
                <w:szCs w:val="18"/>
                <w:color w:val="auto"/>
                <w:w w:val="88"/>
              </w:rPr>
              <w:t>—</w:t>
            </w:r>
          </w:p>
        </w:tc>
        <w:tc>
          <w:tcPr>
            <w:tcW w:w="220" w:type="dxa"/>
            <w:vAlign w:val="bottom"/>
            <w:shd w:val="clear" w:color="auto" w:fill="CFF0FC"/>
          </w:tcPr>
          <w:p>
            <w:pPr>
              <w:spacing w:after="0"/>
              <w:rPr>
                <w:sz w:val="20"/>
                <w:szCs w:val="20"/>
                <w:color w:val="auto"/>
              </w:rPr>
            </w:pPr>
          </w:p>
        </w:tc>
        <w:tc>
          <w:tcPr>
            <w:tcW w:w="520" w:type="dxa"/>
            <w:vAlign w:val="bottom"/>
            <w:shd w:val="clear" w:color="auto" w:fill="CFF0FC"/>
          </w:tcPr>
          <w:p>
            <w:pPr>
              <w:spacing w:after="0"/>
              <w:rPr>
                <w:sz w:val="20"/>
                <w:szCs w:val="20"/>
                <w:color w:val="auto"/>
              </w:rPr>
            </w:pPr>
          </w:p>
        </w:tc>
        <w:tc>
          <w:tcPr>
            <w:tcW w:w="440" w:type="dxa"/>
            <w:vAlign w:val="bottom"/>
            <w:tcBorders>
              <w:right w:val="single" w:sz="8" w:color="auto"/>
            </w:tcBorders>
            <w:gridSpan w:val="2"/>
            <w:shd w:val="clear" w:color="auto" w:fill="CFF0FC"/>
          </w:tcPr>
          <w:p>
            <w:pPr>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0"/>
                <w:szCs w:val="20"/>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0"/>
                <w:szCs w:val="20"/>
                <w:color w:val="auto"/>
              </w:rPr>
            </w:pPr>
          </w:p>
        </w:tc>
        <w:tc>
          <w:tcPr>
            <w:tcW w:w="520" w:type="dxa"/>
            <w:vAlign w:val="bottom"/>
            <w:shd w:val="clear" w:color="auto" w:fill="CFF0FC"/>
          </w:tcPr>
          <w:p>
            <w:pPr>
              <w:spacing w:after="0"/>
              <w:rPr>
                <w:sz w:val="20"/>
                <w:szCs w:val="20"/>
                <w:color w:val="auto"/>
              </w:rPr>
            </w:pP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3,937</w:t>
            </w:r>
          </w:p>
        </w:tc>
        <w:tc>
          <w:tcPr>
            <w:tcW w:w="2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100" w:type="dxa"/>
            <w:vAlign w:val="bottom"/>
            <w:tcBorders>
              <w:right w:val="single" w:sz="8" w:color="CFF0FC"/>
            </w:tcBorders>
            <w:gridSpan w:val="2"/>
            <w:shd w:val="clear" w:color="auto" w:fill="CFF0FC"/>
          </w:tcPr>
          <w:p>
            <w:pPr>
              <w:jc w:val="right"/>
              <w:ind w:right="181"/>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3,937</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560" w:type="dxa"/>
            <w:vAlign w:val="bottom"/>
          </w:tcPr>
          <w:p>
            <w:pPr>
              <w:ind w:left="260"/>
              <w:spacing w:after="0"/>
              <w:rPr>
                <w:sz w:val="20"/>
                <w:szCs w:val="20"/>
                <w:color w:val="auto"/>
              </w:rPr>
            </w:pPr>
            <w:r>
              <w:rPr>
                <w:rFonts w:ascii="Arial" w:cs="Arial" w:eastAsia="Arial" w:hAnsi="Arial"/>
                <w:sz w:val="18"/>
                <w:szCs w:val="18"/>
                <w:color w:val="auto"/>
                <w:w w:val="99"/>
              </w:rPr>
              <w:t>Unrealized loss on available-</w:t>
            </w: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60" w:type="dxa"/>
            <w:vAlign w:val="bottom"/>
          </w:tcPr>
          <w:p>
            <w:pPr>
              <w:ind w:left="260"/>
              <w:spacing w:after="0"/>
              <w:rPr>
                <w:sz w:val="20"/>
                <w:szCs w:val="20"/>
                <w:color w:val="auto"/>
              </w:rPr>
            </w:pPr>
            <w:r>
              <w:rPr>
                <w:rFonts w:ascii="Arial" w:cs="Arial" w:eastAsia="Arial" w:hAnsi="Arial"/>
                <w:sz w:val="18"/>
                <w:szCs w:val="18"/>
                <w:color w:val="auto"/>
              </w:rPr>
              <w:t>for-sale</w:t>
            </w: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560" w:type="dxa"/>
            <w:vAlign w:val="bottom"/>
          </w:tcPr>
          <w:p>
            <w:pPr>
              <w:ind w:left="340"/>
              <w:spacing w:after="0"/>
              <w:rPr>
                <w:sz w:val="20"/>
                <w:szCs w:val="20"/>
                <w:color w:val="auto"/>
              </w:rPr>
            </w:pPr>
            <w:r>
              <w:rPr>
                <w:rFonts w:ascii="Arial" w:cs="Arial" w:eastAsia="Arial" w:hAnsi="Arial"/>
                <w:sz w:val="18"/>
                <w:szCs w:val="18"/>
                <w:color w:val="auto"/>
              </w:rPr>
              <w:t>securities</w:t>
            </w:r>
          </w:p>
        </w:tc>
        <w:tc>
          <w:tcPr>
            <w:tcW w:w="680" w:type="dxa"/>
            <w:vAlign w:val="bottom"/>
          </w:tcPr>
          <w:p>
            <w:pPr>
              <w:ind w:left="500"/>
              <w:spacing w:after="0"/>
              <w:rPr>
                <w:sz w:val="20"/>
                <w:szCs w:val="20"/>
                <w:color w:val="auto"/>
              </w:rPr>
            </w:pPr>
            <w:r>
              <w:rPr>
                <w:rFonts w:ascii="Arial" w:cs="Arial" w:eastAsia="Arial" w:hAnsi="Arial"/>
                <w:sz w:val="18"/>
                <w:szCs w:val="18"/>
                <w:color w:val="auto"/>
                <w:w w:val="88"/>
              </w:rPr>
              <w:t>—</w:t>
            </w:r>
          </w:p>
        </w:tc>
        <w:tc>
          <w:tcPr>
            <w:tcW w:w="2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4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(20)</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gridSpan w:val="2"/>
          </w:tcPr>
          <w:p>
            <w:pPr>
              <w:jc w:val="right"/>
              <w:ind w:right="18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30"/>
        </w:trPr>
        <w:tc>
          <w:tcPr>
            <w:tcW w:w="25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Net loss</w:t>
            </w:r>
          </w:p>
        </w:tc>
        <w:tc>
          <w:tcPr>
            <w:tcW w:w="680" w:type="dxa"/>
            <w:vAlign w:val="bottom"/>
            <w:shd w:val="clear" w:color="auto" w:fill="CFF0FC"/>
          </w:tcPr>
          <w:p>
            <w:pPr>
              <w:ind w:left="500"/>
              <w:spacing w:after="0"/>
              <w:rPr>
                <w:sz w:val="20"/>
                <w:szCs w:val="20"/>
                <w:color w:val="auto"/>
              </w:rPr>
            </w:pPr>
            <w:r>
              <w:rPr>
                <w:rFonts w:ascii="Arial" w:cs="Arial" w:eastAsia="Arial" w:hAnsi="Arial"/>
                <w:sz w:val="18"/>
                <w:szCs w:val="18"/>
                <w:color w:val="auto"/>
                <w:w w:val="88"/>
              </w:rPr>
              <w:t>—</w:t>
            </w:r>
          </w:p>
        </w:tc>
        <w:tc>
          <w:tcPr>
            <w:tcW w:w="2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440" w:type="dxa"/>
            <w:vAlign w:val="bottom"/>
            <w:tcBorders>
              <w:right w:val="single" w:sz="8" w:color="auto"/>
            </w:tcBorders>
            <w:gridSpan w:val="2"/>
            <w:shd w:val="clear" w:color="auto" w:fill="CFF0FC"/>
          </w:tcPr>
          <w:p>
            <w:pPr>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00" w:type="dxa"/>
            <w:vAlign w:val="bottom"/>
            <w:tcBorders>
              <w:right w:val="single" w:sz="8" w:color="CFF0FC"/>
            </w:tcBorders>
            <w:gridSpan w:val="2"/>
            <w:shd w:val="clear" w:color="auto" w:fill="CFF0FC"/>
          </w:tcPr>
          <w:p>
            <w:pPr>
              <w:jc w:val="right"/>
              <w:ind w:right="101"/>
              <w:spacing w:after="0"/>
              <w:rPr>
                <w:sz w:val="20"/>
                <w:szCs w:val="20"/>
                <w:color w:val="auto"/>
              </w:rPr>
            </w:pPr>
            <w:r>
              <w:rPr>
                <w:rFonts w:ascii="Arial" w:cs="Arial" w:eastAsia="Arial" w:hAnsi="Arial"/>
                <w:sz w:val="18"/>
                <w:szCs w:val="18"/>
                <w:color w:val="auto"/>
              </w:rPr>
              <w:t>(30,208)</w:t>
            </w:r>
          </w:p>
        </w:tc>
        <w:tc>
          <w:tcPr>
            <w:tcW w:w="12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(30,208)</w:t>
            </w:r>
          </w:p>
        </w:tc>
        <w:tc>
          <w:tcPr>
            <w:tcW w:w="0" w:type="dxa"/>
            <w:vAlign w:val="bottom"/>
          </w:tcPr>
          <w:p>
            <w:pPr>
              <w:spacing w:after="0"/>
              <w:rPr>
                <w:sz w:val="1"/>
                <w:szCs w:val="1"/>
                <w:color w:val="auto"/>
              </w:rPr>
            </w:pPr>
          </w:p>
        </w:tc>
      </w:tr>
      <w:tr>
        <w:trPr>
          <w:trHeight w:val="223"/>
        </w:trPr>
        <w:tc>
          <w:tcPr>
            <w:tcW w:w="2560" w:type="dxa"/>
            <w:vAlign w:val="bottom"/>
          </w:tcPr>
          <w:p>
            <w:pPr>
              <w:spacing w:after="0"/>
              <w:rPr>
                <w:sz w:val="20"/>
                <w:szCs w:val="20"/>
                <w:color w:val="auto"/>
              </w:rPr>
            </w:pPr>
            <w:r>
              <w:rPr>
                <w:rFonts w:ascii="Arial" w:cs="Arial" w:eastAsia="Arial" w:hAnsi="Arial"/>
                <w:sz w:val="18"/>
                <w:szCs w:val="18"/>
                <w:b w:val="1"/>
                <w:bCs w:val="1"/>
                <w:color w:val="auto"/>
              </w:rPr>
              <w:t>Balance as of June 30, 2021</w:t>
            </w:r>
          </w:p>
        </w:tc>
        <w:tc>
          <w:tcPr>
            <w:tcW w:w="680" w:type="dxa"/>
            <w:vAlign w:val="bottom"/>
            <w:tcBorders>
              <w:top w:val="single" w:sz="8" w:color="auto"/>
              <w:bottom w:val="single" w:sz="8" w:color="auto"/>
            </w:tcBorders>
          </w:tcPr>
          <w:p>
            <w:pPr>
              <w:ind w:left="500"/>
              <w:spacing w:after="0"/>
              <w:rPr>
                <w:sz w:val="20"/>
                <w:szCs w:val="20"/>
                <w:color w:val="auto"/>
              </w:rPr>
            </w:pPr>
            <w:r>
              <w:rPr>
                <w:rFonts w:ascii="Arial" w:cs="Arial" w:eastAsia="Arial" w:hAnsi="Arial"/>
                <w:sz w:val="18"/>
                <w:szCs w:val="18"/>
                <w:color w:val="auto"/>
                <w:w w:val="88"/>
              </w:rPr>
              <w:t>—</w:t>
            </w:r>
          </w:p>
        </w:tc>
        <w:tc>
          <w:tcPr>
            <w:tcW w:w="220" w:type="dxa"/>
            <w:vAlign w:val="bottom"/>
          </w:tcPr>
          <w:p>
            <w:pPr>
              <w:spacing w:after="0"/>
              <w:rPr>
                <w:sz w:val="19"/>
                <w:szCs w:val="19"/>
                <w:color w:val="auto"/>
              </w:rPr>
            </w:pPr>
          </w:p>
        </w:tc>
        <w:tc>
          <w:tcPr>
            <w:tcW w:w="520" w:type="dxa"/>
            <w:vAlign w:val="bottom"/>
            <w:tcBorders>
              <w:top w:val="single" w:sz="8" w:color="auto"/>
              <w:bottom w:val="single" w:sz="8" w:color="auto"/>
            </w:tcBorders>
          </w:tcPr>
          <w:p>
            <w:pPr>
              <w:jc w:val="right"/>
              <w:ind w:right="361"/>
              <w:spacing w:after="0"/>
              <w:rPr>
                <w:sz w:val="20"/>
                <w:szCs w:val="20"/>
                <w:color w:val="auto"/>
              </w:rPr>
            </w:pPr>
            <w:r>
              <w:rPr>
                <w:rFonts w:ascii="Arial" w:cs="Arial" w:eastAsia="Arial" w:hAnsi="Arial"/>
                <w:sz w:val="15"/>
                <w:szCs w:val="15"/>
                <w:color w:val="auto"/>
                <w:w w:val="71"/>
              </w:rPr>
              <w:t>$</w:t>
            </w: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2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46,225</w:t>
            </w:r>
          </w:p>
        </w:tc>
        <w:tc>
          <w:tcPr>
            <w:tcW w:w="200" w:type="dxa"/>
            <w:vAlign w:val="bottom"/>
          </w:tcPr>
          <w:p>
            <w:pPr>
              <w:spacing w:after="0"/>
              <w:rPr>
                <w:sz w:val="19"/>
                <w:szCs w:val="19"/>
                <w:color w:val="auto"/>
              </w:rPr>
            </w:pPr>
          </w:p>
        </w:tc>
        <w:tc>
          <w:tcPr>
            <w:tcW w:w="52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w w:val="79"/>
              </w:rPr>
              <w:t>$</w:t>
            </w: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46</w:t>
            </w: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985,436</w:t>
            </w:r>
          </w:p>
        </w:tc>
        <w:tc>
          <w:tcPr>
            <w:tcW w:w="22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(554,292</w:t>
            </w:r>
          </w:p>
        </w:tc>
        <w:tc>
          <w:tcPr>
            <w:tcW w:w="240" w:type="dxa"/>
            <w:vAlign w:val="bottom"/>
          </w:tcPr>
          <w:p>
            <w:pPr>
              <w:jc w:val="right"/>
              <w:ind w:right="101"/>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431,162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5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condensed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Outset Medical,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 of Redeemable Convertible Preferred Stock and Stockholders’ Equity (Deficit)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2560" w:type="dxa"/>
            <w:vAlign w:val="bottom"/>
          </w:tcPr>
          <w:p>
            <w:pPr>
              <w:spacing w:after="0"/>
              <w:rPr>
                <w:sz w:val="18"/>
                <w:szCs w:val="18"/>
                <w:color w:val="auto"/>
              </w:rPr>
            </w:pPr>
          </w:p>
        </w:tc>
        <w:tc>
          <w:tcPr>
            <w:tcW w:w="1880" w:type="dxa"/>
            <w:vAlign w:val="bottom"/>
            <w:tcBorders>
              <w:right w:val="single" w:sz="8" w:color="auto"/>
            </w:tcBorders>
            <w:gridSpan w:val="4"/>
          </w:tcPr>
          <w:p>
            <w:pPr>
              <w:jc w:val="center"/>
              <w:ind w:right="220"/>
              <w:spacing w:after="0"/>
              <w:rPr>
                <w:sz w:val="20"/>
                <w:szCs w:val="20"/>
                <w:color w:val="auto"/>
              </w:rPr>
            </w:pPr>
            <w:r>
              <w:rPr>
                <w:rFonts w:ascii="Arial" w:cs="Arial" w:eastAsia="Arial" w:hAnsi="Arial"/>
                <w:sz w:val="18"/>
                <w:szCs w:val="18"/>
                <w:b w:val="1"/>
                <w:bCs w:val="1"/>
                <w:color w:val="auto"/>
                <w:w w:val="88"/>
              </w:rPr>
              <w:t>Redeemable</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90"/>
              </w:rPr>
              <w:t>Accumulated</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center"/>
              <w:ind w:right="161"/>
              <w:spacing w:after="0"/>
              <w:rPr>
                <w:sz w:val="20"/>
                <w:szCs w:val="20"/>
                <w:color w:val="auto"/>
              </w:rPr>
            </w:pPr>
            <w:r>
              <w:rPr>
                <w:rFonts w:ascii="Arial" w:cs="Arial" w:eastAsia="Arial" w:hAnsi="Arial"/>
                <w:sz w:val="18"/>
                <w:szCs w:val="18"/>
                <w:b w:val="1"/>
                <w:bCs w:val="1"/>
                <w:color w:val="auto"/>
                <w:w w:val="92"/>
              </w:rPr>
              <w:t>Total</w:t>
            </w:r>
          </w:p>
        </w:tc>
      </w:tr>
      <w:tr>
        <w:trPr>
          <w:trHeight w:val="216"/>
        </w:trPr>
        <w:tc>
          <w:tcPr>
            <w:tcW w:w="2560" w:type="dxa"/>
            <w:vAlign w:val="bottom"/>
          </w:tcPr>
          <w:p>
            <w:pPr>
              <w:spacing w:after="0"/>
              <w:rPr>
                <w:sz w:val="18"/>
                <w:szCs w:val="18"/>
                <w:color w:val="auto"/>
              </w:rPr>
            </w:pPr>
          </w:p>
        </w:tc>
        <w:tc>
          <w:tcPr>
            <w:tcW w:w="1880" w:type="dxa"/>
            <w:vAlign w:val="bottom"/>
            <w:tcBorders>
              <w:right w:val="single" w:sz="8" w:color="auto"/>
            </w:tcBorders>
            <w:gridSpan w:val="4"/>
          </w:tcPr>
          <w:p>
            <w:pPr>
              <w:jc w:val="center"/>
              <w:ind w:right="240"/>
              <w:spacing w:after="0"/>
              <w:rPr>
                <w:sz w:val="20"/>
                <w:szCs w:val="20"/>
                <w:color w:val="auto"/>
              </w:rPr>
            </w:pPr>
            <w:r>
              <w:rPr>
                <w:rFonts w:ascii="Arial" w:cs="Arial" w:eastAsia="Arial" w:hAnsi="Arial"/>
                <w:sz w:val="18"/>
                <w:szCs w:val="18"/>
                <w:b w:val="1"/>
                <w:bCs w:val="1"/>
                <w:color w:val="auto"/>
                <w:w w:val="92"/>
              </w:rPr>
              <w:t>Convertible</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4"/>
          </w:tcPr>
          <w:p>
            <w:pPr>
              <w:ind w:left="220"/>
              <w:spacing w:after="0"/>
              <w:rPr>
                <w:sz w:val="20"/>
                <w:szCs w:val="20"/>
                <w:color w:val="auto"/>
              </w:rPr>
            </w:pPr>
            <w:r>
              <w:rPr>
                <w:rFonts w:ascii="Arial" w:cs="Arial" w:eastAsia="Arial" w:hAnsi="Arial"/>
                <w:sz w:val="18"/>
                <w:szCs w:val="18"/>
                <w:b w:val="1"/>
                <w:bCs w:val="1"/>
                <w:color w:val="auto"/>
              </w:rPr>
              <w:t>Additional</w:t>
            </w:r>
          </w:p>
        </w:tc>
        <w:tc>
          <w:tcPr>
            <w:tcW w:w="220" w:type="dxa"/>
            <w:vAlign w:val="bottom"/>
          </w:tcPr>
          <w:p>
            <w:pPr>
              <w:spacing w:after="0"/>
              <w:rPr>
                <w:sz w:val="18"/>
                <w:szCs w:val="18"/>
                <w:color w:val="auto"/>
              </w:rPr>
            </w:pPr>
          </w:p>
        </w:tc>
        <w:tc>
          <w:tcPr>
            <w:tcW w:w="11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5"/>
              </w:rPr>
              <w:t>Other</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4"/>
          </w:tcPr>
          <w:p>
            <w:pPr>
              <w:jc w:val="center"/>
              <w:spacing w:after="0"/>
              <w:rPr>
                <w:sz w:val="20"/>
                <w:szCs w:val="20"/>
                <w:color w:val="auto"/>
              </w:rPr>
            </w:pPr>
            <w:r>
              <w:rPr>
                <w:rFonts w:ascii="Arial" w:cs="Arial" w:eastAsia="Arial" w:hAnsi="Arial"/>
                <w:sz w:val="18"/>
                <w:szCs w:val="18"/>
                <w:b w:val="1"/>
                <w:bCs w:val="1"/>
                <w:color w:val="auto"/>
                <w:w w:val="89"/>
              </w:rPr>
              <w:t>Stockholders’</w:t>
            </w:r>
          </w:p>
        </w:tc>
      </w:tr>
      <w:tr>
        <w:trPr>
          <w:trHeight w:val="234"/>
        </w:trPr>
        <w:tc>
          <w:tcPr>
            <w:tcW w:w="2560" w:type="dxa"/>
            <w:vAlign w:val="bottom"/>
          </w:tcPr>
          <w:p>
            <w:pPr>
              <w:spacing w:after="0"/>
              <w:rPr>
                <w:sz w:val="20"/>
                <w:szCs w:val="20"/>
                <w:color w:val="auto"/>
              </w:rPr>
            </w:pPr>
          </w:p>
        </w:tc>
        <w:tc>
          <w:tcPr>
            <w:tcW w:w="1880" w:type="dxa"/>
            <w:vAlign w:val="bottom"/>
            <w:tcBorders>
              <w:right w:val="single" w:sz="8" w:color="auto"/>
            </w:tcBorders>
            <w:gridSpan w:val="4"/>
          </w:tcPr>
          <w:p>
            <w:pPr>
              <w:jc w:val="center"/>
              <w:ind w:right="220"/>
              <w:spacing w:after="0"/>
              <w:rPr>
                <w:sz w:val="20"/>
                <w:szCs w:val="20"/>
                <w:color w:val="auto"/>
              </w:rPr>
            </w:pPr>
            <w:r>
              <w:rPr>
                <w:rFonts w:ascii="Arial" w:cs="Arial" w:eastAsia="Arial" w:hAnsi="Arial"/>
                <w:sz w:val="18"/>
                <w:szCs w:val="18"/>
                <w:b w:val="1"/>
                <w:bCs w:val="1"/>
                <w:color w:val="auto"/>
                <w:w w:val="90"/>
              </w:rPr>
              <w:t>Preferred Stock</w:t>
            </w:r>
          </w:p>
        </w:tc>
        <w:tc>
          <w:tcPr>
            <w:tcW w:w="100" w:type="dxa"/>
            <w:vAlign w:val="bottom"/>
          </w:tcPr>
          <w:p>
            <w:pPr>
              <w:spacing w:after="0"/>
              <w:rPr>
                <w:sz w:val="20"/>
                <w:szCs w:val="20"/>
                <w:color w:val="auto"/>
              </w:rPr>
            </w:pPr>
          </w:p>
        </w:tc>
        <w:tc>
          <w:tcPr>
            <w:tcW w:w="1420" w:type="dxa"/>
            <w:vAlign w:val="bottom"/>
            <w:gridSpan w:val="3"/>
          </w:tcPr>
          <w:p>
            <w:pPr>
              <w:jc w:val="right"/>
              <w:spacing w:after="0"/>
              <w:rPr>
                <w:sz w:val="20"/>
                <w:szCs w:val="20"/>
                <w:color w:val="auto"/>
              </w:rPr>
            </w:pPr>
            <w:r>
              <w:rPr>
                <w:rFonts w:ascii="Arial" w:cs="Arial" w:eastAsia="Arial" w:hAnsi="Arial"/>
                <w:sz w:val="18"/>
                <w:szCs w:val="18"/>
                <w:b w:val="1"/>
                <w:bCs w:val="1"/>
                <w:color w:val="auto"/>
              </w:rPr>
              <w:t>Common Stock</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3"/>
              </w:rPr>
              <w:t>Paid-in</w:t>
            </w:r>
          </w:p>
        </w:tc>
        <w:tc>
          <w:tcPr>
            <w:tcW w:w="1340" w:type="dxa"/>
            <w:vAlign w:val="bottom"/>
            <w:gridSpan w:val="3"/>
          </w:tcPr>
          <w:p>
            <w:pPr>
              <w:spacing w:after="0"/>
              <w:rPr>
                <w:sz w:val="20"/>
                <w:szCs w:val="20"/>
                <w:color w:val="auto"/>
              </w:rPr>
            </w:pPr>
            <w:r>
              <w:rPr>
                <w:rFonts w:ascii="Arial" w:cs="Arial" w:eastAsia="Arial" w:hAnsi="Arial"/>
                <w:sz w:val="18"/>
                <w:szCs w:val="18"/>
                <w:b w:val="1"/>
                <w:bCs w:val="1"/>
                <w:color w:val="auto"/>
                <w:w w:val="97"/>
              </w:rPr>
              <w:t>Comprehensive</w:t>
            </w:r>
          </w:p>
        </w:tc>
        <w:tc>
          <w:tcPr>
            <w:tcW w:w="1240" w:type="dxa"/>
            <w:vAlign w:val="bottom"/>
            <w:gridSpan w:val="4"/>
          </w:tcPr>
          <w:p>
            <w:pPr>
              <w:jc w:val="right"/>
              <w:ind w:right="61"/>
              <w:spacing w:after="0"/>
              <w:rPr>
                <w:sz w:val="20"/>
                <w:szCs w:val="20"/>
                <w:color w:val="auto"/>
              </w:rPr>
            </w:pPr>
            <w:r>
              <w:rPr>
                <w:rFonts w:ascii="Arial" w:cs="Arial" w:eastAsia="Arial" w:hAnsi="Arial"/>
                <w:sz w:val="18"/>
                <w:szCs w:val="18"/>
                <w:b w:val="1"/>
                <w:bCs w:val="1"/>
                <w:color w:val="auto"/>
                <w:w w:val="95"/>
              </w:rPr>
              <w:t>Accumulated</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gridSpan w:val="2"/>
          </w:tcPr>
          <w:p>
            <w:pPr>
              <w:jc w:val="center"/>
              <w:ind w:right="161"/>
              <w:spacing w:after="0"/>
              <w:rPr>
                <w:sz w:val="20"/>
                <w:szCs w:val="20"/>
                <w:color w:val="auto"/>
              </w:rPr>
            </w:pPr>
            <w:r>
              <w:rPr>
                <w:rFonts w:ascii="Arial" w:cs="Arial" w:eastAsia="Arial" w:hAnsi="Arial"/>
                <w:sz w:val="18"/>
                <w:szCs w:val="18"/>
                <w:b w:val="1"/>
                <w:bCs w:val="1"/>
                <w:color w:val="auto"/>
                <w:w w:val="94"/>
              </w:rPr>
              <w:t>Equity</w:t>
            </w:r>
          </w:p>
        </w:tc>
      </w:tr>
      <w:tr>
        <w:trPr>
          <w:trHeight w:val="223"/>
        </w:trPr>
        <w:tc>
          <w:tcPr>
            <w:tcW w:w="2560" w:type="dxa"/>
            <w:vAlign w:val="bottom"/>
          </w:tcPr>
          <w:p>
            <w:pPr>
              <w:spacing w:after="0"/>
              <w:rPr>
                <w:sz w:val="19"/>
                <w:szCs w:val="19"/>
                <w:color w:val="auto"/>
              </w:rPr>
            </w:pPr>
          </w:p>
        </w:tc>
        <w:tc>
          <w:tcPr>
            <w:tcW w:w="7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Shares</w:t>
            </w:r>
          </w:p>
        </w:tc>
        <w:tc>
          <w:tcPr>
            <w:tcW w:w="2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Amount</w:t>
            </w:r>
          </w:p>
        </w:tc>
        <w:tc>
          <w:tcPr>
            <w:tcW w:w="2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6"/>
              </w:rPr>
              <w:t>Shares</w:t>
            </w:r>
          </w:p>
        </w:tc>
        <w:tc>
          <w:tcPr>
            <w:tcW w:w="2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7"/>
              </w:rPr>
              <w:t>Amount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3"/>
              </w:rPr>
              <w:t>Capital</w:t>
            </w:r>
          </w:p>
        </w:tc>
        <w:tc>
          <w:tcPr>
            <w:tcW w:w="134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88"/>
              </w:rPr>
              <w:t>Income (Loss)</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gridSpan w:val="2"/>
          </w:tcPr>
          <w:p>
            <w:pPr>
              <w:jc w:val="right"/>
              <w:ind w:right="321"/>
              <w:spacing w:after="0"/>
              <w:rPr>
                <w:sz w:val="20"/>
                <w:szCs w:val="20"/>
                <w:color w:val="auto"/>
              </w:rPr>
            </w:pPr>
            <w:r>
              <w:rPr>
                <w:rFonts w:ascii="Arial" w:cs="Arial" w:eastAsia="Arial" w:hAnsi="Arial"/>
                <w:sz w:val="18"/>
                <w:szCs w:val="18"/>
                <w:b w:val="1"/>
                <w:bCs w:val="1"/>
                <w:color w:val="auto"/>
              </w:rPr>
              <w:t>Deficit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gridSpan w:val="2"/>
          </w:tcPr>
          <w:p>
            <w:pPr>
              <w:jc w:val="center"/>
              <w:ind w:right="161"/>
              <w:spacing w:after="0"/>
              <w:rPr>
                <w:sz w:val="20"/>
                <w:szCs w:val="20"/>
                <w:color w:val="auto"/>
              </w:rPr>
            </w:pPr>
            <w:r>
              <w:rPr>
                <w:rFonts w:ascii="Arial" w:cs="Arial" w:eastAsia="Arial" w:hAnsi="Arial"/>
                <w:sz w:val="18"/>
                <w:szCs w:val="18"/>
                <w:b w:val="1"/>
                <w:bCs w:val="1"/>
                <w:color w:val="auto"/>
                <w:w w:val="95"/>
              </w:rPr>
              <w:t>(Deficit)</w:t>
            </w:r>
          </w:p>
        </w:tc>
      </w:tr>
      <w:tr>
        <w:trPr>
          <w:trHeight w:val="205"/>
        </w:trPr>
        <w:tc>
          <w:tcPr>
            <w:tcW w:w="2560" w:type="dxa"/>
            <w:vAlign w:val="bottom"/>
            <w:tcBorders>
              <w:top w:val="single" w:sz="8" w:color="CFF0FC"/>
            </w:tcBorders>
            <w:shd w:val="clear" w:color="auto" w:fill="CFF0FC"/>
          </w:tcPr>
          <w:p>
            <w:pPr>
              <w:spacing w:after="0" w:line="205" w:lineRule="exact"/>
              <w:rPr>
                <w:sz w:val="20"/>
                <w:szCs w:val="20"/>
                <w:color w:val="auto"/>
              </w:rPr>
            </w:pPr>
            <w:r>
              <w:rPr>
                <w:rFonts w:ascii="Arial" w:cs="Arial" w:eastAsia="Arial" w:hAnsi="Arial"/>
                <w:sz w:val="18"/>
                <w:szCs w:val="18"/>
                <w:b w:val="1"/>
                <w:bCs w:val="1"/>
                <w:color w:val="auto"/>
              </w:rPr>
              <w:t>Balance as of December 31,</w:t>
            </w:r>
          </w:p>
        </w:tc>
        <w:tc>
          <w:tcPr>
            <w:tcW w:w="72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74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right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70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52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72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98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86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920" w:type="dxa"/>
            <w:vAlign w:val="bottom"/>
            <w:tcBorders>
              <w:top w:val="single" w:sz="8" w:color="auto"/>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r>
      <w:tr>
        <w:trPr>
          <w:trHeight w:val="234"/>
        </w:trPr>
        <w:tc>
          <w:tcPr>
            <w:tcW w:w="25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2019</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147,214</w:t>
            </w: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$ 409,446</w:t>
            </w:r>
          </w:p>
        </w:tc>
        <w:tc>
          <w:tcPr>
            <w:tcW w:w="220" w:type="dxa"/>
            <w:vAlign w:val="bottom"/>
            <w:tcBorders>
              <w:right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922</w:t>
            </w:r>
          </w:p>
        </w:tc>
        <w:tc>
          <w:tcPr>
            <w:tcW w:w="720" w:type="dxa"/>
            <w:vAlign w:val="bottom"/>
            <w:gridSpan w:val="2"/>
            <w:shd w:val="clear" w:color="auto" w:fill="CFF0FC"/>
          </w:tcPr>
          <w:p>
            <w:pPr>
              <w:jc w:val="right"/>
              <w:ind w:right="33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320" w:type="dxa"/>
            <w:vAlign w:val="bottom"/>
            <w:gridSpan w:val="2"/>
            <w:shd w:val="clear" w:color="auto" w:fill="CFF0FC"/>
          </w:tcPr>
          <w:p>
            <w:pPr>
              <w:ind w:left="22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357</w:t>
            </w:r>
          </w:p>
        </w:tc>
        <w:tc>
          <w:tcPr>
            <w:tcW w:w="2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w:t>
            </w:r>
          </w:p>
        </w:tc>
        <w:tc>
          <w:tcPr>
            <w:tcW w:w="140" w:type="dxa"/>
            <w:vAlign w:val="bottom"/>
            <w:shd w:val="clear" w:color="auto" w:fill="CFF0FC"/>
          </w:tcPr>
          <w:p>
            <w:pPr>
              <w:spacing w:after="0"/>
              <w:rPr>
                <w:sz w:val="20"/>
                <w:szCs w:val="20"/>
                <w:color w:val="auto"/>
              </w:rPr>
            </w:pPr>
          </w:p>
        </w:tc>
        <w:tc>
          <w:tcPr>
            <w:tcW w:w="240" w:type="dxa"/>
            <w:vAlign w:val="bottom"/>
            <w:gridSpan w:val="2"/>
            <w:shd w:val="clear" w:color="auto" w:fill="CFF0FC"/>
          </w:tcPr>
          <w:p>
            <w:pPr>
              <w:jc w:val="right"/>
              <w:ind w:right="7"/>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FF0FC"/>
          </w:tcPr>
          <w:p>
            <w:pPr>
              <w:jc w:val="right"/>
              <w:ind w:right="1"/>
              <w:spacing w:after="0"/>
              <w:rPr>
                <w:sz w:val="20"/>
                <w:szCs w:val="20"/>
                <w:color w:val="auto"/>
              </w:rPr>
            </w:pPr>
            <w:r>
              <w:rPr>
                <w:rFonts w:ascii="Arial" w:cs="Arial" w:eastAsia="Arial" w:hAnsi="Arial"/>
                <w:sz w:val="18"/>
                <w:szCs w:val="18"/>
                <w:color w:val="auto"/>
              </w:rPr>
              <w:t>(372,567)</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(372,187)</w:t>
            </w:r>
          </w:p>
        </w:tc>
      </w:tr>
      <w:tr>
        <w:trPr>
          <w:trHeight w:val="215"/>
        </w:trPr>
        <w:tc>
          <w:tcPr>
            <w:tcW w:w="2560" w:type="dxa"/>
            <w:vAlign w:val="bottom"/>
          </w:tcPr>
          <w:p>
            <w:pPr>
              <w:ind w:left="260"/>
              <w:spacing w:after="0"/>
              <w:rPr>
                <w:sz w:val="20"/>
                <w:szCs w:val="20"/>
                <w:color w:val="auto"/>
              </w:rPr>
            </w:pPr>
            <w:r>
              <w:rPr>
                <w:rFonts w:ascii="Arial" w:cs="Arial" w:eastAsia="Arial" w:hAnsi="Arial"/>
                <w:sz w:val="18"/>
                <w:szCs w:val="18"/>
                <w:color w:val="auto"/>
              </w:rPr>
              <w:t>Issuance of Series E</w:t>
            </w: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560" w:type="dxa"/>
            <w:vAlign w:val="bottom"/>
          </w:tcPr>
          <w:p>
            <w:pPr>
              <w:ind w:left="260"/>
              <w:spacing w:after="0"/>
              <w:rPr>
                <w:sz w:val="20"/>
                <w:szCs w:val="20"/>
                <w:color w:val="auto"/>
              </w:rPr>
            </w:pPr>
            <w:r>
              <w:rPr>
                <w:rFonts w:ascii="Arial" w:cs="Arial" w:eastAsia="Arial" w:hAnsi="Arial"/>
                <w:sz w:val="18"/>
                <w:szCs w:val="18"/>
                <w:color w:val="auto"/>
              </w:rPr>
              <w:t>redeemable convertible</w:t>
            </w: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560" w:type="dxa"/>
            <w:vAlign w:val="bottom"/>
          </w:tcPr>
          <w:p>
            <w:pPr>
              <w:ind w:left="340"/>
              <w:spacing w:after="0"/>
              <w:rPr>
                <w:sz w:val="20"/>
                <w:szCs w:val="20"/>
                <w:color w:val="auto"/>
              </w:rPr>
            </w:pPr>
            <w:r>
              <w:rPr>
                <w:rFonts w:ascii="Arial" w:cs="Arial" w:eastAsia="Arial" w:hAnsi="Arial"/>
                <w:sz w:val="18"/>
                <w:szCs w:val="18"/>
                <w:color w:val="auto"/>
              </w:rPr>
              <w:t>preferred stock, net of</w:t>
            </w: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2560" w:type="dxa"/>
            <w:vAlign w:val="bottom"/>
          </w:tcPr>
          <w:p>
            <w:pPr>
              <w:ind w:left="260"/>
              <w:spacing w:after="0"/>
              <w:rPr>
                <w:sz w:val="20"/>
                <w:szCs w:val="20"/>
                <w:color w:val="auto"/>
              </w:rPr>
            </w:pPr>
            <w:r>
              <w:rPr>
                <w:rFonts w:ascii="Arial" w:cs="Arial" w:eastAsia="Arial" w:hAnsi="Arial"/>
                <w:sz w:val="18"/>
                <w:szCs w:val="18"/>
                <w:color w:val="auto"/>
              </w:rPr>
              <w:t>issuance costs</w:t>
            </w:r>
          </w:p>
        </w:tc>
        <w:tc>
          <w:tcPr>
            <w:tcW w:w="720" w:type="dxa"/>
            <w:vAlign w:val="bottom"/>
          </w:tcPr>
          <w:p>
            <w:pPr>
              <w:jc w:val="right"/>
              <w:spacing w:after="0"/>
              <w:rPr>
                <w:sz w:val="20"/>
                <w:szCs w:val="20"/>
                <w:color w:val="auto"/>
              </w:rPr>
            </w:pPr>
            <w:r>
              <w:rPr>
                <w:rFonts w:ascii="Arial" w:cs="Arial" w:eastAsia="Arial" w:hAnsi="Arial"/>
                <w:sz w:val="18"/>
                <w:szCs w:val="18"/>
                <w:color w:val="auto"/>
              </w:rPr>
              <w:t>57,782</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126,758</w:t>
            </w:r>
          </w:p>
        </w:tc>
        <w:tc>
          <w:tcPr>
            <w:tcW w:w="2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gridSpan w:val="2"/>
          </w:tcPr>
          <w:p>
            <w:pPr>
              <w:jc w:val="right"/>
              <w:ind w:right="8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r>
      <w:tr>
        <w:trPr>
          <w:trHeight w:val="215"/>
        </w:trPr>
        <w:tc>
          <w:tcPr>
            <w:tcW w:w="2560" w:type="dxa"/>
            <w:vAlign w:val="bottom"/>
            <w:shd w:val="clear" w:color="auto" w:fill="CFF0FC"/>
          </w:tcPr>
          <w:p>
            <w:pPr>
              <w:ind w:left="260"/>
              <w:spacing w:after="0"/>
              <w:rPr>
                <w:sz w:val="20"/>
                <w:szCs w:val="20"/>
                <w:color w:val="auto"/>
              </w:rPr>
            </w:pPr>
            <w:r>
              <w:rPr>
                <w:rFonts w:ascii="Arial" w:cs="Arial" w:eastAsia="Arial" w:hAnsi="Arial"/>
                <w:sz w:val="18"/>
                <w:szCs w:val="18"/>
                <w:color w:val="auto"/>
                <w:w w:val="95"/>
              </w:rPr>
              <w:t>Issuance of common stock on</w:t>
            </w:r>
          </w:p>
        </w:tc>
        <w:tc>
          <w:tcPr>
            <w:tcW w:w="7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20" w:type="dxa"/>
            <w:vAlign w:val="bottom"/>
            <w:tcBorders>
              <w:right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16"/>
        </w:trPr>
        <w:tc>
          <w:tcPr>
            <w:tcW w:w="2560" w:type="dxa"/>
            <w:vAlign w:val="bottom"/>
            <w:shd w:val="clear" w:color="auto" w:fill="CFF0FC"/>
          </w:tcPr>
          <w:p>
            <w:pPr>
              <w:ind w:left="340"/>
              <w:spacing w:after="0"/>
              <w:rPr>
                <w:sz w:val="20"/>
                <w:szCs w:val="20"/>
                <w:color w:val="auto"/>
              </w:rPr>
            </w:pPr>
            <w:r>
              <w:rPr>
                <w:rFonts w:ascii="Arial" w:cs="Arial" w:eastAsia="Arial" w:hAnsi="Arial"/>
                <w:sz w:val="18"/>
                <w:szCs w:val="18"/>
                <w:color w:val="auto"/>
              </w:rPr>
              <w:t>settlement of accrued</w:t>
            </w:r>
          </w:p>
        </w:tc>
        <w:tc>
          <w:tcPr>
            <w:tcW w:w="7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20" w:type="dxa"/>
            <w:vAlign w:val="bottom"/>
            <w:tcBorders>
              <w:right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30"/>
        </w:trPr>
        <w:tc>
          <w:tcPr>
            <w:tcW w:w="25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dividend</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right w:val="single" w:sz="8" w:color="auto"/>
            </w:tcBorders>
            <w:gridSpan w:val="3"/>
            <w:shd w:val="clear" w:color="auto" w:fill="CFF0FC"/>
          </w:tcPr>
          <w:p>
            <w:pPr>
              <w:jc w:val="right"/>
              <w:ind w:right="160"/>
              <w:spacing w:after="0"/>
              <w:rPr>
                <w:sz w:val="20"/>
                <w:szCs w:val="20"/>
                <w:color w:val="auto"/>
              </w:rPr>
            </w:pPr>
            <w:r>
              <w:rPr>
                <w:rFonts w:ascii="Arial" w:cs="Arial" w:eastAsia="Arial" w:hAnsi="Arial"/>
                <w:sz w:val="18"/>
                <w:szCs w:val="18"/>
                <w:color w:val="auto"/>
              </w:rPr>
              <w:t>(41,763)</w:t>
            </w:r>
          </w:p>
        </w:tc>
        <w:tc>
          <w:tcPr>
            <w:tcW w:w="100" w:type="dxa"/>
            <w:vAlign w:val="bottom"/>
            <w:shd w:val="clear" w:color="auto" w:fill="CFF0FC"/>
          </w:tcPr>
          <w:p>
            <w:pPr>
              <w:spacing w:after="0"/>
              <w:rPr>
                <w:sz w:val="20"/>
                <w:szCs w:val="20"/>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4,850</w:t>
            </w:r>
          </w:p>
        </w:tc>
        <w:tc>
          <w:tcPr>
            <w:tcW w:w="200" w:type="dxa"/>
            <w:vAlign w:val="bottom"/>
            <w:shd w:val="clear" w:color="auto" w:fill="CFF0FC"/>
          </w:tcPr>
          <w:p>
            <w:pPr>
              <w:spacing w:after="0"/>
              <w:rPr>
                <w:sz w:val="20"/>
                <w:szCs w:val="20"/>
                <w:color w:val="auto"/>
              </w:rPr>
            </w:pPr>
          </w:p>
        </w:tc>
        <w:tc>
          <w:tcPr>
            <w:tcW w:w="520" w:type="dxa"/>
            <w:vAlign w:val="bottom"/>
            <w:shd w:val="clear" w:color="auto" w:fill="CFF0FC"/>
          </w:tcPr>
          <w:p>
            <w:pPr>
              <w:spacing w:after="0"/>
              <w:rPr>
                <w:sz w:val="20"/>
                <w:szCs w:val="20"/>
                <w:color w:val="auto"/>
              </w:rPr>
            </w:pP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41,758</w:t>
            </w:r>
          </w:p>
        </w:tc>
        <w:tc>
          <w:tcPr>
            <w:tcW w:w="2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81"/>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41,763</w:t>
            </w:r>
          </w:p>
        </w:tc>
        <w:tc>
          <w:tcPr>
            <w:tcW w:w="80" w:type="dxa"/>
            <w:vAlign w:val="bottom"/>
            <w:shd w:val="clear" w:color="auto" w:fill="CFF0FC"/>
          </w:tcPr>
          <w:p>
            <w:pPr>
              <w:spacing w:after="0"/>
              <w:rPr>
                <w:sz w:val="20"/>
                <w:szCs w:val="20"/>
                <w:color w:val="auto"/>
              </w:rPr>
            </w:pPr>
          </w:p>
        </w:tc>
      </w:tr>
      <w:tr>
        <w:trPr>
          <w:trHeight w:val="215"/>
        </w:trPr>
        <w:tc>
          <w:tcPr>
            <w:tcW w:w="2560" w:type="dxa"/>
            <w:vAlign w:val="bottom"/>
          </w:tcPr>
          <w:p>
            <w:pPr>
              <w:ind w:left="260"/>
              <w:spacing w:after="0"/>
              <w:rPr>
                <w:sz w:val="20"/>
                <w:szCs w:val="20"/>
                <w:color w:val="auto"/>
              </w:rPr>
            </w:pPr>
            <w:r>
              <w:rPr>
                <w:rFonts w:ascii="Arial" w:cs="Arial" w:eastAsia="Arial" w:hAnsi="Arial"/>
                <w:sz w:val="18"/>
                <w:szCs w:val="18"/>
                <w:color w:val="auto"/>
              </w:rPr>
              <w:t>Deemed dividend on</w:t>
            </w: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560" w:type="dxa"/>
            <w:vAlign w:val="bottom"/>
          </w:tcPr>
          <w:p>
            <w:pPr>
              <w:ind w:left="260"/>
              <w:spacing w:after="0"/>
              <w:rPr>
                <w:sz w:val="20"/>
                <w:szCs w:val="20"/>
                <w:color w:val="auto"/>
              </w:rPr>
            </w:pPr>
            <w:r>
              <w:rPr>
                <w:rFonts w:ascii="Arial" w:cs="Arial" w:eastAsia="Arial" w:hAnsi="Arial"/>
                <w:sz w:val="18"/>
                <w:szCs w:val="18"/>
                <w:color w:val="auto"/>
              </w:rPr>
              <w:t>settlement of</w:t>
            </w: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2560" w:type="dxa"/>
            <w:vAlign w:val="bottom"/>
          </w:tcPr>
          <w:p>
            <w:pPr>
              <w:ind w:left="340"/>
              <w:spacing w:after="0"/>
              <w:rPr>
                <w:sz w:val="20"/>
                <w:szCs w:val="20"/>
                <w:color w:val="auto"/>
              </w:rPr>
            </w:pPr>
            <w:r>
              <w:rPr>
                <w:rFonts w:ascii="Arial" w:cs="Arial" w:eastAsia="Arial" w:hAnsi="Arial"/>
                <w:sz w:val="18"/>
                <w:szCs w:val="18"/>
                <w:color w:val="auto"/>
              </w:rPr>
              <w:t>accrued dividend</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right w:val="single" w:sz="8" w:color="auto"/>
            </w:tcBorders>
            <w:gridSpan w:val="3"/>
          </w:tcPr>
          <w:p>
            <w:pPr>
              <w:jc w:val="right"/>
              <w:ind w:right="160"/>
              <w:spacing w:after="0"/>
              <w:rPr>
                <w:sz w:val="20"/>
                <w:szCs w:val="20"/>
                <w:color w:val="auto"/>
              </w:rPr>
            </w:pPr>
            <w:r>
              <w:rPr>
                <w:rFonts w:ascii="Arial" w:cs="Arial" w:eastAsia="Arial" w:hAnsi="Arial"/>
                <w:sz w:val="18"/>
                <w:szCs w:val="18"/>
                <w:color w:val="auto"/>
              </w:rPr>
              <w:t>(42,530)</w:t>
            </w: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42,530</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gridSpan w:val="2"/>
          </w:tcPr>
          <w:p>
            <w:pPr>
              <w:jc w:val="right"/>
              <w:ind w:right="8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42,530</w:t>
            </w:r>
          </w:p>
        </w:tc>
        <w:tc>
          <w:tcPr>
            <w:tcW w:w="80" w:type="dxa"/>
            <w:vAlign w:val="bottom"/>
          </w:tcPr>
          <w:p>
            <w:pPr>
              <w:spacing w:after="0"/>
              <w:rPr>
                <w:sz w:val="20"/>
                <w:szCs w:val="20"/>
                <w:color w:val="auto"/>
              </w:rPr>
            </w:pPr>
          </w:p>
        </w:tc>
      </w:tr>
      <w:tr>
        <w:trPr>
          <w:trHeight w:val="230"/>
        </w:trPr>
        <w:tc>
          <w:tcPr>
            <w:tcW w:w="25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Stock option exercises</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960" w:type="dxa"/>
            <w:vAlign w:val="bottom"/>
            <w:tcBorders>
              <w:right w:val="single" w:sz="8" w:color="auto"/>
            </w:tcBorders>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20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81"/>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80" w:type="dxa"/>
            <w:vAlign w:val="bottom"/>
            <w:shd w:val="clear" w:color="auto" w:fill="CFF0FC"/>
          </w:tcPr>
          <w:p>
            <w:pPr>
              <w:spacing w:after="0"/>
              <w:rPr>
                <w:sz w:val="19"/>
                <w:szCs w:val="19"/>
                <w:color w:val="auto"/>
              </w:rPr>
            </w:pPr>
          </w:p>
        </w:tc>
      </w:tr>
      <w:tr>
        <w:trPr>
          <w:trHeight w:val="215"/>
        </w:trPr>
        <w:tc>
          <w:tcPr>
            <w:tcW w:w="2560" w:type="dxa"/>
            <w:vAlign w:val="bottom"/>
          </w:tcPr>
          <w:p>
            <w:pPr>
              <w:ind w:left="260"/>
              <w:spacing w:after="0"/>
              <w:rPr>
                <w:sz w:val="20"/>
                <w:szCs w:val="20"/>
                <w:color w:val="auto"/>
              </w:rPr>
            </w:pPr>
            <w:r>
              <w:rPr>
                <w:rFonts w:ascii="Arial" w:cs="Arial" w:eastAsia="Arial" w:hAnsi="Arial"/>
                <w:sz w:val="18"/>
                <w:szCs w:val="18"/>
                <w:color w:val="auto"/>
              </w:rPr>
              <w:t>Stock-based compensation</w:t>
            </w: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2560" w:type="dxa"/>
            <w:vAlign w:val="bottom"/>
          </w:tcPr>
          <w:p>
            <w:pPr>
              <w:ind w:left="260"/>
              <w:spacing w:after="0"/>
              <w:rPr>
                <w:sz w:val="20"/>
                <w:szCs w:val="20"/>
                <w:color w:val="auto"/>
              </w:rPr>
            </w:pPr>
            <w:r>
              <w:rPr>
                <w:rFonts w:ascii="Arial" w:cs="Arial" w:eastAsia="Arial" w:hAnsi="Arial"/>
                <w:sz w:val="18"/>
                <w:szCs w:val="18"/>
                <w:color w:val="auto"/>
              </w:rPr>
              <w:t>expense</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96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580</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gridSpan w:val="2"/>
          </w:tcPr>
          <w:p>
            <w:pPr>
              <w:jc w:val="right"/>
              <w:ind w:right="8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580</w:t>
            </w:r>
          </w:p>
        </w:tc>
        <w:tc>
          <w:tcPr>
            <w:tcW w:w="80" w:type="dxa"/>
            <w:vAlign w:val="bottom"/>
          </w:tcPr>
          <w:p>
            <w:pPr>
              <w:spacing w:after="0"/>
              <w:rPr>
                <w:sz w:val="20"/>
                <w:szCs w:val="20"/>
                <w:color w:val="auto"/>
              </w:rPr>
            </w:pPr>
          </w:p>
        </w:tc>
      </w:tr>
      <w:tr>
        <w:trPr>
          <w:trHeight w:val="215"/>
        </w:trPr>
        <w:tc>
          <w:tcPr>
            <w:tcW w:w="2560" w:type="dxa"/>
            <w:vAlign w:val="bottom"/>
            <w:shd w:val="clear" w:color="auto" w:fill="CFF0FC"/>
          </w:tcPr>
          <w:p>
            <w:pPr>
              <w:ind w:left="260"/>
              <w:spacing w:after="0"/>
              <w:rPr>
                <w:sz w:val="20"/>
                <w:szCs w:val="20"/>
                <w:color w:val="auto"/>
              </w:rPr>
            </w:pPr>
            <w:r>
              <w:rPr>
                <w:rFonts w:ascii="Arial" w:cs="Arial" w:eastAsia="Arial" w:hAnsi="Arial"/>
                <w:sz w:val="18"/>
                <w:szCs w:val="18"/>
                <w:color w:val="auto"/>
                <w:w w:val="99"/>
              </w:rPr>
              <w:t>Unrealized loss on available-</w:t>
            </w:r>
          </w:p>
        </w:tc>
        <w:tc>
          <w:tcPr>
            <w:tcW w:w="7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20" w:type="dxa"/>
            <w:vAlign w:val="bottom"/>
            <w:tcBorders>
              <w:right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16"/>
        </w:trPr>
        <w:tc>
          <w:tcPr>
            <w:tcW w:w="25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for-sale</w:t>
            </w:r>
          </w:p>
        </w:tc>
        <w:tc>
          <w:tcPr>
            <w:tcW w:w="7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20" w:type="dxa"/>
            <w:vAlign w:val="bottom"/>
            <w:tcBorders>
              <w:right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30"/>
        </w:trPr>
        <w:tc>
          <w:tcPr>
            <w:tcW w:w="2560" w:type="dxa"/>
            <w:vAlign w:val="bottom"/>
            <w:shd w:val="clear" w:color="auto" w:fill="CFF0FC"/>
          </w:tcPr>
          <w:p>
            <w:pPr>
              <w:ind w:left="340"/>
              <w:spacing w:after="0"/>
              <w:rPr>
                <w:sz w:val="20"/>
                <w:szCs w:val="20"/>
                <w:color w:val="auto"/>
              </w:rPr>
            </w:pPr>
            <w:r>
              <w:rPr>
                <w:rFonts w:ascii="Arial" w:cs="Arial" w:eastAsia="Arial" w:hAnsi="Arial"/>
                <w:sz w:val="18"/>
                <w:szCs w:val="18"/>
                <w:color w:val="auto"/>
              </w:rPr>
              <w:t>securities</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0"/>
                <w:szCs w:val="20"/>
                <w:color w:val="auto"/>
              </w:rPr>
            </w:pPr>
          </w:p>
        </w:tc>
        <w:tc>
          <w:tcPr>
            <w:tcW w:w="960" w:type="dxa"/>
            <w:vAlign w:val="bottom"/>
            <w:tcBorders>
              <w:right w:val="single" w:sz="8" w:color="auto"/>
            </w:tcBorders>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0"/>
                <w:szCs w:val="20"/>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0"/>
                <w:szCs w:val="20"/>
                <w:color w:val="auto"/>
              </w:rPr>
            </w:pPr>
          </w:p>
        </w:tc>
        <w:tc>
          <w:tcPr>
            <w:tcW w:w="520" w:type="dxa"/>
            <w:vAlign w:val="bottom"/>
            <w:shd w:val="clear" w:color="auto" w:fill="CFF0FC"/>
          </w:tcPr>
          <w:p>
            <w:pPr>
              <w:spacing w:after="0"/>
              <w:rPr>
                <w:sz w:val="20"/>
                <w:szCs w:val="20"/>
                <w:color w:val="auto"/>
              </w:rPr>
            </w:pP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9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(35)</w:t>
            </w:r>
          </w:p>
        </w:tc>
        <w:tc>
          <w:tcPr>
            <w:tcW w:w="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81"/>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(35)</w:t>
            </w:r>
          </w:p>
        </w:tc>
      </w:tr>
      <w:tr>
        <w:trPr>
          <w:trHeight w:val="215"/>
        </w:trPr>
        <w:tc>
          <w:tcPr>
            <w:tcW w:w="2560" w:type="dxa"/>
            <w:vAlign w:val="bottom"/>
          </w:tcPr>
          <w:p>
            <w:pPr>
              <w:ind w:left="260"/>
              <w:spacing w:after="0"/>
              <w:rPr>
                <w:sz w:val="20"/>
                <w:szCs w:val="20"/>
                <w:color w:val="auto"/>
              </w:rPr>
            </w:pPr>
            <w:r>
              <w:rPr>
                <w:rFonts w:ascii="Arial" w:cs="Arial" w:eastAsia="Arial" w:hAnsi="Arial"/>
                <w:sz w:val="18"/>
                <w:szCs w:val="18"/>
                <w:color w:val="auto"/>
              </w:rPr>
              <w:t>Adjustment to redemption</w:t>
            </w: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560" w:type="dxa"/>
            <w:vAlign w:val="bottom"/>
          </w:tcPr>
          <w:p>
            <w:pPr>
              <w:ind w:left="260"/>
              <w:spacing w:after="0"/>
              <w:rPr>
                <w:sz w:val="20"/>
                <w:szCs w:val="20"/>
                <w:color w:val="auto"/>
              </w:rPr>
            </w:pPr>
            <w:r>
              <w:rPr>
                <w:rFonts w:ascii="Arial" w:cs="Arial" w:eastAsia="Arial" w:hAnsi="Arial"/>
                <w:sz w:val="18"/>
                <w:szCs w:val="18"/>
                <w:color w:val="auto"/>
              </w:rPr>
              <w:t>value on</w:t>
            </w: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560" w:type="dxa"/>
            <w:vAlign w:val="bottom"/>
          </w:tcPr>
          <w:p>
            <w:pPr>
              <w:ind w:left="340"/>
              <w:spacing w:after="0"/>
              <w:rPr>
                <w:sz w:val="20"/>
                <w:szCs w:val="20"/>
                <w:color w:val="auto"/>
              </w:rPr>
            </w:pPr>
            <w:r>
              <w:rPr>
                <w:rFonts w:ascii="Arial" w:cs="Arial" w:eastAsia="Arial" w:hAnsi="Arial"/>
                <w:sz w:val="18"/>
                <w:szCs w:val="18"/>
                <w:color w:val="auto"/>
              </w:rPr>
              <w:t>redeemable convertible</w:t>
            </w: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2560" w:type="dxa"/>
            <w:vAlign w:val="bottom"/>
          </w:tcPr>
          <w:p>
            <w:pPr>
              <w:ind w:left="260"/>
              <w:spacing w:after="0"/>
              <w:rPr>
                <w:sz w:val="20"/>
                <w:szCs w:val="20"/>
                <w:color w:val="auto"/>
              </w:rPr>
            </w:pPr>
            <w:r>
              <w:rPr>
                <w:rFonts w:ascii="Arial" w:cs="Arial" w:eastAsia="Arial" w:hAnsi="Arial"/>
                <w:sz w:val="18"/>
                <w:szCs w:val="18"/>
                <w:color w:val="auto"/>
              </w:rPr>
              <w:t>preferred stock</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362</w:t>
            </w:r>
          </w:p>
        </w:tc>
        <w:tc>
          <w:tcPr>
            <w:tcW w:w="2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(362)</w:t>
            </w:r>
          </w:p>
        </w:tc>
        <w:tc>
          <w:tcPr>
            <w:tcW w:w="22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gridSpan w:val="2"/>
          </w:tcPr>
          <w:p>
            <w:pPr>
              <w:jc w:val="right"/>
              <w:ind w:right="8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(362)</w:t>
            </w:r>
          </w:p>
        </w:tc>
      </w:tr>
      <w:tr>
        <w:trPr>
          <w:trHeight w:val="229"/>
        </w:trPr>
        <w:tc>
          <w:tcPr>
            <w:tcW w:w="25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Net loss</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960" w:type="dxa"/>
            <w:vAlign w:val="bottom"/>
            <w:tcBorders>
              <w:right w:val="single" w:sz="8" w:color="auto"/>
            </w:tcBorders>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
              <w:spacing w:after="0"/>
              <w:rPr>
                <w:sz w:val="20"/>
                <w:szCs w:val="20"/>
                <w:color w:val="auto"/>
              </w:rPr>
            </w:pPr>
            <w:r>
              <w:rPr>
                <w:rFonts w:ascii="Arial" w:cs="Arial" w:eastAsia="Arial" w:hAnsi="Arial"/>
                <w:sz w:val="18"/>
                <w:szCs w:val="18"/>
                <w:color w:val="auto"/>
              </w:rPr>
              <w:t>(20,650)</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(20,650)</w:t>
            </w:r>
          </w:p>
        </w:tc>
      </w:tr>
      <w:tr>
        <w:trPr>
          <w:trHeight w:val="223"/>
        </w:trPr>
        <w:tc>
          <w:tcPr>
            <w:tcW w:w="2560" w:type="dxa"/>
            <w:vAlign w:val="bottom"/>
          </w:tcPr>
          <w:p>
            <w:pPr>
              <w:spacing w:after="0"/>
              <w:rPr>
                <w:sz w:val="20"/>
                <w:szCs w:val="20"/>
                <w:color w:val="auto"/>
              </w:rPr>
            </w:pPr>
            <w:r>
              <w:rPr>
                <w:rFonts w:ascii="Arial" w:cs="Arial" w:eastAsia="Arial" w:hAnsi="Arial"/>
                <w:sz w:val="18"/>
                <w:szCs w:val="18"/>
                <w:b w:val="1"/>
                <w:bCs w:val="1"/>
                <w:color w:val="auto"/>
              </w:rPr>
              <w:t>Balance as of March 31, 2020</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204,996</w:t>
            </w:r>
          </w:p>
        </w:tc>
        <w:tc>
          <w:tcPr>
            <w:tcW w:w="200" w:type="dxa"/>
            <w:vAlign w:val="bottom"/>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$ 452,273</w:t>
            </w:r>
          </w:p>
        </w:tc>
        <w:tc>
          <w:tcPr>
            <w:tcW w:w="2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5,776</w:t>
            </w:r>
          </w:p>
        </w:tc>
        <w:tc>
          <w:tcPr>
            <w:tcW w:w="200" w:type="dxa"/>
            <w:vAlign w:val="bottom"/>
          </w:tcPr>
          <w:p>
            <w:pPr>
              <w:spacing w:after="0"/>
              <w:rPr>
                <w:sz w:val="19"/>
                <w:szCs w:val="19"/>
                <w:color w:val="auto"/>
              </w:rPr>
            </w:pPr>
          </w:p>
        </w:tc>
        <w:tc>
          <w:tcPr>
            <w:tcW w:w="52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color w:val="auto"/>
                <w:w w:val="79"/>
              </w:rPr>
              <w:t>$</w:t>
            </w: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84,877</w:t>
            </w:r>
          </w:p>
        </w:tc>
        <w:tc>
          <w:tcPr>
            <w:tcW w:w="220" w:type="dxa"/>
            <w:vAlign w:val="bottom"/>
          </w:tcPr>
          <w:p>
            <w:pPr>
              <w:spacing w:after="0"/>
              <w:rPr>
                <w:sz w:val="19"/>
                <w:szCs w:val="19"/>
                <w:color w:val="auto"/>
              </w:rPr>
            </w:pPr>
          </w:p>
        </w:tc>
        <w:tc>
          <w:tcPr>
            <w:tcW w:w="2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top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(393,217)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(308,347)</w:t>
            </w:r>
          </w:p>
        </w:tc>
        <w:tc>
          <w:tcPr>
            <w:tcW w:w="80" w:type="dxa"/>
            <w:vAlign w:val="bottom"/>
          </w:tcPr>
          <w:p>
            <w:pPr>
              <w:spacing w:after="0"/>
              <w:rPr>
                <w:sz w:val="19"/>
                <w:szCs w:val="19"/>
                <w:color w:val="auto"/>
              </w:rPr>
            </w:pPr>
          </w:p>
        </w:tc>
      </w:tr>
      <w:tr>
        <w:trPr>
          <w:trHeight w:val="229"/>
        </w:trPr>
        <w:tc>
          <w:tcPr>
            <w:tcW w:w="25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Stock option exercises</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960" w:type="dxa"/>
            <w:vAlign w:val="bottom"/>
            <w:tcBorders>
              <w:right w:val="single" w:sz="8" w:color="auto"/>
            </w:tcBorders>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w:t>
            </w:r>
          </w:p>
        </w:tc>
        <w:tc>
          <w:tcPr>
            <w:tcW w:w="20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81"/>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w:t>
            </w:r>
          </w:p>
        </w:tc>
        <w:tc>
          <w:tcPr>
            <w:tcW w:w="80" w:type="dxa"/>
            <w:vAlign w:val="bottom"/>
            <w:shd w:val="clear" w:color="auto" w:fill="CFF0FC"/>
          </w:tcPr>
          <w:p>
            <w:pPr>
              <w:spacing w:after="0"/>
              <w:rPr>
                <w:sz w:val="19"/>
                <w:szCs w:val="19"/>
                <w:color w:val="auto"/>
              </w:rPr>
            </w:pPr>
          </w:p>
        </w:tc>
      </w:tr>
      <w:tr>
        <w:trPr>
          <w:trHeight w:val="215"/>
        </w:trPr>
        <w:tc>
          <w:tcPr>
            <w:tcW w:w="2560" w:type="dxa"/>
            <w:vAlign w:val="bottom"/>
          </w:tcPr>
          <w:p>
            <w:pPr>
              <w:ind w:left="260"/>
              <w:spacing w:after="0"/>
              <w:rPr>
                <w:sz w:val="20"/>
                <w:szCs w:val="20"/>
                <w:color w:val="auto"/>
              </w:rPr>
            </w:pPr>
            <w:r>
              <w:rPr>
                <w:rFonts w:ascii="Arial" w:cs="Arial" w:eastAsia="Arial" w:hAnsi="Arial"/>
                <w:sz w:val="18"/>
                <w:szCs w:val="18"/>
                <w:color w:val="auto"/>
              </w:rPr>
              <w:t>Stock-based compensation</w:t>
            </w: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2560" w:type="dxa"/>
            <w:vAlign w:val="bottom"/>
          </w:tcPr>
          <w:p>
            <w:pPr>
              <w:ind w:left="260"/>
              <w:spacing w:after="0"/>
              <w:rPr>
                <w:sz w:val="20"/>
                <w:szCs w:val="20"/>
                <w:color w:val="auto"/>
              </w:rPr>
            </w:pPr>
            <w:r>
              <w:rPr>
                <w:rFonts w:ascii="Arial" w:cs="Arial" w:eastAsia="Arial" w:hAnsi="Arial"/>
                <w:sz w:val="18"/>
                <w:szCs w:val="18"/>
                <w:color w:val="auto"/>
              </w:rPr>
              <w:t>expense</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96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683</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gridSpan w:val="2"/>
          </w:tcPr>
          <w:p>
            <w:pPr>
              <w:jc w:val="right"/>
              <w:ind w:right="8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683</w:t>
            </w:r>
          </w:p>
        </w:tc>
        <w:tc>
          <w:tcPr>
            <w:tcW w:w="80" w:type="dxa"/>
            <w:vAlign w:val="bottom"/>
          </w:tcPr>
          <w:p>
            <w:pPr>
              <w:spacing w:after="0"/>
              <w:rPr>
                <w:sz w:val="20"/>
                <w:szCs w:val="20"/>
                <w:color w:val="auto"/>
              </w:rPr>
            </w:pPr>
          </w:p>
        </w:tc>
      </w:tr>
      <w:tr>
        <w:trPr>
          <w:trHeight w:val="215"/>
        </w:trPr>
        <w:tc>
          <w:tcPr>
            <w:tcW w:w="2560" w:type="dxa"/>
            <w:vAlign w:val="bottom"/>
            <w:shd w:val="clear" w:color="auto" w:fill="CFF0FC"/>
          </w:tcPr>
          <w:p>
            <w:pPr>
              <w:ind w:left="260"/>
              <w:spacing w:after="0"/>
              <w:rPr>
                <w:sz w:val="20"/>
                <w:szCs w:val="20"/>
                <w:color w:val="auto"/>
              </w:rPr>
            </w:pPr>
            <w:r>
              <w:rPr>
                <w:rFonts w:ascii="Arial" w:cs="Arial" w:eastAsia="Arial" w:hAnsi="Arial"/>
                <w:sz w:val="18"/>
                <w:szCs w:val="18"/>
                <w:color w:val="auto"/>
                <w:w w:val="98"/>
              </w:rPr>
              <w:t>Unrealized gain on available-</w:t>
            </w:r>
          </w:p>
        </w:tc>
        <w:tc>
          <w:tcPr>
            <w:tcW w:w="7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20" w:type="dxa"/>
            <w:vAlign w:val="bottom"/>
            <w:tcBorders>
              <w:right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16"/>
        </w:trPr>
        <w:tc>
          <w:tcPr>
            <w:tcW w:w="25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for-sale</w:t>
            </w:r>
          </w:p>
        </w:tc>
        <w:tc>
          <w:tcPr>
            <w:tcW w:w="7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20" w:type="dxa"/>
            <w:vAlign w:val="bottom"/>
            <w:tcBorders>
              <w:right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30"/>
        </w:trPr>
        <w:tc>
          <w:tcPr>
            <w:tcW w:w="2560" w:type="dxa"/>
            <w:vAlign w:val="bottom"/>
            <w:shd w:val="clear" w:color="auto" w:fill="CFF0FC"/>
          </w:tcPr>
          <w:p>
            <w:pPr>
              <w:ind w:left="340"/>
              <w:spacing w:after="0"/>
              <w:rPr>
                <w:sz w:val="20"/>
                <w:szCs w:val="20"/>
                <w:color w:val="auto"/>
              </w:rPr>
            </w:pPr>
            <w:r>
              <w:rPr>
                <w:rFonts w:ascii="Arial" w:cs="Arial" w:eastAsia="Arial" w:hAnsi="Arial"/>
                <w:sz w:val="18"/>
                <w:szCs w:val="18"/>
                <w:color w:val="auto"/>
              </w:rPr>
              <w:t>securities</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0"/>
                <w:szCs w:val="20"/>
                <w:color w:val="auto"/>
              </w:rPr>
            </w:pPr>
          </w:p>
        </w:tc>
        <w:tc>
          <w:tcPr>
            <w:tcW w:w="960" w:type="dxa"/>
            <w:vAlign w:val="bottom"/>
            <w:tcBorders>
              <w:right w:val="single" w:sz="8" w:color="auto"/>
            </w:tcBorders>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0"/>
                <w:szCs w:val="20"/>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0"/>
                <w:szCs w:val="20"/>
                <w:color w:val="auto"/>
              </w:rPr>
            </w:pPr>
          </w:p>
        </w:tc>
        <w:tc>
          <w:tcPr>
            <w:tcW w:w="520" w:type="dxa"/>
            <w:vAlign w:val="bottom"/>
            <w:shd w:val="clear" w:color="auto" w:fill="CFF0FC"/>
          </w:tcPr>
          <w:p>
            <w:pPr>
              <w:spacing w:after="0"/>
              <w:rPr>
                <w:sz w:val="20"/>
                <w:szCs w:val="20"/>
                <w:color w:val="auto"/>
              </w:rPr>
            </w:pP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9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81"/>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80" w:type="dxa"/>
            <w:vAlign w:val="bottom"/>
            <w:shd w:val="clear" w:color="auto" w:fill="CFF0FC"/>
          </w:tcPr>
          <w:p>
            <w:pPr>
              <w:spacing w:after="0"/>
              <w:rPr>
                <w:sz w:val="20"/>
                <w:szCs w:val="20"/>
                <w:color w:val="auto"/>
              </w:rPr>
            </w:pPr>
          </w:p>
        </w:tc>
      </w:tr>
      <w:tr>
        <w:trPr>
          <w:trHeight w:val="230"/>
        </w:trPr>
        <w:tc>
          <w:tcPr>
            <w:tcW w:w="2560" w:type="dxa"/>
            <w:vAlign w:val="bottom"/>
          </w:tcPr>
          <w:p>
            <w:pPr>
              <w:ind w:left="260"/>
              <w:spacing w:after="0"/>
              <w:rPr>
                <w:sz w:val="20"/>
                <w:szCs w:val="20"/>
                <w:color w:val="auto"/>
              </w:rPr>
            </w:pPr>
            <w:r>
              <w:rPr>
                <w:rFonts w:ascii="Arial" w:cs="Arial" w:eastAsia="Arial" w:hAnsi="Arial"/>
                <w:sz w:val="18"/>
                <w:szCs w:val="18"/>
                <w:color w:val="auto"/>
              </w:rPr>
              <w:t>Net loss</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6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gridSpan w:val="2"/>
          </w:tcPr>
          <w:p>
            <w:pPr>
              <w:jc w:val="right"/>
              <w:ind w:right="1"/>
              <w:spacing w:after="0"/>
              <w:rPr>
                <w:sz w:val="20"/>
                <w:szCs w:val="20"/>
                <w:color w:val="auto"/>
              </w:rPr>
            </w:pPr>
            <w:r>
              <w:rPr>
                <w:rFonts w:ascii="Arial" w:cs="Arial" w:eastAsia="Arial" w:hAnsi="Arial"/>
                <w:sz w:val="18"/>
                <w:szCs w:val="18"/>
                <w:color w:val="auto"/>
              </w:rPr>
              <w:t>(26,505)</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(26,505)</w:t>
            </w:r>
          </w:p>
        </w:tc>
      </w:tr>
      <w:tr>
        <w:trPr>
          <w:trHeight w:val="223"/>
        </w:trPr>
        <w:tc>
          <w:tcPr>
            <w:tcW w:w="25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Balance as of June 30, 2020</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204,996</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7"/>
              </w:rPr>
              <w:t>$ 452,273</w:t>
            </w:r>
          </w:p>
        </w:tc>
        <w:tc>
          <w:tcPr>
            <w:tcW w:w="220" w:type="dxa"/>
            <w:vAlign w:val="bottom"/>
            <w:tcBorders>
              <w:top w:val="single" w:sz="8" w:color="CFF0FC"/>
              <w:bottom w:val="single" w:sz="8" w:color="CFF0FC"/>
              <w:right w:val="single" w:sz="8" w:color="auto"/>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5,802</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520" w:type="dxa"/>
            <w:vAlign w:val="bottom"/>
            <w:tcBorders>
              <w:top w:val="single" w:sz="8" w:color="auto"/>
              <w:bottom w:val="single" w:sz="8" w:color="auto"/>
            </w:tcBorders>
            <w:shd w:val="clear" w:color="auto" w:fill="CFF0FC"/>
          </w:tcPr>
          <w:p>
            <w:pPr>
              <w:jc w:val="right"/>
              <w:ind w:right="330"/>
              <w:spacing w:after="0"/>
              <w:rPr>
                <w:sz w:val="20"/>
                <w:szCs w:val="20"/>
                <w:color w:val="auto"/>
              </w:rPr>
            </w:pPr>
            <w:r>
              <w:rPr>
                <w:rFonts w:ascii="Arial" w:cs="Arial" w:eastAsia="Arial" w:hAnsi="Arial"/>
                <w:sz w:val="18"/>
                <w:szCs w:val="18"/>
                <w:color w:val="auto"/>
                <w:w w:val="79"/>
              </w:rPr>
              <w:t>$</w:t>
            </w:r>
          </w:p>
        </w:tc>
        <w:tc>
          <w:tcPr>
            <w:tcW w:w="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85,640</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(419,722</w:t>
            </w:r>
          </w:p>
        </w:tc>
        <w:tc>
          <w:tcPr>
            <w:tcW w:w="140" w:type="dxa"/>
            <w:vAlign w:val="bottom"/>
            <w:tcBorders>
              <w:top w:val="single" w:sz="8" w:color="CFF0FC"/>
              <w:bottom w:val="single" w:sz="8" w:color="CFF0FC"/>
            </w:tcBorders>
            <w:shd w:val="clear" w:color="auto" w:fill="CFF0FC"/>
          </w:tcPr>
          <w:p>
            <w:pPr>
              <w:jc w:val="right"/>
              <w:ind w:right="1"/>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(334,076</w:t>
            </w:r>
          </w:p>
        </w:tc>
        <w:tc>
          <w:tcPr>
            <w:tcW w:w="8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25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Outset Medical,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9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160" w:type="dxa"/>
            <w:vAlign w:val="bottom"/>
            <w:gridSpan w:val="5"/>
          </w:tcPr>
          <w:p>
            <w:pPr>
              <w:jc w:val="right"/>
              <w:ind w:right="760"/>
              <w:spacing w:after="0"/>
              <w:rPr>
                <w:sz w:val="20"/>
                <w:szCs w:val="20"/>
                <w:color w:val="auto"/>
              </w:rPr>
            </w:pPr>
            <w:r>
              <w:rPr>
                <w:rFonts w:ascii="Arial" w:cs="Arial" w:eastAsia="Arial" w:hAnsi="Arial"/>
                <w:sz w:val="18"/>
                <w:szCs w:val="18"/>
                <w:b w:val="1"/>
                <w:bCs w:val="1"/>
                <w:color w:val="auto"/>
              </w:rPr>
              <w:t>Six Months Ended June 30,</w:t>
            </w:r>
          </w:p>
        </w:tc>
        <w:tc>
          <w:tcPr>
            <w:tcW w:w="0" w:type="dxa"/>
            <w:vAlign w:val="bottom"/>
          </w:tcPr>
          <w:p>
            <w:pPr>
              <w:spacing w:after="0"/>
              <w:rPr>
                <w:sz w:val="1"/>
                <w:szCs w:val="1"/>
                <w:color w:val="auto"/>
              </w:rPr>
            </w:pPr>
          </w:p>
        </w:tc>
      </w:tr>
      <w:tr>
        <w:trPr>
          <w:trHeight w:val="223"/>
        </w:trPr>
        <w:tc>
          <w:tcPr>
            <w:tcW w:w="6980" w:type="dxa"/>
            <w:vAlign w:val="bottom"/>
            <w:tcBorders>
              <w:bottom w:val="single" w:sz="8" w:color="CFF0FC"/>
            </w:tcBorders>
          </w:tcPr>
          <w:p>
            <w:pPr>
              <w:spacing w:after="0"/>
              <w:rPr>
                <w:sz w:val="19"/>
                <w:szCs w:val="19"/>
                <w:color w:val="auto"/>
              </w:rPr>
            </w:pPr>
          </w:p>
        </w:tc>
        <w:tc>
          <w:tcPr>
            <w:tcW w:w="760" w:type="dxa"/>
            <w:vAlign w:val="bottom"/>
            <w:tcBorders>
              <w:bottom w:val="single" w:sz="8" w:color="CFF0FC"/>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2021</w:t>
            </w:r>
          </w:p>
        </w:tc>
        <w:tc>
          <w:tcPr>
            <w:tcW w:w="260" w:type="dxa"/>
            <w:vAlign w:val="bottom"/>
            <w:tcBorders>
              <w:top w:val="single" w:sz="8" w:color="auto"/>
              <w:bottom w:val="single" w:sz="8" w:color="CFF0FC"/>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9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7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980" w:type="dxa"/>
            <w:vAlign w:val="bottom"/>
          </w:tcPr>
          <w:p>
            <w:pPr>
              <w:spacing w:after="0"/>
              <w:rPr>
                <w:sz w:val="20"/>
                <w:szCs w:val="20"/>
                <w:color w:val="auto"/>
              </w:rPr>
            </w:pPr>
            <w:r>
              <w:rPr>
                <w:rFonts w:ascii="Arial" w:cs="Arial" w:eastAsia="Arial" w:hAnsi="Arial"/>
                <w:sz w:val="18"/>
                <w:szCs w:val="18"/>
                <w:color w:val="auto"/>
              </w:rPr>
              <w:t>Net loss</w:t>
            </w:r>
          </w:p>
        </w:tc>
        <w:tc>
          <w:tcPr>
            <w:tcW w:w="110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200"/>
              <w:spacing w:after="0"/>
              <w:rPr>
                <w:sz w:val="20"/>
                <w:szCs w:val="20"/>
                <w:color w:val="auto"/>
              </w:rPr>
            </w:pPr>
            <w:r>
              <w:rPr>
                <w:rFonts w:ascii="Arial" w:cs="Arial" w:eastAsia="Arial" w:hAnsi="Arial"/>
                <w:sz w:val="18"/>
                <w:szCs w:val="18"/>
                <w:color w:val="auto"/>
              </w:rPr>
              <w:t>(60,233)</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(47,155)</w:t>
            </w:r>
          </w:p>
        </w:tc>
        <w:tc>
          <w:tcPr>
            <w:tcW w:w="0" w:type="dxa"/>
            <w:vAlign w:val="bottom"/>
          </w:tcPr>
          <w:p>
            <w:pPr>
              <w:spacing w:after="0"/>
              <w:rPr>
                <w:sz w:val="1"/>
                <w:szCs w:val="1"/>
                <w:color w:val="auto"/>
              </w:rPr>
            </w:pPr>
          </w:p>
        </w:tc>
      </w:tr>
      <w:tr>
        <w:trPr>
          <w:trHeight w:val="230"/>
        </w:trPr>
        <w:tc>
          <w:tcPr>
            <w:tcW w:w="6980" w:type="dxa"/>
            <w:vAlign w:val="bottom"/>
            <w:shd w:val="clear" w:color="auto" w:fill="CFF0FC"/>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7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980" w:type="dxa"/>
            <w:vAlign w:val="bottom"/>
          </w:tcPr>
          <w:p>
            <w:pPr>
              <w:ind w:left="260"/>
              <w:spacing w:after="0"/>
              <w:rPr>
                <w:sz w:val="20"/>
                <w:szCs w:val="20"/>
                <w:color w:val="auto"/>
              </w:rPr>
            </w:pPr>
            <w:r>
              <w:rPr>
                <w:rFonts w:ascii="Arial" w:cs="Arial" w:eastAsia="Arial" w:hAnsi="Arial"/>
                <w:sz w:val="18"/>
                <w:szCs w:val="18"/>
                <w:color w:val="auto"/>
              </w:rPr>
              <w:t>Depreciation and amortization</w:t>
            </w:r>
          </w:p>
        </w:tc>
        <w:tc>
          <w:tcPr>
            <w:tcW w:w="7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2,553</w:t>
            </w: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688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9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Non-cash lease expense</w:t>
            </w:r>
          </w:p>
        </w:tc>
        <w:tc>
          <w:tcPr>
            <w:tcW w:w="7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501</w:t>
            </w:r>
          </w:p>
        </w:tc>
        <w:tc>
          <w:tcPr>
            <w:tcW w:w="2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80" w:type="dxa"/>
            <w:vAlign w:val="bottom"/>
          </w:tcPr>
          <w:p>
            <w:pPr>
              <w:ind w:left="260"/>
              <w:spacing w:after="0"/>
              <w:rPr>
                <w:sz w:val="20"/>
                <w:szCs w:val="20"/>
                <w:color w:val="auto"/>
              </w:rPr>
            </w:pPr>
            <w:r>
              <w:rPr>
                <w:rFonts w:ascii="Arial" w:cs="Arial" w:eastAsia="Arial" w:hAnsi="Arial"/>
                <w:sz w:val="18"/>
                <w:szCs w:val="18"/>
                <w:color w:val="auto"/>
              </w:rPr>
              <w:t>Non-cash interest expense</w:t>
            </w:r>
          </w:p>
        </w:tc>
        <w:tc>
          <w:tcPr>
            <w:tcW w:w="7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282</w:t>
            </w: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9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Accretion of discount on investments, net</w:t>
            </w:r>
          </w:p>
        </w:tc>
        <w:tc>
          <w:tcPr>
            <w:tcW w:w="7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435</w:t>
            </w:r>
          </w:p>
        </w:tc>
        <w:tc>
          <w:tcPr>
            <w:tcW w:w="2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80" w:type="dxa"/>
            <w:vAlign w:val="bottom"/>
          </w:tcPr>
          <w:p>
            <w:pPr>
              <w:ind w:left="260"/>
              <w:spacing w:after="0"/>
              <w:rPr>
                <w:sz w:val="20"/>
                <w:szCs w:val="20"/>
                <w:color w:val="auto"/>
              </w:rPr>
            </w:pPr>
            <w:r>
              <w:rPr>
                <w:rFonts w:ascii="Arial" w:cs="Arial" w:eastAsia="Arial" w:hAnsi="Arial"/>
                <w:sz w:val="18"/>
                <w:szCs w:val="18"/>
                <w:color w:val="auto"/>
              </w:rPr>
              <w:t>Provision for accounts receivable</w:t>
            </w:r>
          </w:p>
        </w:tc>
        <w:tc>
          <w:tcPr>
            <w:tcW w:w="7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w:t>
            </w: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9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Provision for inventories</w:t>
            </w:r>
          </w:p>
        </w:tc>
        <w:tc>
          <w:tcPr>
            <w:tcW w:w="7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325</w:t>
            </w:r>
          </w:p>
        </w:tc>
        <w:tc>
          <w:tcPr>
            <w:tcW w:w="2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980" w:type="dxa"/>
            <w:vAlign w:val="bottom"/>
          </w:tcPr>
          <w:p>
            <w:pPr>
              <w:ind w:left="260"/>
              <w:spacing w:after="0"/>
              <w:rPr>
                <w:sz w:val="20"/>
                <w:szCs w:val="20"/>
                <w:color w:val="auto"/>
              </w:rPr>
            </w:pPr>
            <w:r>
              <w:rPr>
                <w:rFonts w:ascii="Arial" w:cs="Arial" w:eastAsia="Arial" w:hAnsi="Arial"/>
                <w:sz w:val="18"/>
                <w:szCs w:val="18"/>
                <w:color w:val="auto"/>
              </w:rPr>
              <w:t>Stock-based compensation expense</w:t>
            </w:r>
          </w:p>
        </w:tc>
        <w:tc>
          <w:tcPr>
            <w:tcW w:w="7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9,789</w:t>
            </w: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1,263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Change in fair value of redeemable convertible preferred stock warrant liability</w:t>
            </w:r>
          </w:p>
        </w:tc>
        <w:tc>
          <w:tcPr>
            <w:tcW w:w="7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980" w:type="dxa"/>
            <w:vAlign w:val="bottom"/>
          </w:tcPr>
          <w:p>
            <w:pPr>
              <w:ind w:left="260"/>
              <w:spacing w:after="0"/>
              <w:rPr>
                <w:sz w:val="20"/>
                <w:szCs w:val="20"/>
                <w:color w:val="auto"/>
              </w:rPr>
            </w:pPr>
            <w:r>
              <w:rPr>
                <w:rFonts w:ascii="Arial" w:cs="Arial" w:eastAsia="Arial" w:hAnsi="Arial"/>
                <w:sz w:val="18"/>
                <w:szCs w:val="18"/>
                <w:color w:val="auto"/>
              </w:rPr>
              <w:t>Changes in operating assets and liabilities:</w:t>
            </w:r>
          </w:p>
        </w:tc>
        <w:tc>
          <w:tcPr>
            <w:tcW w:w="7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9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Accounts receivable</w:t>
            </w:r>
          </w:p>
        </w:tc>
        <w:tc>
          <w:tcPr>
            <w:tcW w:w="7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(9,946)</w:t>
            </w:r>
          </w:p>
        </w:tc>
        <w:tc>
          <w:tcPr>
            <w:tcW w:w="3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(3,402)</w:t>
            </w:r>
          </w:p>
        </w:tc>
        <w:tc>
          <w:tcPr>
            <w:tcW w:w="0" w:type="dxa"/>
            <w:vAlign w:val="bottom"/>
          </w:tcPr>
          <w:p>
            <w:pPr>
              <w:spacing w:after="0"/>
              <w:rPr>
                <w:sz w:val="1"/>
                <w:szCs w:val="1"/>
                <w:color w:val="auto"/>
              </w:rPr>
            </w:pPr>
          </w:p>
        </w:tc>
      </w:tr>
      <w:tr>
        <w:trPr>
          <w:trHeight w:val="230"/>
        </w:trPr>
        <w:tc>
          <w:tcPr>
            <w:tcW w:w="6980" w:type="dxa"/>
            <w:vAlign w:val="bottom"/>
          </w:tcPr>
          <w:p>
            <w:pPr>
              <w:ind w:left="500"/>
              <w:spacing w:after="0"/>
              <w:rPr>
                <w:sz w:val="20"/>
                <w:szCs w:val="20"/>
                <w:color w:val="auto"/>
              </w:rPr>
            </w:pPr>
            <w:r>
              <w:rPr>
                <w:rFonts w:ascii="Arial" w:cs="Arial" w:eastAsia="Arial" w:hAnsi="Arial"/>
                <w:sz w:val="18"/>
                <w:szCs w:val="18"/>
                <w:color w:val="auto"/>
              </w:rPr>
              <w:t>Inventories</w:t>
            </w:r>
          </w:p>
        </w:tc>
        <w:tc>
          <w:tcPr>
            <w:tcW w:w="7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80" w:type="dxa"/>
            <w:vAlign w:val="bottom"/>
            <w:gridSpan w:val="2"/>
          </w:tcPr>
          <w:p>
            <w:pPr>
              <w:jc w:val="right"/>
              <w:ind w:right="200"/>
              <w:spacing w:after="0"/>
              <w:rPr>
                <w:sz w:val="20"/>
                <w:szCs w:val="20"/>
                <w:color w:val="auto"/>
              </w:rPr>
            </w:pPr>
            <w:r>
              <w:rPr>
                <w:rFonts w:ascii="Arial" w:cs="Arial" w:eastAsia="Arial" w:hAnsi="Arial"/>
                <w:sz w:val="18"/>
                <w:szCs w:val="18"/>
                <w:color w:val="auto"/>
              </w:rPr>
              <w:t>(12,116)</w:t>
            </w:r>
          </w:p>
        </w:tc>
        <w:tc>
          <w:tcPr>
            <w:tcW w:w="340" w:type="dxa"/>
            <w:vAlign w:val="bottom"/>
          </w:tcPr>
          <w:p>
            <w:pPr>
              <w:spacing w:after="0"/>
              <w:rPr>
                <w:sz w:val="19"/>
                <w:szCs w:val="19"/>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(2,025)</w:t>
            </w:r>
          </w:p>
        </w:tc>
        <w:tc>
          <w:tcPr>
            <w:tcW w:w="0" w:type="dxa"/>
            <w:vAlign w:val="bottom"/>
          </w:tcPr>
          <w:p>
            <w:pPr>
              <w:spacing w:after="0"/>
              <w:rPr>
                <w:sz w:val="1"/>
                <w:szCs w:val="1"/>
                <w:color w:val="auto"/>
              </w:rPr>
            </w:pPr>
          </w:p>
        </w:tc>
      </w:tr>
      <w:tr>
        <w:trPr>
          <w:trHeight w:val="229"/>
        </w:trPr>
        <w:tc>
          <w:tcPr>
            <w:tcW w:w="69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Prepaid expenses and other assets</w:t>
            </w:r>
          </w:p>
        </w:tc>
        <w:tc>
          <w:tcPr>
            <w:tcW w:w="7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570</w:t>
            </w:r>
          </w:p>
        </w:tc>
        <w:tc>
          <w:tcPr>
            <w:tcW w:w="2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(590)</w:t>
            </w:r>
          </w:p>
        </w:tc>
        <w:tc>
          <w:tcPr>
            <w:tcW w:w="0" w:type="dxa"/>
            <w:vAlign w:val="bottom"/>
          </w:tcPr>
          <w:p>
            <w:pPr>
              <w:spacing w:after="0"/>
              <w:rPr>
                <w:sz w:val="1"/>
                <w:szCs w:val="1"/>
                <w:color w:val="auto"/>
              </w:rPr>
            </w:pPr>
          </w:p>
        </w:tc>
      </w:tr>
      <w:tr>
        <w:trPr>
          <w:trHeight w:val="230"/>
        </w:trPr>
        <w:tc>
          <w:tcPr>
            <w:tcW w:w="6980" w:type="dxa"/>
            <w:vAlign w:val="bottom"/>
          </w:tcPr>
          <w:p>
            <w:pPr>
              <w:ind w:left="500"/>
              <w:spacing w:after="0"/>
              <w:rPr>
                <w:sz w:val="20"/>
                <w:szCs w:val="20"/>
                <w:color w:val="auto"/>
              </w:rPr>
            </w:pPr>
            <w:r>
              <w:rPr>
                <w:rFonts w:ascii="Arial" w:cs="Arial" w:eastAsia="Arial" w:hAnsi="Arial"/>
                <w:sz w:val="18"/>
                <w:szCs w:val="18"/>
                <w:color w:val="auto"/>
              </w:rPr>
              <w:t>Accounts payable</w:t>
            </w:r>
          </w:p>
        </w:tc>
        <w:tc>
          <w:tcPr>
            <w:tcW w:w="7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80" w:type="dxa"/>
            <w:vAlign w:val="bottom"/>
            <w:gridSpan w:val="2"/>
          </w:tcPr>
          <w:p>
            <w:pPr>
              <w:jc w:val="right"/>
              <w:ind w:right="200"/>
              <w:spacing w:after="0"/>
              <w:rPr>
                <w:sz w:val="20"/>
                <w:szCs w:val="20"/>
                <w:color w:val="auto"/>
              </w:rPr>
            </w:pPr>
            <w:r>
              <w:rPr>
                <w:rFonts w:ascii="Arial" w:cs="Arial" w:eastAsia="Arial" w:hAnsi="Arial"/>
                <w:sz w:val="18"/>
                <w:szCs w:val="18"/>
                <w:color w:val="auto"/>
              </w:rPr>
              <w:t>(2,509)</w:t>
            </w:r>
          </w:p>
        </w:tc>
        <w:tc>
          <w:tcPr>
            <w:tcW w:w="340" w:type="dxa"/>
            <w:vAlign w:val="bottom"/>
          </w:tcPr>
          <w:p>
            <w:pPr>
              <w:spacing w:after="0"/>
              <w:rPr>
                <w:sz w:val="19"/>
                <w:szCs w:val="19"/>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(726)</w:t>
            </w:r>
          </w:p>
        </w:tc>
        <w:tc>
          <w:tcPr>
            <w:tcW w:w="0" w:type="dxa"/>
            <w:vAlign w:val="bottom"/>
          </w:tcPr>
          <w:p>
            <w:pPr>
              <w:spacing w:after="0"/>
              <w:rPr>
                <w:sz w:val="1"/>
                <w:szCs w:val="1"/>
                <w:color w:val="auto"/>
              </w:rPr>
            </w:pPr>
          </w:p>
        </w:tc>
      </w:tr>
      <w:tr>
        <w:trPr>
          <w:trHeight w:val="229"/>
        </w:trPr>
        <w:tc>
          <w:tcPr>
            <w:tcW w:w="69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Accrued payroll and related benefits</w:t>
            </w:r>
          </w:p>
        </w:tc>
        <w:tc>
          <w:tcPr>
            <w:tcW w:w="7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(1,538)</w:t>
            </w:r>
          </w:p>
        </w:tc>
        <w:tc>
          <w:tcPr>
            <w:tcW w:w="34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980" w:type="dxa"/>
            <w:vAlign w:val="bottom"/>
          </w:tcPr>
          <w:p>
            <w:pPr>
              <w:ind w:left="500"/>
              <w:spacing w:after="0"/>
              <w:rPr>
                <w:sz w:val="20"/>
                <w:szCs w:val="20"/>
                <w:color w:val="auto"/>
              </w:rPr>
            </w:pPr>
            <w:r>
              <w:rPr>
                <w:rFonts w:ascii="Arial" w:cs="Arial" w:eastAsia="Arial" w:hAnsi="Arial"/>
                <w:sz w:val="18"/>
                <w:szCs w:val="18"/>
                <w:color w:val="auto"/>
              </w:rPr>
              <w:t>Accrued expenses and other current liabilities</w:t>
            </w:r>
          </w:p>
        </w:tc>
        <w:tc>
          <w:tcPr>
            <w:tcW w:w="7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1,508</w:t>
            </w: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2,510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Accrued warranty liability</w:t>
            </w:r>
          </w:p>
        </w:tc>
        <w:tc>
          <w:tcPr>
            <w:tcW w:w="7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160</w:t>
            </w:r>
          </w:p>
        </w:tc>
        <w:tc>
          <w:tcPr>
            <w:tcW w:w="2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980" w:type="dxa"/>
            <w:vAlign w:val="bottom"/>
          </w:tcPr>
          <w:p>
            <w:pPr>
              <w:ind w:left="500"/>
              <w:spacing w:after="0"/>
              <w:rPr>
                <w:sz w:val="20"/>
                <w:szCs w:val="20"/>
                <w:color w:val="auto"/>
              </w:rPr>
            </w:pPr>
            <w:r>
              <w:rPr>
                <w:rFonts w:ascii="Arial" w:cs="Arial" w:eastAsia="Arial" w:hAnsi="Arial"/>
                <w:sz w:val="18"/>
                <w:szCs w:val="18"/>
                <w:color w:val="auto"/>
              </w:rPr>
              <w:t>Deferred revenue</w:t>
            </w:r>
          </w:p>
        </w:tc>
        <w:tc>
          <w:tcPr>
            <w:tcW w:w="7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1,117</w:t>
            </w: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2,205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Operating lease liabilities</w:t>
            </w:r>
          </w:p>
        </w:tc>
        <w:tc>
          <w:tcPr>
            <w:tcW w:w="7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(360)</w:t>
            </w:r>
          </w:p>
        </w:tc>
        <w:tc>
          <w:tcPr>
            <w:tcW w:w="34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9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cash used in operating activities</w:t>
            </w:r>
          </w:p>
        </w:tc>
        <w:tc>
          <w:tcPr>
            <w:tcW w:w="760" w:type="dxa"/>
            <w:vAlign w:val="bottom"/>
            <w:tcBorders>
              <w:bottom w:val="single" w:sz="8" w:color="CFF0FC"/>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(69,457)</w:t>
            </w:r>
          </w:p>
        </w:tc>
        <w:tc>
          <w:tcPr>
            <w:tcW w:w="260" w:type="dxa"/>
            <w:vAlign w:val="bottom"/>
            <w:tcBorders>
              <w:bottom w:val="single" w:sz="8" w:color="CFF0FC"/>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(44,059)</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9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7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80" w:type="dxa"/>
            <w:vAlign w:val="bottom"/>
          </w:tcPr>
          <w:p>
            <w:pPr>
              <w:ind w:left="260"/>
              <w:spacing w:after="0"/>
              <w:rPr>
                <w:sz w:val="20"/>
                <w:szCs w:val="20"/>
                <w:color w:val="auto"/>
              </w:rPr>
            </w:pPr>
            <w:r>
              <w:rPr>
                <w:rFonts w:ascii="Arial" w:cs="Arial" w:eastAsia="Arial" w:hAnsi="Arial"/>
                <w:sz w:val="18"/>
                <w:szCs w:val="18"/>
                <w:color w:val="auto"/>
              </w:rPr>
              <w:t>Purchases of property and equipment</w:t>
            </w:r>
          </w:p>
        </w:tc>
        <w:tc>
          <w:tcPr>
            <w:tcW w:w="7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80" w:type="dxa"/>
            <w:vAlign w:val="bottom"/>
            <w:gridSpan w:val="2"/>
          </w:tcPr>
          <w:p>
            <w:pPr>
              <w:jc w:val="right"/>
              <w:ind w:right="200"/>
              <w:spacing w:after="0"/>
              <w:rPr>
                <w:sz w:val="20"/>
                <w:szCs w:val="20"/>
                <w:color w:val="auto"/>
              </w:rPr>
            </w:pPr>
            <w:r>
              <w:rPr>
                <w:rFonts w:ascii="Arial" w:cs="Arial" w:eastAsia="Arial" w:hAnsi="Arial"/>
                <w:sz w:val="18"/>
                <w:szCs w:val="18"/>
                <w:color w:val="auto"/>
              </w:rPr>
              <w:t>(1,766)</w:t>
            </w:r>
          </w:p>
        </w:tc>
        <w:tc>
          <w:tcPr>
            <w:tcW w:w="340" w:type="dxa"/>
            <w:vAlign w:val="bottom"/>
          </w:tcPr>
          <w:p>
            <w:pPr>
              <w:spacing w:after="0"/>
              <w:rPr>
                <w:sz w:val="19"/>
                <w:szCs w:val="19"/>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(4,987)</w:t>
            </w:r>
          </w:p>
        </w:tc>
        <w:tc>
          <w:tcPr>
            <w:tcW w:w="0" w:type="dxa"/>
            <w:vAlign w:val="bottom"/>
          </w:tcPr>
          <w:p>
            <w:pPr>
              <w:spacing w:after="0"/>
              <w:rPr>
                <w:sz w:val="1"/>
                <w:szCs w:val="1"/>
                <w:color w:val="auto"/>
              </w:rPr>
            </w:pPr>
          </w:p>
        </w:tc>
      </w:tr>
      <w:tr>
        <w:trPr>
          <w:trHeight w:val="230"/>
        </w:trPr>
        <w:tc>
          <w:tcPr>
            <w:tcW w:w="69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Purchases of investment securities</w:t>
            </w:r>
          </w:p>
        </w:tc>
        <w:tc>
          <w:tcPr>
            <w:tcW w:w="7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(122,401)</w:t>
            </w:r>
          </w:p>
        </w:tc>
        <w:tc>
          <w:tcPr>
            <w:tcW w:w="3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98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Sales and maturities of investment securities</w:t>
            </w:r>
          </w:p>
        </w:tc>
        <w:tc>
          <w:tcPr>
            <w:tcW w:w="76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19,900</w:t>
            </w:r>
          </w:p>
        </w:tc>
        <w:tc>
          <w:tcPr>
            <w:tcW w:w="26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30,458</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980" w:type="dxa"/>
            <w:vAlign w:val="bottom"/>
            <w:shd w:val="clear" w:color="auto" w:fill="CFF0FC"/>
          </w:tcPr>
          <w:p>
            <w:pPr>
              <w:spacing w:after="0"/>
              <w:rPr>
                <w:sz w:val="20"/>
                <w:szCs w:val="20"/>
                <w:color w:val="auto"/>
              </w:rPr>
            </w:pPr>
            <w:r>
              <w:rPr>
                <w:rFonts w:ascii="Arial" w:cs="Arial" w:eastAsia="Arial" w:hAnsi="Arial"/>
                <w:sz w:val="18"/>
                <w:szCs w:val="18"/>
                <w:color w:val="auto"/>
              </w:rPr>
              <w:t>Net cash (used in) provided by investing activities</w:t>
            </w:r>
          </w:p>
        </w:tc>
        <w:tc>
          <w:tcPr>
            <w:tcW w:w="76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(104,267)</w:t>
            </w:r>
          </w:p>
        </w:tc>
        <w:tc>
          <w:tcPr>
            <w:tcW w:w="26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25,471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98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7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69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Proceeds from issuance of common stock upon follow-on public offering,</w:t>
            </w:r>
          </w:p>
        </w:tc>
        <w:tc>
          <w:tcPr>
            <w:tcW w:w="7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9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net of issuance costs</w:t>
            </w:r>
          </w:p>
        </w:tc>
        <w:tc>
          <w:tcPr>
            <w:tcW w:w="76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149,085</w:t>
            </w:r>
          </w:p>
        </w:tc>
        <w:tc>
          <w:tcPr>
            <w:tcW w:w="26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3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6980" w:type="dxa"/>
            <w:vAlign w:val="bottom"/>
          </w:tcPr>
          <w:p>
            <w:pPr>
              <w:ind w:left="260"/>
              <w:spacing w:after="0"/>
              <w:rPr>
                <w:sz w:val="20"/>
                <w:szCs w:val="20"/>
                <w:color w:val="auto"/>
              </w:rPr>
            </w:pPr>
            <w:r>
              <w:rPr>
                <w:rFonts w:ascii="Arial" w:cs="Arial" w:eastAsia="Arial" w:hAnsi="Arial"/>
                <w:sz w:val="18"/>
                <w:szCs w:val="18"/>
                <w:color w:val="auto"/>
              </w:rPr>
              <w:t>Proceeds from issuance of redeemable convertible preferred stock,</w:t>
            </w:r>
          </w:p>
        </w:tc>
        <w:tc>
          <w:tcPr>
            <w:tcW w:w="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980" w:type="dxa"/>
            <w:vAlign w:val="bottom"/>
          </w:tcPr>
          <w:p>
            <w:pPr>
              <w:ind w:left="380"/>
              <w:spacing w:after="0"/>
              <w:rPr>
                <w:sz w:val="20"/>
                <w:szCs w:val="20"/>
                <w:color w:val="auto"/>
              </w:rPr>
            </w:pPr>
            <w:r>
              <w:rPr>
                <w:rFonts w:ascii="Arial" w:cs="Arial" w:eastAsia="Arial" w:hAnsi="Arial"/>
                <w:sz w:val="18"/>
                <w:szCs w:val="18"/>
                <w:color w:val="auto"/>
              </w:rPr>
              <w:t>net of issuance costs</w:t>
            </w:r>
          </w:p>
        </w:tc>
        <w:tc>
          <w:tcPr>
            <w:tcW w:w="7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126,758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980" w:type="dxa"/>
            <w:vAlign w:val="bottom"/>
            <w:shd w:val="clear" w:color="auto" w:fill="CFF0FC"/>
          </w:tcPr>
          <w:p>
            <w:pPr>
              <w:ind w:left="260"/>
              <w:spacing w:after="0"/>
              <w:rPr>
                <w:sz w:val="20"/>
                <w:szCs w:val="20"/>
                <w:color w:val="auto"/>
              </w:rPr>
            </w:pPr>
            <w:r>
              <w:rPr>
                <w:rFonts w:ascii="Arial" w:cs="Arial" w:eastAsia="Arial" w:hAnsi="Arial"/>
                <w:sz w:val="18"/>
                <w:szCs w:val="18"/>
                <w:color w:val="auto"/>
                <w:w w:val="99"/>
              </w:rPr>
              <w:t>Proceeds from stock option exercises and employee stock purchase plan purchases</w:t>
            </w:r>
          </w:p>
        </w:tc>
        <w:tc>
          <w:tcPr>
            <w:tcW w:w="7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3,941</w:t>
            </w:r>
          </w:p>
        </w:tc>
        <w:tc>
          <w:tcPr>
            <w:tcW w:w="2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80" w:type="dxa"/>
            <w:vAlign w:val="bottom"/>
          </w:tcPr>
          <w:p>
            <w:pPr>
              <w:ind w:left="260"/>
              <w:spacing w:after="0"/>
              <w:rPr>
                <w:sz w:val="20"/>
                <w:szCs w:val="20"/>
                <w:color w:val="auto"/>
              </w:rPr>
            </w:pPr>
            <w:r>
              <w:rPr>
                <w:rFonts w:ascii="Arial" w:cs="Arial" w:eastAsia="Arial" w:hAnsi="Arial"/>
                <w:sz w:val="18"/>
                <w:szCs w:val="18"/>
                <w:color w:val="auto"/>
              </w:rPr>
              <w:t>Repayment of finance lease</w:t>
            </w:r>
          </w:p>
        </w:tc>
        <w:tc>
          <w:tcPr>
            <w:tcW w:w="7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9"/>
        </w:trPr>
        <w:tc>
          <w:tcPr>
            <w:tcW w:w="69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Payment of deferred offering costs</w:t>
            </w:r>
          </w:p>
        </w:tc>
        <w:tc>
          <w:tcPr>
            <w:tcW w:w="7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23"/>
        </w:trPr>
        <w:tc>
          <w:tcPr>
            <w:tcW w:w="69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cash provided by financing activities</w:t>
            </w:r>
          </w:p>
        </w:tc>
        <w:tc>
          <w:tcPr>
            <w:tcW w:w="760" w:type="dxa"/>
            <w:vAlign w:val="bottom"/>
            <w:tcBorders>
              <w:bottom w:val="single" w:sz="8" w:color="CFF0FC"/>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153,026</w:t>
            </w:r>
          </w:p>
        </w:tc>
        <w:tc>
          <w:tcPr>
            <w:tcW w:w="260" w:type="dxa"/>
            <w:vAlign w:val="bottom"/>
            <w:tcBorders>
              <w:bottom w:val="single" w:sz="8" w:color="CFF0FC"/>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126,797</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980" w:type="dxa"/>
            <w:vAlign w:val="bottom"/>
            <w:shd w:val="clear" w:color="auto" w:fill="CFF0FC"/>
          </w:tcPr>
          <w:p>
            <w:pPr>
              <w:spacing w:after="0"/>
              <w:rPr>
                <w:sz w:val="20"/>
                <w:szCs w:val="20"/>
                <w:color w:val="auto"/>
              </w:rPr>
            </w:pPr>
            <w:r>
              <w:rPr>
                <w:rFonts w:ascii="Arial" w:cs="Arial" w:eastAsia="Arial" w:hAnsi="Arial"/>
                <w:sz w:val="18"/>
                <w:szCs w:val="18"/>
                <w:color w:val="auto"/>
              </w:rPr>
              <w:t>Net (decrease) increase in cash, cash equivalents and restricted cash</w:t>
            </w:r>
          </w:p>
        </w:tc>
        <w:tc>
          <w:tcPr>
            <w:tcW w:w="7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(20,698)</w:t>
            </w:r>
          </w:p>
        </w:tc>
        <w:tc>
          <w:tcPr>
            <w:tcW w:w="2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108,209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9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Cash, cash equivalents and restricted cash as of beginning of period</w:t>
            </w:r>
          </w:p>
        </w:tc>
        <w:tc>
          <w:tcPr>
            <w:tcW w:w="76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328,283</w:t>
            </w:r>
          </w:p>
        </w:tc>
        <w:tc>
          <w:tcPr>
            <w:tcW w:w="26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37,669</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9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cash equivalents and restricted cash as of end of period</w:t>
            </w:r>
          </w:p>
        </w:tc>
        <w:tc>
          <w:tcPr>
            <w:tcW w:w="76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307,585</w:t>
            </w:r>
          </w:p>
        </w:tc>
        <w:tc>
          <w:tcPr>
            <w:tcW w:w="26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145,878</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980" w:type="dxa"/>
            <w:vAlign w:val="bottom"/>
            <w:vMerge w:val="restart"/>
          </w:tcPr>
          <w:p>
            <w:pPr>
              <w:spacing w:after="0"/>
              <w:rPr>
                <w:sz w:val="20"/>
                <w:szCs w:val="20"/>
                <w:color w:val="auto"/>
              </w:rPr>
            </w:pPr>
            <w:r>
              <w:rPr>
                <w:rFonts w:ascii="Arial" w:cs="Arial" w:eastAsia="Arial" w:hAnsi="Arial"/>
                <w:sz w:val="18"/>
                <w:szCs w:val="18"/>
                <w:b w:val="1"/>
                <w:bCs w:val="1"/>
                <w:color w:val="auto"/>
              </w:rPr>
              <w:t>Supplemental cash flow disclosures:</w:t>
            </w:r>
          </w:p>
        </w:tc>
        <w:tc>
          <w:tcPr>
            <w:tcW w:w="7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6980" w:type="dxa"/>
            <w:vAlign w:val="bottom"/>
            <w:vMerge w:val="continue"/>
          </w:tcPr>
          <w:p>
            <w:pPr>
              <w:spacing w:after="0"/>
              <w:rPr>
                <w:sz w:val="24"/>
                <w:szCs w:val="24"/>
                <w:color w:val="auto"/>
              </w:rPr>
            </w:pPr>
          </w:p>
        </w:tc>
        <w:tc>
          <w:tcPr>
            <w:tcW w:w="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69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paid for income taxes</w:t>
            </w:r>
          </w:p>
        </w:tc>
        <w:tc>
          <w:tcPr>
            <w:tcW w:w="76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w:t>
            </w:r>
          </w:p>
        </w:tc>
        <w:tc>
          <w:tcPr>
            <w:tcW w:w="26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980" w:type="dxa"/>
            <w:vAlign w:val="bottom"/>
            <w:vMerge w:val="restart"/>
          </w:tcPr>
          <w:p>
            <w:pPr>
              <w:spacing w:after="0"/>
              <w:rPr>
                <w:sz w:val="20"/>
                <w:szCs w:val="20"/>
                <w:color w:val="auto"/>
              </w:rPr>
            </w:pPr>
            <w:r>
              <w:rPr>
                <w:rFonts w:ascii="Arial" w:cs="Arial" w:eastAsia="Arial" w:hAnsi="Arial"/>
                <w:sz w:val="18"/>
                <w:szCs w:val="18"/>
                <w:color w:val="auto"/>
              </w:rPr>
              <w:t>Cash paid for interest</w:t>
            </w:r>
          </w:p>
        </w:tc>
        <w:tc>
          <w:tcPr>
            <w:tcW w:w="1100" w:type="dxa"/>
            <w:vAlign w:val="bottom"/>
            <w:gridSpan w:val="2"/>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FF0FC"/>
            </w:tcBorders>
            <w:vMerge w:val="continue"/>
          </w:tcPr>
          <w:p>
            <w:pPr>
              <w:spacing w:after="0"/>
              <w:rPr>
                <w:sz w:val="21"/>
                <w:szCs w:val="21"/>
                <w:color w:val="auto"/>
              </w:rPr>
            </w:pPr>
          </w:p>
        </w:tc>
        <w:tc>
          <w:tcPr>
            <w:tcW w:w="760" w:type="dxa"/>
            <w:vAlign w:val="bottom"/>
            <w:tcBorders>
              <w:bottom w:val="single" w:sz="8" w:color="CFF0FC"/>
            </w:tcBorders>
          </w:tcPr>
          <w:p>
            <w:pPr>
              <w:spacing w:after="0"/>
              <w:rPr>
                <w:sz w:val="21"/>
                <w:szCs w:val="21"/>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149</w:t>
            </w:r>
          </w:p>
        </w:tc>
        <w:tc>
          <w:tcPr>
            <w:tcW w:w="260" w:type="dxa"/>
            <w:vAlign w:val="bottom"/>
            <w:tcBorders>
              <w:bottom w:val="single" w:sz="8" w:color="CFF0FC"/>
            </w:tcBorders>
          </w:tcPr>
          <w:p>
            <w:pPr>
              <w:spacing w:after="0"/>
              <w:rPr>
                <w:sz w:val="21"/>
                <w:szCs w:val="21"/>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1,600</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69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paid for amounts included in the measurement of operating lease liabilities</w:t>
            </w:r>
          </w:p>
        </w:tc>
        <w:tc>
          <w:tcPr>
            <w:tcW w:w="76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360</w:t>
            </w:r>
          </w:p>
        </w:tc>
        <w:tc>
          <w:tcPr>
            <w:tcW w:w="26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condensed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Outset Medical,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w:t>
      </w: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0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160" w:type="dxa"/>
            <w:vAlign w:val="bottom"/>
            <w:gridSpan w:val="5"/>
          </w:tcPr>
          <w:p>
            <w:pPr>
              <w:ind w:left="300"/>
              <w:spacing w:after="0"/>
              <w:rPr>
                <w:sz w:val="20"/>
                <w:szCs w:val="20"/>
                <w:color w:val="auto"/>
              </w:rPr>
            </w:pPr>
            <w:r>
              <w:rPr>
                <w:rFonts w:ascii="Arial" w:cs="Arial" w:eastAsia="Arial" w:hAnsi="Arial"/>
                <w:sz w:val="18"/>
                <w:szCs w:val="18"/>
                <w:b w:val="1"/>
                <w:bCs w:val="1"/>
                <w:color w:val="auto"/>
              </w:rPr>
              <w:t>Six Months Ended June 30,</w:t>
            </w:r>
          </w:p>
        </w:tc>
        <w:tc>
          <w:tcPr>
            <w:tcW w:w="0" w:type="dxa"/>
            <w:vAlign w:val="bottom"/>
          </w:tcPr>
          <w:p>
            <w:pPr>
              <w:spacing w:after="0"/>
              <w:rPr>
                <w:sz w:val="1"/>
                <w:szCs w:val="1"/>
                <w:color w:val="auto"/>
              </w:rPr>
            </w:pPr>
          </w:p>
        </w:tc>
      </w:tr>
      <w:tr>
        <w:trPr>
          <w:trHeight w:val="223"/>
        </w:trPr>
        <w:tc>
          <w:tcPr>
            <w:tcW w:w="5500" w:type="dxa"/>
            <w:vAlign w:val="bottom"/>
            <w:tcBorders>
              <w:bottom w:val="single" w:sz="8" w:color="CFF0FC"/>
            </w:tcBorders>
          </w:tcPr>
          <w:p>
            <w:pPr>
              <w:spacing w:after="0"/>
              <w:rPr>
                <w:sz w:val="19"/>
                <w:szCs w:val="19"/>
                <w:color w:val="auto"/>
              </w:rPr>
            </w:pPr>
          </w:p>
        </w:tc>
        <w:tc>
          <w:tcPr>
            <w:tcW w:w="2240" w:type="dxa"/>
            <w:vAlign w:val="bottom"/>
            <w:tcBorders>
              <w:bottom w:val="single" w:sz="8" w:color="CFF0FC"/>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2021</w:t>
            </w:r>
          </w:p>
        </w:tc>
        <w:tc>
          <w:tcPr>
            <w:tcW w:w="260" w:type="dxa"/>
            <w:vAlign w:val="bottom"/>
            <w:tcBorders>
              <w:top w:val="single" w:sz="8" w:color="auto"/>
              <w:bottom w:val="single" w:sz="8" w:color="CFF0FC"/>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5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Supplemental non-cash investing and financing activities:</w:t>
            </w:r>
          </w:p>
        </w:tc>
        <w:tc>
          <w:tcPr>
            <w:tcW w:w="22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55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w w:val="93"/>
              </w:rPr>
              <w:t>Capital expenditures included in accounts payable and accrued expenses</w:t>
            </w:r>
          </w:p>
        </w:tc>
        <w:tc>
          <w:tcPr>
            <w:tcW w:w="2240" w:type="dxa"/>
            <w:vAlign w:val="bottom"/>
            <w:tcBorders>
              <w:bottom w:val="single" w:sz="8" w:color="CFF0FC"/>
            </w:tcBorders>
          </w:tcPr>
          <w:p>
            <w:pPr>
              <w:spacing w:after="0"/>
              <w:rPr>
                <w:sz w:val="23"/>
                <w:szCs w:val="23"/>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w:t>
            </w:r>
          </w:p>
        </w:tc>
        <w:tc>
          <w:tcPr>
            <w:tcW w:w="260" w:type="dxa"/>
            <w:vAlign w:val="bottom"/>
            <w:tcBorders>
              <w:bottom w:val="single" w:sz="8" w:color="CFF0FC"/>
            </w:tcBorders>
          </w:tcPr>
          <w:p>
            <w:pPr>
              <w:spacing w:after="0"/>
              <w:rPr>
                <w:sz w:val="23"/>
                <w:szCs w:val="23"/>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w:t>
            </w:r>
          </w:p>
        </w:tc>
        <w:tc>
          <w:tcPr>
            <w:tcW w:w="100" w:type="dxa"/>
            <w:vAlign w:val="bottom"/>
            <w:tcBorders>
              <w:bottom w:val="single" w:sz="8" w:color="CFF0FC"/>
            </w:tcBorders>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55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Transfer of inventories to property and equipment</w:t>
            </w:r>
          </w:p>
        </w:tc>
        <w:tc>
          <w:tcPr>
            <w:tcW w:w="224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1,294</w:t>
            </w:r>
          </w:p>
        </w:tc>
        <w:tc>
          <w:tcPr>
            <w:tcW w:w="26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00" w:type="dxa"/>
            <w:vAlign w:val="bottom"/>
            <w:vMerge w:val="restart"/>
          </w:tcPr>
          <w:p>
            <w:pPr>
              <w:spacing w:after="0"/>
              <w:rPr>
                <w:sz w:val="20"/>
                <w:szCs w:val="20"/>
                <w:color w:val="auto"/>
              </w:rPr>
            </w:pPr>
            <w:r>
              <w:rPr>
                <w:rFonts w:ascii="Arial" w:cs="Arial" w:eastAsia="Arial" w:hAnsi="Arial"/>
                <w:sz w:val="18"/>
                <w:szCs w:val="18"/>
                <w:color w:val="auto"/>
              </w:rPr>
              <w:t>Right-of-use assets obtained in exchange for lease liabilities</w:t>
            </w:r>
          </w:p>
        </w:tc>
        <w:tc>
          <w:tcPr>
            <w:tcW w:w="2580" w:type="dxa"/>
            <w:vAlign w:val="bottom"/>
            <w:gridSpan w:val="2"/>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FF0FC"/>
            </w:tcBorders>
            <w:vMerge w:val="continue"/>
          </w:tcPr>
          <w:p>
            <w:pPr>
              <w:spacing w:after="0"/>
              <w:rPr>
                <w:sz w:val="21"/>
                <w:szCs w:val="21"/>
                <w:color w:val="auto"/>
              </w:rPr>
            </w:pPr>
          </w:p>
        </w:tc>
        <w:tc>
          <w:tcPr>
            <w:tcW w:w="2240" w:type="dxa"/>
            <w:vAlign w:val="bottom"/>
            <w:tcBorders>
              <w:bottom w:val="single" w:sz="8" w:color="CFF0FC"/>
            </w:tcBorders>
          </w:tcPr>
          <w:p>
            <w:pPr>
              <w:spacing w:after="0"/>
              <w:rPr>
                <w:sz w:val="21"/>
                <w:szCs w:val="21"/>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FF0FC"/>
            </w:tcBorders>
          </w:tcPr>
          <w:p>
            <w:pPr>
              <w:spacing w:after="0"/>
              <w:rPr>
                <w:sz w:val="21"/>
                <w:szCs w:val="21"/>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8,849</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55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Deemed dividend on settlement of accrued dividend</w:t>
            </w:r>
          </w:p>
        </w:tc>
        <w:tc>
          <w:tcPr>
            <w:tcW w:w="224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42,530</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00" w:type="dxa"/>
            <w:vAlign w:val="bottom"/>
            <w:vMerge w:val="restart"/>
          </w:tcPr>
          <w:p>
            <w:pPr>
              <w:spacing w:after="0"/>
              <w:rPr>
                <w:sz w:val="20"/>
                <w:szCs w:val="20"/>
                <w:color w:val="auto"/>
              </w:rPr>
            </w:pPr>
            <w:r>
              <w:rPr>
                <w:rFonts w:ascii="Arial" w:cs="Arial" w:eastAsia="Arial" w:hAnsi="Arial"/>
                <w:sz w:val="18"/>
                <w:szCs w:val="18"/>
                <w:color w:val="auto"/>
                <w:w w:val="92"/>
              </w:rPr>
              <w:t>Adjustment to redemption value on redeemable convertible preferred stock</w:t>
            </w:r>
          </w:p>
        </w:tc>
        <w:tc>
          <w:tcPr>
            <w:tcW w:w="2580" w:type="dxa"/>
            <w:vAlign w:val="bottom"/>
            <w:gridSpan w:val="2"/>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FF0FC"/>
            </w:tcBorders>
            <w:vMerge w:val="continue"/>
          </w:tcPr>
          <w:p>
            <w:pPr>
              <w:spacing w:after="0"/>
              <w:rPr>
                <w:sz w:val="21"/>
                <w:szCs w:val="21"/>
                <w:color w:val="auto"/>
              </w:rPr>
            </w:pPr>
          </w:p>
        </w:tc>
        <w:tc>
          <w:tcPr>
            <w:tcW w:w="2240" w:type="dxa"/>
            <w:vAlign w:val="bottom"/>
            <w:tcBorders>
              <w:bottom w:val="single" w:sz="8" w:color="CFF0FC"/>
            </w:tcBorders>
          </w:tcPr>
          <w:p>
            <w:pPr>
              <w:spacing w:after="0"/>
              <w:rPr>
                <w:sz w:val="21"/>
                <w:szCs w:val="21"/>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FF0FC"/>
            </w:tcBorders>
          </w:tcPr>
          <w:p>
            <w:pPr>
              <w:spacing w:after="0"/>
              <w:rPr>
                <w:sz w:val="21"/>
                <w:szCs w:val="21"/>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362</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55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Issuance of common stock on settlement of accrued dividend</w:t>
            </w:r>
          </w:p>
        </w:tc>
        <w:tc>
          <w:tcPr>
            <w:tcW w:w="224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41,763</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00" w:type="dxa"/>
            <w:vAlign w:val="bottom"/>
            <w:vMerge w:val="restart"/>
          </w:tcPr>
          <w:p>
            <w:pPr>
              <w:spacing w:after="0"/>
              <w:rPr>
                <w:sz w:val="20"/>
                <w:szCs w:val="20"/>
                <w:color w:val="auto"/>
              </w:rPr>
            </w:pPr>
            <w:r>
              <w:rPr>
                <w:rFonts w:ascii="Arial" w:cs="Arial" w:eastAsia="Arial" w:hAnsi="Arial"/>
                <w:sz w:val="18"/>
                <w:szCs w:val="18"/>
                <w:color w:val="auto"/>
              </w:rPr>
              <w:t>Debt issuance costs included in accrued expenses</w:t>
            </w:r>
          </w:p>
        </w:tc>
        <w:tc>
          <w:tcPr>
            <w:tcW w:w="2580" w:type="dxa"/>
            <w:vAlign w:val="bottom"/>
            <w:gridSpan w:val="2"/>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FF0FC"/>
            </w:tcBorders>
            <w:vMerge w:val="continue"/>
          </w:tcPr>
          <w:p>
            <w:pPr>
              <w:spacing w:after="0"/>
              <w:rPr>
                <w:sz w:val="21"/>
                <w:szCs w:val="21"/>
                <w:color w:val="auto"/>
              </w:rPr>
            </w:pPr>
          </w:p>
        </w:tc>
        <w:tc>
          <w:tcPr>
            <w:tcW w:w="2240" w:type="dxa"/>
            <w:vAlign w:val="bottom"/>
            <w:tcBorders>
              <w:bottom w:val="single" w:sz="8" w:color="CFF0FC"/>
            </w:tcBorders>
          </w:tcPr>
          <w:p>
            <w:pPr>
              <w:spacing w:after="0"/>
              <w:rPr>
                <w:sz w:val="21"/>
                <w:szCs w:val="21"/>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FF0FC"/>
            </w:tcBorders>
          </w:tcPr>
          <w:p>
            <w:pPr>
              <w:spacing w:after="0"/>
              <w:rPr>
                <w:sz w:val="21"/>
                <w:szCs w:val="21"/>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215</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55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Deferred offering costs included in accrued expenses</w:t>
            </w:r>
          </w:p>
        </w:tc>
        <w:tc>
          <w:tcPr>
            <w:tcW w:w="224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1,200</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00" w:type="dxa"/>
            <w:vAlign w:val="bottom"/>
            <w:vMerge w:val="restart"/>
          </w:tcPr>
          <w:p>
            <w:pPr>
              <w:spacing w:after="0"/>
              <w:rPr>
                <w:sz w:val="20"/>
                <w:szCs w:val="20"/>
                <w:color w:val="auto"/>
              </w:rPr>
            </w:pPr>
            <w:r>
              <w:rPr>
                <w:rFonts w:ascii="Arial" w:cs="Arial" w:eastAsia="Arial" w:hAnsi="Arial"/>
                <w:sz w:val="18"/>
                <w:szCs w:val="18"/>
                <w:color w:val="auto"/>
              </w:rPr>
              <w:t>Transfer of property and equipment to inventories</w:t>
            </w:r>
          </w:p>
        </w:tc>
        <w:tc>
          <w:tcPr>
            <w:tcW w:w="2580" w:type="dxa"/>
            <w:vAlign w:val="bottom"/>
            <w:gridSpan w:val="2"/>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500" w:type="dxa"/>
            <w:vAlign w:val="bottom"/>
            <w:vMerge w:val="continue"/>
          </w:tcPr>
          <w:p>
            <w:pPr>
              <w:spacing w:after="0"/>
              <w:rPr>
                <w:sz w:val="18"/>
                <w:szCs w:val="18"/>
                <w:color w:val="auto"/>
              </w:rPr>
            </w:pPr>
          </w:p>
        </w:tc>
        <w:tc>
          <w:tcPr>
            <w:tcW w:w="224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2240" w:type="dxa"/>
            <w:vAlign w:val="bottom"/>
            <w:vMerge w:val="restart"/>
          </w:tcPr>
          <w:p>
            <w:pPr>
              <w:jc w:val="right"/>
              <w:ind w:right="1990"/>
              <w:spacing w:after="0"/>
              <w:rPr>
                <w:sz w:val="20"/>
                <w:szCs w:val="20"/>
                <w:color w:val="auto"/>
              </w:rPr>
            </w:pPr>
            <w:r>
              <w:rPr>
                <w:rFonts w:ascii="Arial" w:cs="Arial" w:eastAsia="Arial" w:hAnsi="Arial"/>
                <w:sz w:val="18"/>
                <w:szCs w:val="18"/>
                <w:color w:val="auto"/>
              </w:rPr>
              <w:t>7</w:t>
            </w: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0"/>
        </w:trPr>
        <w:tc>
          <w:tcPr>
            <w:tcW w:w="5500" w:type="dxa"/>
            <w:vAlign w:val="bottom"/>
          </w:tcPr>
          <w:p>
            <w:pPr>
              <w:spacing w:after="0"/>
              <w:rPr>
                <w:sz w:val="24"/>
                <w:szCs w:val="24"/>
                <w:color w:val="auto"/>
              </w:rPr>
            </w:pPr>
          </w:p>
        </w:tc>
        <w:tc>
          <w:tcPr>
            <w:tcW w:w="224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500" w:type="dxa"/>
            <w:vAlign w:val="bottom"/>
            <w:tcBorders>
              <w:bottom w:val="single" w:sz="8" w:color="9A9A9A"/>
            </w:tcBorders>
          </w:tcPr>
          <w:p>
            <w:pPr>
              <w:spacing w:after="0"/>
              <w:rPr>
                <w:sz w:val="10"/>
                <w:szCs w:val="10"/>
                <w:color w:val="auto"/>
              </w:rPr>
            </w:pPr>
          </w:p>
        </w:tc>
        <w:tc>
          <w:tcPr>
            <w:tcW w:w="224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 w:name="page10"/>
    <w:bookmarkEnd w:id="9"/>
    <w:p>
      <w:pPr>
        <w:jc w:val="center"/>
        <w:ind w:right="-19"/>
        <w:spacing w:after="0"/>
        <w:rPr>
          <w:sz w:val="20"/>
          <w:szCs w:val="20"/>
          <w:color w:val="auto"/>
        </w:rPr>
      </w:pPr>
      <w:r>
        <w:rPr>
          <w:rFonts w:ascii="Arial" w:cs="Arial" w:eastAsia="Arial" w:hAnsi="Arial"/>
          <w:sz w:val="18"/>
          <w:szCs w:val="18"/>
          <w:b w:val="1"/>
          <w:bCs w:val="1"/>
          <w:color w:val="auto"/>
        </w:rPr>
        <w:t>Outset Medical,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Business</w:t>
      </w:r>
    </w:p>
    <w:p>
      <w:pPr>
        <w:spacing w:after="0" w:line="121" w:lineRule="exact"/>
        <w:rPr>
          <w:sz w:val="20"/>
          <w:szCs w:val="20"/>
          <w:color w:val="auto"/>
        </w:rPr>
      </w:pPr>
    </w:p>
    <w:p>
      <w:pPr>
        <w:ind w:right="100" w:firstLine="427"/>
        <w:spacing w:after="0" w:line="293" w:lineRule="auto"/>
        <w:rPr>
          <w:sz w:val="20"/>
          <w:szCs w:val="20"/>
          <w:color w:val="auto"/>
        </w:rPr>
      </w:pPr>
      <w:r>
        <w:rPr>
          <w:rFonts w:ascii="Arial" w:cs="Arial" w:eastAsia="Arial" w:hAnsi="Arial"/>
          <w:sz w:val="16"/>
          <w:szCs w:val="16"/>
          <w:color w:val="auto"/>
        </w:rPr>
        <w:t>Outset Medical, Inc. (the “Company”) is a medical technology company pioneering a first-of-its-kind technology to reduce the cost and complexity of dialysis. The Tablo® Hemodialysis System, FDA cleared for use from the hospital to the home, represents a significant technological advancement that transforms the dialysis experience for patients and operationally simplifies it for providers. Tablo serves as a single enterprise solution that can be utilized across the continuum of care, allowing dialysis to be delivered anytime, anywhere and by anyone. The integration of water purification and on-demand dialysate production enables Tablo to serve as a dialysis clinic on wheels, with 2-way wireless data transmission and a proprietary data analytics platform powering a new holistic approach to dialysis care. The Company’s headquarters are located in San Jose, CA.</w:t>
      </w:r>
    </w:p>
    <w:p>
      <w:pPr>
        <w:spacing w:after="0" w:line="56" w:lineRule="exact"/>
        <w:rPr>
          <w:sz w:val="20"/>
          <w:szCs w:val="20"/>
          <w:color w:val="auto"/>
        </w:rPr>
      </w:pPr>
    </w:p>
    <w:p>
      <w:pPr>
        <w:ind w:firstLine="427"/>
        <w:spacing w:after="0" w:line="273" w:lineRule="auto"/>
        <w:rPr>
          <w:sz w:val="20"/>
          <w:szCs w:val="20"/>
          <w:color w:val="auto"/>
        </w:rPr>
      </w:pPr>
      <w:r>
        <w:rPr>
          <w:rFonts w:ascii="Arial" w:cs="Arial" w:eastAsia="Arial" w:hAnsi="Arial"/>
          <w:sz w:val="17"/>
          <w:szCs w:val="17"/>
          <w:color w:val="auto"/>
        </w:rPr>
        <w:t>The Company’s registration statement on Form S-1 related to its initial public offering (“IPO”) was declared effective by the Securities and Exchange Commission (“SEC”) on September 14, 2020, and the Company’s common stock began trading on the Nasdaq Global Select Market on September 15, 2020. Upon the completion of the IPO, the Company sold 10,294,000 shares of common stock (which included 1,343,000 shares that were sold pursuant to the full exercise of the underwriters’ option to purchase additional shares in connection with the IPO) at a price to the public of $27.00 per share. Including the full exercise of the underwriters’ option to purchase additional shares, the Company received aggregate net proceeds of $254.8 million after deducting offering costs, underwriting discounts and commissions of $23.1 million.</w:t>
      </w:r>
    </w:p>
    <w:p>
      <w:pPr>
        <w:spacing w:after="0" w:line="70" w:lineRule="exact"/>
        <w:rPr>
          <w:sz w:val="20"/>
          <w:szCs w:val="20"/>
          <w:color w:val="auto"/>
        </w:rPr>
      </w:pPr>
    </w:p>
    <w:p>
      <w:pPr>
        <w:jc w:val="both"/>
        <w:ind w:firstLine="427"/>
        <w:spacing w:after="0" w:line="259" w:lineRule="auto"/>
        <w:rPr>
          <w:sz w:val="20"/>
          <w:szCs w:val="20"/>
          <w:color w:val="auto"/>
        </w:rPr>
      </w:pPr>
      <w:r>
        <w:rPr>
          <w:rFonts w:ascii="Arial" w:cs="Arial" w:eastAsia="Arial" w:hAnsi="Arial"/>
          <w:sz w:val="18"/>
          <w:szCs w:val="18"/>
          <w:color w:val="auto"/>
        </w:rPr>
        <w:t>On April 13, 2021, the Company completed a follow-on public offering and sold 2,946,000 shares of common stock (which included 446,000 shares that were offered and sold pursuant to the full exercise of the underwriters’ option to purchase additional shares) at a price to the public of $53.50 per share. The Company received aggregate net proceeds of approximately $149.1 million after deducting offering costs, underwriting discounts and commissions of $8.5 million.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Reverse Stock Split</w:t>
      </w:r>
    </w:p>
    <w:p>
      <w:pPr>
        <w:spacing w:after="0" w:line="117" w:lineRule="exact"/>
        <w:rPr>
          <w:sz w:val="20"/>
          <w:szCs w:val="20"/>
          <w:color w:val="auto"/>
        </w:rPr>
      </w:pPr>
    </w:p>
    <w:p>
      <w:pPr>
        <w:ind w:right="20" w:firstLine="427"/>
        <w:spacing w:after="0" w:line="254" w:lineRule="auto"/>
        <w:rPr>
          <w:sz w:val="20"/>
          <w:szCs w:val="20"/>
          <w:color w:val="auto"/>
        </w:rPr>
      </w:pPr>
      <w:r>
        <w:rPr>
          <w:rFonts w:ascii="Arial" w:cs="Arial" w:eastAsia="Arial" w:hAnsi="Arial"/>
          <w:sz w:val="18"/>
          <w:szCs w:val="18"/>
          <w:color w:val="auto"/>
        </w:rPr>
        <w:t>In September 2020, the Company’s board of directors and shareholders approved a certificate of amendment to the amended and restated certificate of incorporation to effect a reverse split of shares of the Company’s common stock on a 7.9-for-one basis (the “Reverse Stock Split”) effective as of September 8, 2020. The number of authorized shares and the par values of the common stock and redeemable convertible preferred stock were not adjusted as a result of the Reverse Stock Split. In connection with the Reverse Stock Split, the conversion ratio for the Company’s outstanding redeemable convertible preferred stock was proportionately adjusted such that the common stock issuable upon conversion of such preferred stock was decreased in proportion to the Reverse Stock Split. All references to common stock and options to purchase common stock share data, per share data and related information contained in these condensed financial statements have been retrospectively adjusted to reflect the effect of the Reverse Stock Split for all periods presented.</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w:t>
      </w:r>
    </w:p>
    <w:p>
      <w:pPr>
        <w:spacing w:after="0" w:line="117" w:lineRule="exact"/>
        <w:rPr>
          <w:sz w:val="20"/>
          <w:szCs w:val="20"/>
          <w:color w:val="auto"/>
        </w:rPr>
      </w:pPr>
    </w:p>
    <w:p>
      <w:pPr>
        <w:ind w:right="20" w:firstLine="427"/>
        <w:spacing w:after="0" w:line="263" w:lineRule="auto"/>
        <w:rPr>
          <w:sz w:val="20"/>
          <w:szCs w:val="20"/>
          <w:color w:val="auto"/>
        </w:rPr>
      </w:pPr>
      <w:r>
        <w:rPr>
          <w:rFonts w:ascii="Arial" w:cs="Arial" w:eastAsia="Arial" w:hAnsi="Arial"/>
          <w:sz w:val="18"/>
          <w:szCs w:val="18"/>
          <w:color w:val="auto"/>
        </w:rPr>
        <w:t>Since inception, the Company has incurred net losses and negative cash flows from operations. During the six months ended June 30, 2021 and 2020, the Company incurred a net loss of $60.2 million and $47.2 million, respectively. As of June 30, 2021, the Company had an accumulated deficit of $554.3 million.</w:t>
      </w:r>
    </w:p>
    <w:p>
      <w:pPr>
        <w:spacing w:after="0" w:line="76" w:lineRule="exact"/>
        <w:rPr>
          <w:sz w:val="20"/>
          <w:szCs w:val="20"/>
          <w:color w:val="auto"/>
        </w:rPr>
      </w:pPr>
    </w:p>
    <w:p>
      <w:pPr>
        <w:ind w:right="60" w:firstLine="427"/>
        <w:spacing w:after="0" w:line="293" w:lineRule="auto"/>
        <w:rPr>
          <w:sz w:val="20"/>
          <w:szCs w:val="20"/>
          <w:color w:val="auto"/>
        </w:rPr>
      </w:pPr>
      <w:r>
        <w:rPr>
          <w:rFonts w:ascii="Arial" w:cs="Arial" w:eastAsia="Arial" w:hAnsi="Arial"/>
          <w:sz w:val="16"/>
          <w:szCs w:val="16"/>
          <w:color w:val="auto"/>
        </w:rPr>
        <w:t>As of June 30, 2021, the Company had cash, cash equivalents and short-term investments of $396.2 million, which are available to fund future operations, and restricted cash of $33.3 million, for a total cash, cash equivalents, restricted cash and short-term investments balance of $429.5 million. Management expects to continue to incur significant expenses for the foreseeable future and to incur operating losses in the near term while the Company makes investments to support its anticipated growth. Management believes that the Company’s existing cash, cash equivalents and short-term investments, which include the proceeds from the IPO and the follow-on public offering, and cash generated from revenues from its products and services, will be sufficient to meet its anticipated needs for at least the next 12 months from the issuance date of the accompanying condensed financial statements.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7" w:lineRule="exact"/>
        <w:rPr>
          <w:sz w:val="20"/>
          <w:szCs w:val="20"/>
          <w:color w:val="auto"/>
        </w:rPr>
      </w:pPr>
    </w:p>
    <w:p>
      <w:pPr>
        <w:ind w:right="160" w:firstLine="427"/>
        <w:spacing w:after="0" w:line="291" w:lineRule="auto"/>
        <w:rPr>
          <w:sz w:val="20"/>
          <w:szCs w:val="20"/>
          <w:color w:val="auto"/>
        </w:rPr>
      </w:pPr>
      <w:r>
        <w:rPr>
          <w:rFonts w:ascii="Arial" w:cs="Arial" w:eastAsia="Arial" w:hAnsi="Arial"/>
          <w:sz w:val="16"/>
          <w:szCs w:val="16"/>
          <w:color w:val="auto"/>
        </w:rPr>
        <w:t>The accompanying condensed financial statements are unaudited and have been prepared in accordance with U.S. generally accepted accounting principles (“U.S. GAAP”) and on the same basis as the annual financial statements and, in the opinion of management, reflect all adjustments, which include only normal recurring adjustments, that are necessary for the fair statement of the Company’s financial position, results of operations, comprehensive loss and cash flows for the interim periods presented. The financial data and the other financial information disclosed in these notes to the condensed financial statements related to the three-and six-month period are also unaudited. The results of operations for the three and six months ended June 30, 2021 are not necessarily indicative of the results of operations to be anticipated for any other future annual or interim period. The condensed balance sheet as of December 31, 2020 included herein was derived from the audited financial statements as of that date.</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10" w:name="page11"/>
    <w:bookmarkEnd w:id="10"/>
    <w:p>
      <w:pPr>
        <w:jc w:val="both"/>
        <w:ind w:right="40" w:firstLine="427"/>
        <w:spacing w:after="0" w:line="263" w:lineRule="auto"/>
        <w:rPr>
          <w:sz w:val="20"/>
          <w:szCs w:val="20"/>
          <w:color w:val="auto"/>
        </w:rPr>
      </w:pPr>
      <w:r>
        <w:rPr>
          <w:rFonts w:ascii="Arial" w:cs="Arial" w:eastAsia="Arial" w:hAnsi="Arial"/>
          <w:sz w:val="18"/>
          <w:szCs w:val="18"/>
          <w:color w:val="auto"/>
        </w:rPr>
        <w:t>These unaudited condensed financial statements should be read in conjunction with the Company’s audited financial statements and related notes for the year ended December 31, 2020, which are included in the Annual Report on Form 10-K for the fiscal year ended December 31, 2020 filed with SEC on March 22, 2021 (“2020 Annual Report”).</w:t>
      </w:r>
    </w:p>
    <w:p>
      <w:pPr>
        <w:spacing w:after="0" w:line="76" w:lineRule="exact"/>
        <w:rPr>
          <w:sz w:val="20"/>
          <w:szCs w:val="20"/>
          <w:color w:val="auto"/>
        </w:rPr>
      </w:pPr>
    </w:p>
    <w:p>
      <w:pPr>
        <w:ind w:left="440"/>
        <w:spacing w:after="0"/>
        <w:rPr>
          <w:sz w:val="20"/>
          <w:szCs w:val="20"/>
          <w:color w:val="auto"/>
        </w:rPr>
      </w:pPr>
      <w:r>
        <w:rPr>
          <w:rFonts w:ascii="Arial" w:cs="Arial" w:eastAsia="Arial" w:hAnsi="Arial"/>
          <w:sz w:val="17"/>
          <w:szCs w:val="17"/>
          <w:color w:val="auto"/>
        </w:rPr>
        <w:t>All share amounts disclosed in the notes to the condensed financial statements are rounded to the nearest thousand except for per share data.</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6"/>
          <w:szCs w:val="16"/>
          <w:color w:val="auto"/>
        </w:rPr>
        <w:t>During the three and six months ended June 30, 2021, there have been no changes to the Company’s significant accounting policies as described in its</w:t>
      </w:r>
    </w:p>
    <w:p>
      <w:pPr>
        <w:spacing w:after="0" w:line="46" w:lineRule="exact"/>
        <w:rPr>
          <w:sz w:val="20"/>
          <w:szCs w:val="20"/>
          <w:color w:val="auto"/>
        </w:rPr>
      </w:pPr>
    </w:p>
    <w:p>
      <w:pPr>
        <w:ind w:right="560"/>
        <w:spacing w:after="0" w:line="367" w:lineRule="auto"/>
        <w:rPr>
          <w:sz w:val="20"/>
          <w:szCs w:val="20"/>
          <w:color w:val="auto"/>
        </w:rPr>
      </w:pPr>
      <w:r>
        <w:rPr>
          <w:rFonts w:ascii="Arial" w:cs="Arial" w:eastAsia="Arial" w:hAnsi="Arial"/>
          <w:sz w:val="18"/>
          <w:szCs w:val="18"/>
          <w:color w:val="auto"/>
        </w:rPr>
        <w:t xml:space="preserve">2020 Annual Report that have had a material impact on the Company’s condensed financial statements and related notes, except as described below. </w:t>
      </w:r>
      <w:r>
        <w:rPr>
          <w:rFonts w:ascii="Arial" w:cs="Arial" w:eastAsia="Arial" w:hAnsi="Arial"/>
          <w:sz w:val="18"/>
          <w:szCs w:val="18"/>
          <w:b w:val="1"/>
          <w:bCs w:val="1"/>
          <w:i w:val="1"/>
          <w:iCs w:val="1"/>
          <w:color w:val="auto"/>
        </w:rPr>
        <w:t>Cash, Cash Equivalents and Restricted Cash</w:t>
      </w:r>
    </w:p>
    <w:p>
      <w:pPr>
        <w:spacing w:after="0" w:line="1" w:lineRule="exact"/>
        <w:rPr>
          <w:sz w:val="20"/>
          <w:szCs w:val="20"/>
          <w:color w:val="auto"/>
        </w:rPr>
      </w:pPr>
    </w:p>
    <w:p>
      <w:pPr>
        <w:ind w:right="180" w:firstLine="427"/>
        <w:spacing w:after="0" w:line="277" w:lineRule="auto"/>
        <w:rPr>
          <w:sz w:val="20"/>
          <w:szCs w:val="20"/>
          <w:color w:val="auto"/>
        </w:rPr>
      </w:pPr>
      <w:r>
        <w:rPr>
          <w:rFonts w:ascii="Arial" w:cs="Arial" w:eastAsia="Arial" w:hAnsi="Arial"/>
          <w:sz w:val="18"/>
          <w:szCs w:val="18"/>
          <w:color w:val="auto"/>
        </w:rPr>
        <w:t>As of June 30, 2021 and December 31, 2020, the restricted cash balance of $33.3 million primarily relates to contractual obligations under the SVB Loan and Security Agreement (see Note 7) and collateral for building leases in San Jose, CA and Tijuana Mexico.</w:t>
      </w:r>
    </w:p>
    <w:p>
      <w:pPr>
        <w:spacing w:after="0" w:line="62" w:lineRule="exact"/>
        <w:rPr>
          <w:sz w:val="20"/>
          <w:szCs w:val="20"/>
          <w:color w:val="auto"/>
        </w:rPr>
      </w:pPr>
    </w:p>
    <w:p>
      <w:pPr>
        <w:ind w:right="800" w:firstLine="427"/>
        <w:spacing w:after="0" w:line="277" w:lineRule="auto"/>
        <w:rPr>
          <w:sz w:val="20"/>
          <w:szCs w:val="20"/>
          <w:color w:val="auto"/>
        </w:rPr>
      </w:pPr>
      <w:r>
        <w:rPr>
          <w:rFonts w:ascii="Arial" w:cs="Arial" w:eastAsia="Arial" w:hAnsi="Arial"/>
          <w:sz w:val="18"/>
          <w:szCs w:val="18"/>
          <w:color w:val="auto"/>
        </w:rPr>
        <w:t>The following table provides a reconciliation of cash, cash equivalents and restricted cash that sum to the total of the amounts shown in the accompanying condensed statements of cash flows (in thousands):</w:t>
      </w:r>
    </w:p>
    <w:p>
      <w:pPr>
        <w:spacing w:after="0" w:line="76" w:lineRule="exact"/>
        <w:rPr>
          <w:sz w:val="20"/>
          <w:szCs w:val="20"/>
          <w:color w:val="auto"/>
        </w:rPr>
      </w:pPr>
    </w:p>
    <w:tbl>
      <w:tblPr>
        <w:tblLayout w:type="fixed"/>
        <w:tblInd w:w="1140" w:type="dxa"/>
        <w:tblCellMar>
          <w:top w:w="0" w:type="dxa"/>
          <w:left w:w="0" w:type="dxa"/>
          <w:bottom w:w="0" w:type="dxa"/>
          <w:right w:w="0" w:type="dxa"/>
        </w:tblCellMar>
      </w:tblPr>
      <w:tr>
        <w:trPr>
          <w:trHeight w:val="230"/>
        </w:trPr>
        <w:tc>
          <w:tcPr>
            <w:tcW w:w="61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3"/>
          </w:tcPr>
          <w:p>
            <w:pPr>
              <w:jc w:val="right"/>
              <w:ind w:right="47"/>
              <w:spacing w:after="0"/>
              <w:rPr>
                <w:sz w:val="20"/>
                <w:szCs w:val="20"/>
                <w:color w:val="auto"/>
              </w:rPr>
            </w:pPr>
            <w:r>
              <w:rPr>
                <w:rFonts w:ascii="Arial" w:cs="Arial" w:eastAsia="Arial" w:hAnsi="Arial"/>
                <w:sz w:val="18"/>
                <w:szCs w:val="18"/>
                <w:color w:val="auto"/>
              </w:rPr>
              <w:t>June 30,</w:t>
            </w:r>
          </w:p>
        </w:tc>
        <w:tc>
          <w:tcPr>
            <w:tcW w:w="9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618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2021</w:t>
            </w:r>
          </w:p>
        </w:tc>
        <w:tc>
          <w:tcPr>
            <w:tcW w:w="22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2020</w:t>
            </w:r>
          </w:p>
        </w:tc>
        <w:tc>
          <w:tcPr>
            <w:tcW w:w="80" w:type="dxa"/>
            <w:vAlign w:val="bottom"/>
            <w:tcBorders>
              <w:bottom w:val="single" w:sz="8" w:color="CFF0FC"/>
            </w:tcBorders>
          </w:tcPr>
          <w:p>
            <w:pPr>
              <w:spacing w:after="0"/>
              <w:rPr>
                <w:sz w:val="19"/>
                <w:szCs w:val="19"/>
                <w:color w:val="auto"/>
              </w:rPr>
            </w:pPr>
          </w:p>
        </w:tc>
      </w:tr>
      <w:tr>
        <w:trPr>
          <w:trHeight w:val="223"/>
        </w:trPr>
        <w:tc>
          <w:tcPr>
            <w:tcW w:w="6180" w:type="dxa"/>
            <w:vAlign w:val="bottom"/>
            <w:shd w:val="clear" w:color="auto" w:fill="CFF0FC"/>
          </w:tcPr>
          <w:p>
            <w:pPr>
              <w:spacing w:after="0"/>
              <w:rPr>
                <w:sz w:val="20"/>
                <w:szCs w:val="20"/>
                <w:color w:val="auto"/>
              </w:rPr>
            </w:pPr>
            <w:r>
              <w:rPr>
                <w:rFonts w:ascii="Arial" w:cs="Arial" w:eastAsia="Arial" w:hAnsi="Arial"/>
                <w:sz w:val="18"/>
                <w:szCs w:val="18"/>
                <w:color w:val="auto"/>
              </w:rPr>
              <w:t>Cash and cash equivalents</w:t>
            </w:r>
          </w:p>
        </w:tc>
        <w:tc>
          <w:tcPr>
            <w:tcW w:w="260" w:type="dxa"/>
            <w:vAlign w:val="bottom"/>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274,274</w:t>
            </w:r>
          </w:p>
        </w:tc>
        <w:tc>
          <w:tcPr>
            <w:tcW w:w="22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141,871</w:t>
            </w:r>
          </w:p>
        </w:tc>
        <w:tc>
          <w:tcPr>
            <w:tcW w:w="80" w:type="dxa"/>
            <w:vAlign w:val="bottom"/>
            <w:shd w:val="clear" w:color="auto" w:fill="CFF0FC"/>
          </w:tcPr>
          <w:p>
            <w:pPr>
              <w:spacing w:after="0"/>
              <w:rPr>
                <w:sz w:val="19"/>
                <w:szCs w:val="19"/>
                <w:color w:val="auto"/>
              </w:rPr>
            </w:pPr>
          </w:p>
        </w:tc>
      </w:tr>
      <w:tr>
        <w:trPr>
          <w:trHeight w:val="229"/>
        </w:trPr>
        <w:tc>
          <w:tcPr>
            <w:tcW w:w="61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Restricted cash</w:t>
            </w: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33,311</w:t>
            </w:r>
          </w:p>
        </w:tc>
        <w:tc>
          <w:tcPr>
            <w:tcW w:w="22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4,007</w:t>
            </w:r>
          </w:p>
        </w:tc>
        <w:tc>
          <w:tcPr>
            <w:tcW w:w="80" w:type="dxa"/>
            <w:vAlign w:val="bottom"/>
            <w:tcBorders>
              <w:bottom w:val="single" w:sz="8" w:color="CFF0FC"/>
            </w:tcBorders>
          </w:tcPr>
          <w:p>
            <w:pPr>
              <w:spacing w:after="0"/>
              <w:rPr>
                <w:sz w:val="19"/>
                <w:szCs w:val="19"/>
                <w:color w:val="auto"/>
              </w:rPr>
            </w:pPr>
          </w:p>
        </w:tc>
      </w:tr>
      <w:tr>
        <w:trPr>
          <w:trHeight w:val="223"/>
        </w:trPr>
        <w:tc>
          <w:tcPr>
            <w:tcW w:w="618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 cash, cash equivalents and restricted cash</w:t>
            </w:r>
          </w:p>
        </w:tc>
        <w:tc>
          <w:tcPr>
            <w:tcW w:w="260" w:type="dxa"/>
            <w:vAlign w:val="bottom"/>
            <w:tcBorders>
              <w:bottom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307,585</w:t>
            </w:r>
          </w:p>
        </w:tc>
        <w:tc>
          <w:tcPr>
            <w:tcW w:w="22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145,878</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6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117" w:lineRule="exact"/>
        <w:rPr>
          <w:sz w:val="20"/>
          <w:szCs w:val="20"/>
          <w:color w:val="auto"/>
        </w:rPr>
      </w:pPr>
    </w:p>
    <w:p>
      <w:pPr>
        <w:jc w:val="both"/>
        <w:ind w:right="80" w:firstLine="427"/>
        <w:spacing w:after="0" w:line="311" w:lineRule="auto"/>
        <w:rPr>
          <w:sz w:val="20"/>
          <w:szCs w:val="20"/>
          <w:color w:val="auto"/>
        </w:rPr>
      </w:pPr>
      <w:r>
        <w:rPr>
          <w:rFonts w:ascii="Arial" w:cs="Arial" w:eastAsia="Arial" w:hAnsi="Arial"/>
          <w:sz w:val="16"/>
          <w:szCs w:val="16"/>
          <w:color w:val="auto"/>
        </w:rPr>
        <w:t>Stock-based compensation expense relates to stock options with a service-based vesting condition, stock options with performance and market-based vesting conditions, stock purchase rights under the Company’s Employee Stock Purchase Plan (“ESPP”), restricted stock units (“RSUs”) and performance stock units (“PSUs”). Stock-based compensation expense for the Company’s stock-based awards is based on their grant date fair value.</w:t>
      </w:r>
    </w:p>
    <w:p>
      <w:pPr>
        <w:spacing w:after="0" w:line="41" w:lineRule="exact"/>
        <w:rPr>
          <w:sz w:val="20"/>
          <w:szCs w:val="20"/>
          <w:color w:val="auto"/>
        </w:rPr>
      </w:pPr>
    </w:p>
    <w:p>
      <w:pPr>
        <w:ind w:right="140" w:firstLine="427"/>
        <w:spacing w:after="0" w:line="301" w:lineRule="auto"/>
        <w:rPr>
          <w:sz w:val="20"/>
          <w:szCs w:val="20"/>
          <w:color w:val="auto"/>
        </w:rPr>
      </w:pPr>
      <w:r>
        <w:rPr>
          <w:rFonts w:ascii="Arial" w:cs="Arial" w:eastAsia="Arial" w:hAnsi="Arial"/>
          <w:sz w:val="16"/>
          <w:szCs w:val="16"/>
          <w:color w:val="auto"/>
        </w:rPr>
        <w:t>Service-based options granted to an optionee generally vest at a rate of 25% on the first anniversary of the original vesting date, with the balance vesting monthly over the remaining three years. The fair value of stock options with a service condition and stock purchase rights under the ESPP on the grant date is estimated using the Black-Scholes option-pricing model. The fair value of these awards is recognized as compensation expense on a straight-line basis over the requisite service period in which the awards are expected to vest and forfeitures are recognized as they occur.</w:t>
      </w:r>
    </w:p>
    <w:p>
      <w:pPr>
        <w:spacing w:after="0" w:line="49" w:lineRule="exact"/>
        <w:rPr>
          <w:sz w:val="20"/>
          <w:szCs w:val="20"/>
          <w:color w:val="auto"/>
        </w:rPr>
      </w:pPr>
    </w:p>
    <w:p>
      <w:pPr>
        <w:ind w:right="120" w:firstLine="427"/>
        <w:spacing w:after="0" w:line="279" w:lineRule="auto"/>
        <w:rPr>
          <w:sz w:val="20"/>
          <w:szCs w:val="20"/>
          <w:color w:val="auto"/>
        </w:rPr>
      </w:pPr>
      <w:r>
        <w:rPr>
          <w:rFonts w:ascii="Arial" w:cs="Arial" w:eastAsia="Arial" w:hAnsi="Arial"/>
          <w:sz w:val="17"/>
          <w:szCs w:val="17"/>
          <w:color w:val="auto"/>
        </w:rPr>
        <w:t>The Black-Scholes model considers several variables and assumptions in estimating the fair value of service-based stock options and stock purchase rights under the ESPP. These variables include the per share fair value of the underlying common stock, exercise price, expected term, risk-free interest rate, expected annual dividend yield and expected stock price volatility over the expected term. For all service-based stock options granted, the Company calculates the expected term using the simplified method for “plain vanilla” stock option awards.</w:t>
      </w:r>
    </w:p>
    <w:p>
      <w:pPr>
        <w:spacing w:after="0" w:line="63" w:lineRule="exact"/>
        <w:rPr>
          <w:sz w:val="20"/>
          <w:szCs w:val="20"/>
          <w:color w:val="auto"/>
        </w:rPr>
      </w:pPr>
    </w:p>
    <w:p>
      <w:pPr>
        <w:ind w:right="20" w:firstLine="427"/>
        <w:spacing w:after="0" w:line="259" w:lineRule="auto"/>
        <w:rPr>
          <w:sz w:val="20"/>
          <w:szCs w:val="20"/>
          <w:color w:val="auto"/>
        </w:rPr>
      </w:pPr>
      <w:r>
        <w:rPr>
          <w:rFonts w:ascii="Arial" w:cs="Arial" w:eastAsia="Arial" w:hAnsi="Arial"/>
          <w:sz w:val="18"/>
          <w:szCs w:val="18"/>
          <w:color w:val="auto"/>
        </w:rPr>
        <w:t>For stock options with performance and market-based vesting conditions, stock-based compensation expense is recognized when it is considered probable that the performance vesting condition will be satisfied. Stock-based compensation expense related to these options is recognized using the accelerated attribution method and not reversed if the achievement of the market condition does not occur. The fair value of these stock options is estimated using the Monte Carlo approach.</w:t>
      </w:r>
    </w:p>
    <w:p>
      <w:pPr>
        <w:spacing w:after="0" w:line="79" w:lineRule="exact"/>
        <w:rPr>
          <w:sz w:val="20"/>
          <w:szCs w:val="20"/>
          <w:color w:val="auto"/>
        </w:rPr>
      </w:pPr>
    </w:p>
    <w:p>
      <w:pPr>
        <w:ind w:firstLine="427"/>
        <w:spacing w:after="0" w:line="269" w:lineRule="auto"/>
        <w:rPr>
          <w:sz w:val="20"/>
          <w:szCs w:val="20"/>
          <w:color w:val="auto"/>
        </w:rPr>
      </w:pPr>
      <w:r>
        <w:rPr>
          <w:rFonts w:ascii="Arial" w:cs="Arial" w:eastAsia="Arial" w:hAnsi="Arial"/>
          <w:sz w:val="17"/>
          <w:szCs w:val="17"/>
          <w:color w:val="auto"/>
        </w:rPr>
        <w:t>RSUs granted to an optionee generally vest at a rate of 25% on the first anniversary of the original vesting date, with the balance vesting quarterly over the remaining three years. The fair value of RSUs and PSUs with a service- or performance-based vesting condition is based on the market price of the Company’s common stock on the date of grant. The determination of the stock-based compensation expense related to PSUs with a performance-based vesting condition to be recognized requires the use of certain estimates and assumptions. At each reporting period, the Company reassesses the probability of the achievement of corporate performance goals to estimate the number of shares to be released. Any increase or decrease in stock-based compensation expense resulting from an adjustment in the estimated shares to be released is treated as accumulative catch-up in the period of adjustment. If any of the assumptions or estimates used change significantly, stock-based compensation expense may differ materially from what the Company has recorded in the current period. The fair value of PSUs with a market-based vesting condition is estimated using the Monte Carlo approach. Stock-based compensation expense related to these PSUs is recognized using the accelerated attribution method and not reversed if the achievement of the market condition does not occur.</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117" w:lineRule="exact"/>
        <w:rPr>
          <w:sz w:val="20"/>
          <w:szCs w:val="20"/>
          <w:color w:val="auto"/>
        </w:rPr>
      </w:pPr>
    </w:p>
    <w:p>
      <w:pPr>
        <w:ind w:firstLine="427"/>
        <w:spacing w:after="0" w:line="286" w:lineRule="auto"/>
        <w:rPr>
          <w:sz w:val="20"/>
          <w:szCs w:val="20"/>
          <w:color w:val="auto"/>
        </w:rPr>
      </w:pPr>
      <w:r>
        <w:rPr>
          <w:rFonts w:ascii="Arial" w:cs="Arial" w:eastAsia="Arial" w:hAnsi="Arial"/>
          <w:sz w:val="17"/>
          <w:szCs w:val="17"/>
          <w:color w:val="auto"/>
        </w:rPr>
        <w:t xml:space="preserve">In December 2019, the Financial Accounting Standards Board (“FASB”) issued ASU No. 2019-12, </w:t>
      </w:r>
      <w:r>
        <w:rPr>
          <w:rFonts w:ascii="Arial" w:cs="Arial" w:eastAsia="Arial" w:hAnsi="Arial"/>
          <w:sz w:val="17"/>
          <w:szCs w:val="17"/>
          <w:i w:val="1"/>
          <w:iCs w:val="1"/>
          <w:color w:val="auto"/>
        </w:rPr>
        <w:t>Income Taxes (Topic 740)</w:t>
      </w:r>
      <w:r>
        <w:rPr>
          <w:rFonts w:ascii="Arial" w:cs="Arial" w:eastAsia="Arial" w:hAnsi="Arial"/>
          <w:sz w:val="17"/>
          <w:szCs w:val="17"/>
          <w:color w:val="auto"/>
        </w:rPr>
        <w:t xml:space="preserve"> (“ASU 2019-12”), which simplifies the accounting for income taxes, primarily by eliminating certain exceptions to ASC 740. The Company early adopted ASU 2019-12 on a modified retrospective basis as of January 1, 2021, which did not have a material impact on the condensed financial statements.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Pronouncements Not Yet Adopted</w:t>
      </w:r>
    </w:p>
    <w:p>
      <w:pPr>
        <w:spacing w:after="0" w:line="117" w:lineRule="exact"/>
        <w:rPr>
          <w:sz w:val="20"/>
          <w:szCs w:val="20"/>
          <w:color w:val="auto"/>
        </w:rPr>
      </w:pPr>
    </w:p>
    <w:p>
      <w:pPr>
        <w:ind w:right="100" w:firstLine="421"/>
        <w:spacing w:after="0" w:line="269" w:lineRule="auto"/>
        <w:rPr>
          <w:sz w:val="20"/>
          <w:szCs w:val="20"/>
          <w:color w:val="auto"/>
        </w:rPr>
      </w:pPr>
      <w:r>
        <w:rPr>
          <w:rFonts w:ascii="Arial" w:cs="Arial" w:eastAsia="Arial" w:hAnsi="Arial"/>
          <w:sz w:val="17"/>
          <w:szCs w:val="17"/>
          <w:color w:val="auto"/>
        </w:rPr>
        <w:t xml:space="preserve">In June 2016, the FASB issued ASU No. 2016-13, </w:t>
      </w:r>
      <w:r>
        <w:rPr>
          <w:rFonts w:ascii="Arial" w:cs="Arial" w:eastAsia="Arial" w:hAnsi="Arial"/>
          <w:sz w:val="17"/>
          <w:szCs w:val="17"/>
          <w:i w:val="1"/>
          <w:iCs w:val="1"/>
          <w:color w:val="auto"/>
        </w:rPr>
        <w:t>Financial Instruments - Credit Losses (Topic 326) Measurement of Credit Losses on Financial</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Instruments </w:t>
      </w:r>
      <w:r>
        <w:rPr>
          <w:rFonts w:ascii="Arial" w:cs="Arial" w:eastAsia="Arial" w:hAnsi="Arial"/>
          <w:sz w:val="17"/>
          <w:szCs w:val="17"/>
          <w:color w:val="auto"/>
        </w:rPr>
        <w:t>(“ASU 2016-13”), which requires an entity to utilize a new impairment model known as the current expected credit loss (“CECL”) model to</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estimate its lifetime “expected credit loss” and record an allowance that, when deducted from the amortized cost basis of the financial assets and certain other instruments, including but not limited to available-for-sale debt securities. Credit losses relating to available-for-sale debt securities will be recorded through an allowance for credit losses rather than as a direct write-down to the security. ASU 2016-13 requires a cumulative effect adjustment to the balance sheet as of the beginning of the first reporting period in which the guidance is effective. In November 2019, the FASB issued ASU 2019-10, </w:t>
      </w:r>
      <w:r>
        <w:rPr>
          <w:rFonts w:ascii="Arial" w:cs="Arial" w:eastAsia="Arial" w:hAnsi="Arial"/>
          <w:sz w:val="17"/>
          <w:szCs w:val="17"/>
          <w:i w:val="1"/>
          <w:iCs w:val="1"/>
          <w:color w:val="auto"/>
        </w:rPr>
        <w:t>Financial Instruments—Credit Losses (Topic 326), Derivatives and Hedging (Topic 815) and Leases (Topic 842): Effective Dates</w:t>
      </w:r>
      <w:r>
        <w:rPr>
          <w:rFonts w:ascii="Arial" w:cs="Arial" w:eastAsia="Arial" w:hAnsi="Arial"/>
          <w:sz w:val="17"/>
          <w:szCs w:val="17"/>
          <w:color w:val="auto"/>
        </w:rPr>
        <w:t>, which defers the</w:t>
      </w:r>
      <w:r>
        <w:rPr>
          <w:rFonts w:ascii="Arial" w:cs="Arial" w:eastAsia="Arial" w:hAnsi="Arial"/>
          <w:sz w:val="17"/>
          <w:szCs w:val="17"/>
          <w:i w:val="1"/>
          <w:iCs w:val="1"/>
          <w:color w:val="auto"/>
        </w:rPr>
        <w:t xml:space="preserve"> </w:t>
      </w:r>
      <w:r>
        <w:rPr>
          <w:rFonts w:ascii="Arial" w:cs="Arial" w:eastAsia="Arial" w:hAnsi="Arial"/>
          <w:sz w:val="17"/>
          <w:szCs w:val="17"/>
          <w:color w:val="auto"/>
        </w:rPr>
        <w:t>effective date of ASU 2016-13 to fiscal years beginning after December 15, 2022 for all entities except SEC reporting companies that are not smaller reporting companies. ASU 2016-13 will be effective for the Company beginning January 1, 2023. The Company is currently evaluating the impact of the adoption of ASU 2016-13 on its financial statements.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60" w:type="dxa"/>
            <w:vAlign w:val="bottom"/>
            <w:gridSpan w:val="2"/>
          </w:tcPr>
          <w:p>
            <w:pPr>
              <w:spacing w:after="0"/>
              <w:rPr>
                <w:sz w:val="20"/>
                <w:szCs w:val="20"/>
                <w:color w:val="auto"/>
              </w:rPr>
            </w:pPr>
            <w:r>
              <w:rPr>
                <w:rFonts w:ascii="Arial" w:cs="Arial" w:eastAsia="Arial" w:hAnsi="Arial"/>
                <w:sz w:val="18"/>
                <w:szCs w:val="18"/>
                <w:b w:val="1"/>
                <w:bCs w:val="1"/>
                <w:color w:val="auto"/>
              </w:rPr>
              <w:t>3. Revenue and Deferred Revenue</w:t>
            </w: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324"/>
        </w:trPr>
        <w:tc>
          <w:tcPr>
            <w:tcW w:w="566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Disaggregation of Revenue</w:t>
            </w: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24"/>
        </w:trPr>
        <w:tc>
          <w:tcPr>
            <w:tcW w:w="5660" w:type="dxa"/>
            <w:vAlign w:val="bottom"/>
            <w:gridSpan w:val="2"/>
          </w:tcPr>
          <w:p>
            <w:pPr>
              <w:ind w:left="440"/>
              <w:spacing w:after="0"/>
              <w:rPr>
                <w:sz w:val="20"/>
                <w:szCs w:val="20"/>
                <w:color w:val="auto"/>
              </w:rPr>
            </w:pPr>
            <w:r>
              <w:rPr>
                <w:rFonts w:ascii="Arial" w:cs="Arial" w:eastAsia="Arial" w:hAnsi="Arial"/>
                <w:sz w:val="18"/>
                <w:szCs w:val="18"/>
                <w:color w:val="auto"/>
              </w:rPr>
              <w:t>Revenue by source consists of the following (in thousands):</w:t>
            </w: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51"/>
        </w:trPr>
        <w:tc>
          <w:tcPr>
            <w:tcW w:w="580" w:type="dxa"/>
            <w:vAlign w:val="bottom"/>
          </w:tcPr>
          <w:p>
            <w:pPr>
              <w:spacing w:after="0"/>
              <w:rPr>
                <w:sz w:val="24"/>
                <w:szCs w:val="24"/>
                <w:color w:val="auto"/>
              </w:rPr>
            </w:pPr>
          </w:p>
        </w:tc>
        <w:tc>
          <w:tcPr>
            <w:tcW w:w="5080" w:type="dxa"/>
            <w:vAlign w:val="bottom"/>
          </w:tcPr>
          <w:p>
            <w:pPr>
              <w:spacing w:after="0"/>
              <w:rPr>
                <w:sz w:val="24"/>
                <w:szCs w:val="24"/>
                <w:color w:val="auto"/>
              </w:rPr>
            </w:pPr>
          </w:p>
        </w:tc>
        <w:tc>
          <w:tcPr>
            <w:tcW w:w="2480" w:type="dxa"/>
            <w:vAlign w:val="bottom"/>
            <w:gridSpan w:val="5"/>
          </w:tcPr>
          <w:p>
            <w:pPr>
              <w:jc w:val="right"/>
              <w:ind w:right="10"/>
              <w:spacing w:after="0"/>
              <w:rPr>
                <w:sz w:val="20"/>
                <w:szCs w:val="20"/>
                <w:color w:val="auto"/>
              </w:rPr>
            </w:pPr>
            <w:r>
              <w:rPr>
                <w:rFonts w:ascii="Arial" w:cs="Arial" w:eastAsia="Arial" w:hAnsi="Arial"/>
                <w:sz w:val="18"/>
                <w:szCs w:val="18"/>
                <w:b w:val="1"/>
                <w:bCs w:val="1"/>
                <w:color w:val="auto"/>
                <w:w w:val="92"/>
              </w:rPr>
              <w:t>Three Months Ended June 30,</w:t>
            </w:r>
          </w:p>
        </w:tc>
        <w:tc>
          <w:tcPr>
            <w:tcW w:w="200" w:type="dxa"/>
            <w:vAlign w:val="bottom"/>
          </w:tcPr>
          <w:p>
            <w:pPr>
              <w:spacing w:after="0"/>
              <w:rPr>
                <w:sz w:val="24"/>
                <w:szCs w:val="24"/>
                <w:color w:val="auto"/>
              </w:rPr>
            </w:pPr>
          </w:p>
        </w:tc>
        <w:tc>
          <w:tcPr>
            <w:tcW w:w="2340" w:type="dxa"/>
            <w:vAlign w:val="bottom"/>
            <w:gridSpan w:val="6"/>
          </w:tcPr>
          <w:p>
            <w:pPr>
              <w:ind w:left="60"/>
              <w:spacing w:after="0"/>
              <w:rPr>
                <w:sz w:val="20"/>
                <w:szCs w:val="20"/>
                <w:color w:val="auto"/>
              </w:rPr>
            </w:pPr>
            <w:r>
              <w:rPr>
                <w:rFonts w:ascii="Arial" w:cs="Arial" w:eastAsia="Arial" w:hAnsi="Arial"/>
                <w:sz w:val="18"/>
                <w:szCs w:val="18"/>
                <w:b w:val="1"/>
                <w:bCs w:val="1"/>
                <w:color w:val="auto"/>
                <w:w w:val="96"/>
              </w:rPr>
              <w:t>Six Months Ended June 30,</w:t>
            </w:r>
          </w:p>
        </w:tc>
      </w:tr>
      <w:tr>
        <w:trPr>
          <w:trHeight w:val="223"/>
        </w:trPr>
        <w:tc>
          <w:tcPr>
            <w:tcW w:w="580" w:type="dxa"/>
            <w:vAlign w:val="bottom"/>
          </w:tcPr>
          <w:p>
            <w:pPr>
              <w:spacing w:after="0"/>
              <w:rPr>
                <w:sz w:val="19"/>
                <w:szCs w:val="19"/>
                <w:color w:val="auto"/>
              </w:rPr>
            </w:pPr>
          </w:p>
        </w:tc>
        <w:tc>
          <w:tcPr>
            <w:tcW w:w="508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00" w:type="dxa"/>
            <w:vAlign w:val="bottom"/>
            <w:tcBorders>
              <w:top w:val="single" w:sz="8" w:color="auto"/>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2020</w:t>
            </w:r>
          </w:p>
        </w:tc>
        <w:tc>
          <w:tcPr>
            <w:tcW w:w="200" w:type="dxa"/>
            <w:vAlign w:val="bottom"/>
            <w:tcBorders>
              <w:bottom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top w:val="single" w:sz="8" w:color="auto"/>
              <w:bottom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CFF0FC"/>
            </w:tcBorders>
          </w:tcPr>
          <w:p>
            <w:pPr>
              <w:spacing w:after="0"/>
              <w:rPr>
                <w:sz w:val="19"/>
                <w:szCs w:val="19"/>
                <w:color w:val="auto"/>
              </w:rPr>
            </w:pPr>
          </w:p>
        </w:tc>
      </w:tr>
      <w:tr>
        <w:trPr>
          <w:trHeight w:val="223"/>
        </w:trPr>
        <w:tc>
          <w:tcPr>
            <w:tcW w:w="580" w:type="dxa"/>
            <w:vAlign w:val="bottom"/>
          </w:tcPr>
          <w:p>
            <w:pPr>
              <w:spacing w:after="0"/>
              <w:rPr>
                <w:sz w:val="19"/>
                <w:szCs w:val="19"/>
                <w:color w:val="auto"/>
              </w:rPr>
            </w:pPr>
          </w:p>
        </w:tc>
        <w:tc>
          <w:tcPr>
            <w:tcW w:w="5080" w:type="dxa"/>
            <w:vAlign w:val="bottom"/>
            <w:shd w:val="clear" w:color="auto" w:fill="CFF0FC"/>
          </w:tcPr>
          <w:p>
            <w:pPr>
              <w:spacing w:after="0"/>
              <w:rPr>
                <w:sz w:val="20"/>
                <w:szCs w:val="20"/>
                <w:color w:val="auto"/>
              </w:rPr>
            </w:pPr>
            <w:r>
              <w:rPr>
                <w:rFonts w:ascii="Arial" w:cs="Arial" w:eastAsia="Arial" w:hAnsi="Arial"/>
                <w:sz w:val="18"/>
                <w:szCs w:val="18"/>
                <w:color w:val="auto"/>
              </w:rPr>
              <w:t>Consoles</w:t>
            </w:r>
          </w:p>
        </w:tc>
        <w:tc>
          <w:tcPr>
            <w:tcW w:w="220" w:type="dxa"/>
            <w:vAlign w:val="bottom"/>
            <w:shd w:val="clear" w:color="auto" w:fill="CFF0FC"/>
          </w:tcPr>
          <w:p>
            <w:pPr>
              <w:jc w:val="right"/>
              <w:ind w:right="61"/>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16,857</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8,186</w:t>
            </w: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1"/>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31,623</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13,213</w:t>
            </w:r>
          </w:p>
        </w:tc>
        <w:tc>
          <w:tcPr>
            <w:tcW w:w="120" w:type="dxa"/>
            <w:vAlign w:val="bottom"/>
            <w:shd w:val="clear" w:color="auto" w:fill="CFF0FC"/>
          </w:tcPr>
          <w:p>
            <w:pPr>
              <w:spacing w:after="0"/>
              <w:rPr>
                <w:sz w:val="19"/>
                <w:szCs w:val="19"/>
                <w:color w:val="auto"/>
              </w:rPr>
            </w:pPr>
          </w:p>
        </w:tc>
      </w:tr>
      <w:tr>
        <w:trPr>
          <w:trHeight w:val="229"/>
        </w:trPr>
        <w:tc>
          <w:tcPr>
            <w:tcW w:w="580" w:type="dxa"/>
            <w:vAlign w:val="bottom"/>
          </w:tcPr>
          <w:p>
            <w:pPr>
              <w:spacing w:after="0"/>
              <w:rPr>
                <w:sz w:val="19"/>
                <w:szCs w:val="19"/>
                <w:color w:val="auto"/>
              </w:rPr>
            </w:pPr>
          </w:p>
        </w:tc>
        <w:tc>
          <w:tcPr>
            <w:tcW w:w="50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Consumables</w:t>
            </w: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3,771</w:t>
            </w:r>
          </w:p>
        </w:tc>
        <w:tc>
          <w:tcPr>
            <w:tcW w:w="2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1,511</w:t>
            </w:r>
          </w:p>
        </w:tc>
        <w:tc>
          <w:tcPr>
            <w:tcW w:w="20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7,215</w:t>
            </w:r>
          </w:p>
        </w:tc>
        <w:tc>
          <w:tcPr>
            <w:tcW w:w="2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2,410</w:t>
            </w:r>
          </w:p>
        </w:tc>
        <w:tc>
          <w:tcPr>
            <w:tcW w:w="120" w:type="dxa"/>
            <w:vAlign w:val="bottom"/>
            <w:tcBorders>
              <w:bottom w:val="single" w:sz="8" w:color="CFF0FC"/>
            </w:tcBorders>
          </w:tcPr>
          <w:p>
            <w:pPr>
              <w:spacing w:after="0"/>
              <w:rPr>
                <w:sz w:val="19"/>
                <w:szCs w:val="19"/>
                <w:color w:val="auto"/>
              </w:rPr>
            </w:pPr>
          </w:p>
        </w:tc>
      </w:tr>
      <w:tr>
        <w:trPr>
          <w:trHeight w:val="223"/>
        </w:trPr>
        <w:tc>
          <w:tcPr>
            <w:tcW w:w="580" w:type="dxa"/>
            <w:vAlign w:val="bottom"/>
          </w:tcPr>
          <w:p>
            <w:pPr>
              <w:spacing w:after="0"/>
              <w:rPr>
                <w:sz w:val="19"/>
                <w:szCs w:val="19"/>
                <w:color w:val="auto"/>
              </w:rPr>
            </w:pPr>
          </w:p>
        </w:tc>
        <w:tc>
          <w:tcPr>
            <w:tcW w:w="5080" w:type="dxa"/>
            <w:vAlign w:val="bottom"/>
            <w:shd w:val="clear" w:color="auto" w:fill="CFF0FC"/>
          </w:tcPr>
          <w:p>
            <w:pPr>
              <w:ind w:left="360"/>
              <w:spacing w:after="0"/>
              <w:rPr>
                <w:sz w:val="20"/>
                <w:szCs w:val="20"/>
                <w:color w:val="auto"/>
              </w:rPr>
            </w:pPr>
            <w:r>
              <w:rPr>
                <w:rFonts w:ascii="Arial" w:cs="Arial" w:eastAsia="Arial" w:hAnsi="Arial"/>
                <w:sz w:val="18"/>
                <w:szCs w:val="18"/>
                <w:color w:val="auto"/>
              </w:rPr>
              <w:t>Total product revenue</w:t>
            </w: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20,628</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9,697</w:t>
            </w: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38,838</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15,623</w:t>
            </w:r>
          </w:p>
        </w:tc>
        <w:tc>
          <w:tcPr>
            <w:tcW w:w="120" w:type="dxa"/>
            <w:vAlign w:val="bottom"/>
            <w:shd w:val="clear" w:color="auto" w:fill="CFF0FC"/>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50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Service and other revenue</w:t>
            </w: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4,588</w:t>
            </w:r>
          </w:p>
        </w:tc>
        <w:tc>
          <w:tcPr>
            <w:tcW w:w="2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2,045</w:t>
            </w:r>
          </w:p>
        </w:tc>
        <w:tc>
          <w:tcPr>
            <w:tcW w:w="20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9,294</w:t>
            </w:r>
          </w:p>
        </w:tc>
        <w:tc>
          <w:tcPr>
            <w:tcW w:w="2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3,309</w:t>
            </w:r>
          </w:p>
        </w:tc>
        <w:tc>
          <w:tcPr>
            <w:tcW w:w="120" w:type="dxa"/>
            <w:vAlign w:val="bottom"/>
            <w:tcBorders>
              <w:bottom w:val="single" w:sz="8" w:color="CFF0FC"/>
            </w:tcBorders>
          </w:tcPr>
          <w:p>
            <w:pPr>
              <w:spacing w:after="0"/>
              <w:rPr>
                <w:sz w:val="19"/>
                <w:szCs w:val="19"/>
                <w:color w:val="auto"/>
              </w:rPr>
            </w:pPr>
          </w:p>
        </w:tc>
      </w:tr>
      <w:tr>
        <w:trPr>
          <w:trHeight w:val="223"/>
        </w:trPr>
        <w:tc>
          <w:tcPr>
            <w:tcW w:w="580" w:type="dxa"/>
            <w:vAlign w:val="bottom"/>
          </w:tcPr>
          <w:p>
            <w:pPr>
              <w:spacing w:after="0"/>
              <w:rPr>
                <w:sz w:val="19"/>
                <w:szCs w:val="19"/>
                <w:color w:val="auto"/>
              </w:rPr>
            </w:pPr>
          </w:p>
        </w:tc>
        <w:tc>
          <w:tcPr>
            <w:tcW w:w="5080" w:type="dxa"/>
            <w:vAlign w:val="bottom"/>
            <w:tcBorders>
              <w:bottom w:val="single" w:sz="8" w:color="CFF0FC"/>
            </w:tcBorders>
            <w:shd w:val="clear" w:color="auto" w:fill="CFF0FC"/>
          </w:tcPr>
          <w:p>
            <w:pPr>
              <w:ind w:left="360"/>
              <w:spacing w:after="0"/>
              <w:rPr>
                <w:sz w:val="20"/>
                <w:szCs w:val="20"/>
                <w:color w:val="auto"/>
              </w:rPr>
            </w:pPr>
            <w:r>
              <w:rPr>
                <w:rFonts w:ascii="Arial" w:cs="Arial" w:eastAsia="Arial" w:hAnsi="Arial"/>
                <w:sz w:val="18"/>
                <w:szCs w:val="18"/>
                <w:color w:val="auto"/>
              </w:rPr>
              <w:t>Total revenue</w:t>
            </w:r>
          </w:p>
        </w:tc>
        <w:tc>
          <w:tcPr>
            <w:tcW w:w="220" w:type="dxa"/>
            <w:vAlign w:val="bottom"/>
            <w:tcBorders>
              <w:bottom w:val="single" w:sz="8" w:color="auto"/>
            </w:tcBorders>
            <w:shd w:val="clear" w:color="auto" w:fill="CFF0FC"/>
          </w:tcPr>
          <w:p>
            <w:pPr>
              <w:jc w:val="right"/>
              <w:ind w:right="61"/>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25,216</w:t>
            </w:r>
          </w:p>
        </w:tc>
        <w:tc>
          <w:tcPr>
            <w:tcW w:w="20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11,742</w:t>
            </w:r>
          </w:p>
        </w:tc>
        <w:tc>
          <w:tcPr>
            <w:tcW w:w="20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41"/>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48,132</w:t>
            </w:r>
          </w:p>
        </w:tc>
        <w:tc>
          <w:tcPr>
            <w:tcW w:w="2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18,932</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58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07" w:lineRule="exact"/>
        <w:rPr>
          <w:sz w:val="20"/>
          <w:szCs w:val="20"/>
          <w:color w:val="auto"/>
        </w:rPr>
      </w:pPr>
    </w:p>
    <w:p>
      <w:pPr>
        <w:ind w:right="980" w:firstLine="427"/>
        <w:spacing w:after="0" w:line="277" w:lineRule="auto"/>
        <w:rPr>
          <w:sz w:val="20"/>
          <w:szCs w:val="20"/>
          <w:color w:val="auto"/>
        </w:rPr>
      </w:pPr>
      <w:r>
        <w:rPr>
          <w:rFonts w:ascii="Arial" w:cs="Arial" w:eastAsia="Arial" w:hAnsi="Arial"/>
          <w:sz w:val="18"/>
          <w:szCs w:val="18"/>
          <w:color w:val="auto"/>
        </w:rPr>
        <w:t>For the three and six months ended June 30, 2021, $1.3 million and $2.6 million of consoles revenue were from console operating lease arrangements, compared to $0.6 million and $1.2 million for the three and six months ended June 30, 2020.</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Performance Obligations and Contract Liabilities</w:t>
      </w:r>
    </w:p>
    <w:p>
      <w:pPr>
        <w:spacing w:after="0" w:line="117" w:lineRule="exact"/>
        <w:rPr>
          <w:sz w:val="20"/>
          <w:szCs w:val="20"/>
          <w:color w:val="auto"/>
        </w:rPr>
      </w:pPr>
    </w:p>
    <w:p>
      <w:pPr>
        <w:ind w:right="100" w:firstLine="427"/>
        <w:spacing w:after="0" w:line="286" w:lineRule="auto"/>
        <w:rPr>
          <w:sz w:val="20"/>
          <w:szCs w:val="20"/>
          <w:color w:val="auto"/>
        </w:rPr>
      </w:pPr>
      <w:r>
        <w:rPr>
          <w:rFonts w:ascii="Arial" w:cs="Arial" w:eastAsia="Arial" w:hAnsi="Arial"/>
          <w:sz w:val="17"/>
          <w:szCs w:val="17"/>
          <w:color w:val="auto"/>
        </w:rPr>
        <w:t>As of June 30, 2021, the aggregate amount of the transaction price allocated to the remaining performance obligations related to customer service contracts that are unsatisfied or partially unsatisfied was $4.9 million, which is recorded as deferred revenue on the Company’s condensed balance sheets. Of that amount, $4.4 million will be recognized as revenue during the next 12 months and $0.5 million thereafter.</w:t>
      </w:r>
    </w:p>
    <w:p>
      <w:pPr>
        <w:spacing w:after="0" w:line="57" w:lineRule="exact"/>
        <w:rPr>
          <w:sz w:val="20"/>
          <w:szCs w:val="20"/>
          <w:color w:val="auto"/>
        </w:rPr>
      </w:pPr>
    </w:p>
    <w:p>
      <w:pPr>
        <w:ind w:firstLine="427"/>
        <w:spacing w:after="0" w:line="342" w:lineRule="auto"/>
        <w:rPr>
          <w:sz w:val="20"/>
          <w:szCs w:val="20"/>
          <w:color w:val="auto"/>
        </w:rPr>
      </w:pPr>
      <w:r>
        <w:rPr>
          <w:rFonts w:ascii="Arial" w:cs="Arial" w:eastAsia="Arial" w:hAnsi="Arial"/>
          <w:sz w:val="16"/>
          <w:szCs w:val="16"/>
          <w:color w:val="auto"/>
        </w:rPr>
        <w:t>The contract liabilities consist of deferred revenue which represents payments received in advance of revenue recognition related to console service agreements and for prepayments for products or services yet to be delivered. Revenue under these agreements is recognized over the related service period.</w:t>
      </w:r>
    </w:p>
    <w:p>
      <w:pPr>
        <w:spacing w:after="0" w:line="34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598" w:right="399" w:bottom="1440" w:gutter="0" w:footer="0" w:header="0"/>
        </w:sectPr>
      </w:pPr>
    </w:p>
    <w:bookmarkStart w:id="12" w:name="page13"/>
    <w:bookmarkEnd w:id="12"/>
    <w:p>
      <w:pPr>
        <w:ind w:right="20"/>
        <w:spacing w:after="0" w:line="277" w:lineRule="auto"/>
        <w:rPr>
          <w:sz w:val="20"/>
          <w:szCs w:val="20"/>
          <w:color w:val="auto"/>
        </w:rPr>
      </w:pPr>
      <w:r>
        <w:rPr>
          <w:rFonts w:ascii="Arial" w:cs="Arial" w:eastAsia="Arial" w:hAnsi="Arial"/>
          <w:sz w:val="18"/>
          <w:szCs w:val="18"/>
          <w:color w:val="auto"/>
        </w:rPr>
        <w:t>Revenue recorded during the three and six months ended June 30, 2021 included $1.0 million and $2.6 million, respectively, of previously deferred revenue that was included in contract liabilities as of December 31, 2020.</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Fair Value Measurements</w:t>
      </w:r>
    </w:p>
    <w:p>
      <w:pPr>
        <w:spacing w:after="0" w:line="121" w:lineRule="exact"/>
        <w:rPr>
          <w:sz w:val="20"/>
          <w:szCs w:val="20"/>
          <w:color w:val="auto"/>
        </w:rPr>
      </w:pPr>
    </w:p>
    <w:p>
      <w:pPr>
        <w:ind w:right="20" w:firstLine="427"/>
        <w:spacing w:after="0" w:line="277" w:lineRule="auto"/>
        <w:rPr>
          <w:sz w:val="20"/>
          <w:szCs w:val="20"/>
          <w:color w:val="auto"/>
        </w:rPr>
      </w:pPr>
      <w:r>
        <w:rPr>
          <w:rFonts w:ascii="Arial" w:cs="Arial" w:eastAsia="Arial" w:hAnsi="Arial"/>
          <w:sz w:val="18"/>
          <w:szCs w:val="18"/>
          <w:color w:val="auto"/>
        </w:rPr>
        <w:t>The following tables summarize the Company’s financial assets measured at fair value on a recurring basis by level within the fair value hierarchy (in thousands):</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600" w:type="dxa"/>
            <w:vAlign w:val="bottom"/>
            <w:tcBorders>
              <w:bottom w:val="single" w:sz="8" w:color="auto"/>
            </w:tcBorders>
            <w:gridSpan w:val="5"/>
          </w:tcPr>
          <w:p>
            <w:pPr>
              <w:jc w:val="right"/>
              <w:ind w:right="920"/>
              <w:spacing w:after="0"/>
              <w:rPr>
                <w:sz w:val="20"/>
                <w:szCs w:val="20"/>
                <w:color w:val="auto"/>
              </w:rPr>
            </w:pPr>
            <w:r>
              <w:rPr>
                <w:rFonts w:ascii="Arial" w:cs="Arial" w:eastAsia="Arial" w:hAnsi="Arial"/>
                <w:sz w:val="18"/>
                <w:szCs w:val="18"/>
                <w:b w:val="1"/>
                <w:bCs w:val="1"/>
                <w:color w:val="auto"/>
              </w:rPr>
              <w:t>June 30, 2021</w:t>
            </w:r>
          </w:p>
        </w:tc>
        <w:tc>
          <w:tcPr>
            <w:tcW w:w="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5"/>
        </w:trPr>
        <w:tc>
          <w:tcPr>
            <w:tcW w:w="45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center"/>
              <w:ind w:right="50"/>
              <w:spacing w:after="0" w:line="205" w:lineRule="exact"/>
              <w:rPr>
                <w:sz w:val="20"/>
                <w:szCs w:val="20"/>
                <w:color w:val="auto"/>
              </w:rPr>
            </w:pPr>
            <w:r>
              <w:rPr>
                <w:rFonts w:ascii="Arial" w:cs="Arial" w:eastAsia="Arial" w:hAnsi="Arial"/>
                <w:sz w:val="18"/>
                <w:szCs w:val="18"/>
                <w:b w:val="1"/>
                <w:bCs w:val="1"/>
                <w:color w:val="auto"/>
                <w:w w:val="88"/>
              </w:rPr>
              <w:t>Gross</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2"/>
          </w:tcPr>
          <w:p>
            <w:pPr>
              <w:jc w:val="center"/>
              <w:ind w:right="280"/>
              <w:spacing w:after="0" w:line="205" w:lineRule="exact"/>
              <w:rPr>
                <w:sz w:val="20"/>
                <w:szCs w:val="20"/>
                <w:color w:val="auto"/>
              </w:rPr>
            </w:pPr>
            <w:r>
              <w:rPr>
                <w:rFonts w:ascii="Arial" w:cs="Arial" w:eastAsia="Arial" w:hAnsi="Arial"/>
                <w:sz w:val="18"/>
                <w:szCs w:val="18"/>
                <w:b w:val="1"/>
                <w:bCs w:val="1"/>
                <w:color w:val="auto"/>
                <w:w w:val="84"/>
              </w:rPr>
              <w:t>Gross</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45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Unrealized</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Unrealized</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58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8"/>
                <w:szCs w:val="18"/>
                <w:b w:val="1"/>
                <w:bCs w:val="1"/>
                <w:color w:val="auto"/>
                <w:w w:val="91"/>
              </w:rPr>
              <w:t>Valuation</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center"/>
              <w:ind w:right="50"/>
              <w:spacing w:after="0"/>
              <w:rPr>
                <w:sz w:val="20"/>
                <w:szCs w:val="20"/>
                <w:color w:val="auto"/>
              </w:rPr>
            </w:pPr>
            <w:r>
              <w:rPr>
                <w:rFonts w:ascii="Arial" w:cs="Arial" w:eastAsia="Arial" w:hAnsi="Arial"/>
                <w:sz w:val="18"/>
                <w:szCs w:val="18"/>
                <w:b w:val="1"/>
                <w:bCs w:val="1"/>
                <w:color w:val="auto"/>
                <w:w w:val="93"/>
              </w:rPr>
              <w:t>Amortized</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center"/>
              <w:ind w:right="50"/>
              <w:spacing w:after="0"/>
              <w:rPr>
                <w:sz w:val="20"/>
                <w:szCs w:val="20"/>
                <w:color w:val="auto"/>
              </w:rPr>
            </w:pPr>
            <w:r>
              <w:rPr>
                <w:rFonts w:ascii="Arial" w:cs="Arial" w:eastAsia="Arial" w:hAnsi="Arial"/>
                <w:sz w:val="18"/>
                <w:szCs w:val="18"/>
                <w:b w:val="1"/>
                <w:bCs w:val="1"/>
                <w:color w:val="auto"/>
                <w:w w:val="92"/>
              </w:rPr>
              <w:t>Holding</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2"/>
              </w:rPr>
              <w:t>Holding</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ind w:left="40"/>
              <w:spacing w:after="0"/>
              <w:rPr>
                <w:sz w:val="20"/>
                <w:szCs w:val="20"/>
                <w:color w:val="auto"/>
              </w:rPr>
            </w:pPr>
            <w:r>
              <w:rPr>
                <w:rFonts w:ascii="Arial" w:cs="Arial" w:eastAsia="Arial" w:hAnsi="Arial"/>
                <w:sz w:val="18"/>
                <w:szCs w:val="18"/>
                <w:b w:val="1"/>
                <w:bCs w:val="1"/>
                <w:color w:val="auto"/>
              </w:rPr>
              <w:t>Aggregate</w:t>
            </w:r>
          </w:p>
        </w:tc>
      </w:tr>
      <w:tr>
        <w:trPr>
          <w:trHeight w:val="234"/>
        </w:trPr>
        <w:tc>
          <w:tcPr>
            <w:tcW w:w="4580" w:type="dxa"/>
            <w:vAlign w:val="bottom"/>
          </w:tcPr>
          <w:p>
            <w:pPr>
              <w:spacing w:after="0"/>
              <w:rPr>
                <w:sz w:val="20"/>
                <w:szCs w:val="20"/>
                <w:color w:val="auto"/>
              </w:rPr>
            </w:pPr>
          </w:p>
        </w:tc>
        <w:tc>
          <w:tcPr>
            <w:tcW w:w="1040" w:type="dxa"/>
            <w:vAlign w:val="bottom"/>
          </w:tcPr>
          <w:p>
            <w:pPr>
              <w:jc w:val="center"/>
              <w:spacing w:after="0"/>
              <w:rPr>
                <w:sz w:val="20"/>
                <w:szCs w:val="20"/>
                <w:color w:val="auto"/>
              </w:rPr>
            </w:pPr>
            <w:r>
              <w:rPr>
                <w:rFonts w:ascii="Arial" w:cs="Arial" w:eastAsia="Arial" w:hAnsi="Arial"/>
                <w:sz w:val="18"/>
                <w:szCs w:val="18"/>
                <w:b w:val="1"/>
                <w:bCs w:val="1"/>
                <w:color w:val="auto"/>
                <w:w w:val="96"/>
              </w:rPr>
              <w:t>Hierarchy</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jc w:val="center"/>
              <w:ind w:right="50"/>
              <w:spacing w:after="0"/>
              <w:rPr>
                <w:sz w:val="20"/>
                <w:szCs w:val="20"/>
                <w:color w:val="auto"/>
              </w:rPr>
            </w:pPr>
            <w:r>
              <w:rPr>
                <w:rFonts w:ascii="Arial" w:cs="Arial" w:eastAsia="Arial" w:hAnsi="Arial"/>
                <w:sz w:val="18"/>
                <w:szCs w:val="18"/>
                <w:b w:val="1"/>
                <w:bCs w:val="1"/>
                <w:color w:val="auto"/>
                <w:w w:val="83"/>
              </w:rPr>
              <w:t>Costs</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jc w:val="center"/>
              <w:ind w:right="50"/>
              <w:spacing w:after="0"/>
              <w:rPr>
                <w:sz w:val="20"/>
                <w:szCs w:val="20"/>
                <w:color w:val="auto"/>
              </w:rPr>
            </w:pPr>
            <w:r>
              <w:rPr>
                <w:rFonts w:ascii="Arial" w:cs="Arial" w:eastAsia="Arial" w:hAnsi="Arial"/>
                <w:sz w:val="18"/>
                <w:szCs w:val="18"/>
                <w:b w:val="1"/>
                <w:bCs w:val="1"/>
                <w:color w:val="auto"/>
                <w:w w:val="91"/>
              </w:rPr>
              <w:t>Gains</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0"/>
              </w:rPr>
              <w:t>Losses</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gridSpan w:val="2"/>
          </w:tcPr>
          <w:p>
            <w:pPr>
              <w:ind w:left="40"/>
              <w:spacing w:after="0"/>
              <w:rPr>
                <w:sz w:val="20"/>
                <w:szCs w:val="20"/>
                <w:color w:val="auto"/>
              </w:rPr>
            </w:pPr>
            <w:r>
              <w:rPr>
                <w:rFonts w:ascii="Arial" w:cs="Arial" w:eastAsia="Arial" w:hAnsi="Arial"/>
                <w:sz w:val="18"/>
                <w:szCs w:val="18"/>
                <w:b w:val="1"/>
                <w:bCs w:val="1"/>
                <w:color w:val="auto"/>
              </w:rPr>
              <w:t>Fair Value</w:t>
            </w:r>
          </w:p>
        </w:tc>
      </w:tr>
      <w:tr>
        <w:trPr>
          <w:trHeight w:val="223"/>
        </w:trPr>
        <w:tc>
          <w:tcPr>
            <w:tcW w:w="45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104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4580" w:type="dxa"/>
            <w:vAlign w:val="bottom"/>
          </w:tcPr>
          <w:p>
            <w:pPr>
              <w:spacing w:after="0"/>
              <w:rPr>
                <w:sz w:val="20"/>
                <w:szCs w:val="20"/>
                <w:color w:val="auto"/>
              </w:rPr>
            </w:pPr>
            <w:r>
              <w:rPr>
                <w:rFonts w:ascii="Arial" w:cs="Arial" w:eastAsia="Arial" w:hAnsi="Arial"/>
                <w:sz w:val="18"/>
                <w:szCs w:val="18"/>
                <w:color w:val="auto"/>
              </w:rPr>
              <w:t>Cash equivalents:</w:t>
            </w: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45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Money market funds</w:t>
            </w:r>
          </w:p>
        </w:tc>
        <w:tc>
          <w:tcPr>
            <w:tcW w:w="10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2"/>
              </w:rPr>
              <w:t>Level 1</w:t>
            </w: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106,486</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106,486</w:t>
            </w:r>
          </w:p>
        </w:tc>
        <w:tc>
          <w:tcPr>
            <w:tcW w:w="100" w:type="dxa"/>
            <w:vAlign w:val="bottom"/>
            <w:shd w:val="clear" w:color="auto" w:fill="CFF0FC"/>
          </w:tcPr>
          <w:p>
            <w:pPr>
              <w:spacing w:after="0"/>
              <w:rPr>
                <w:sz w:val="19"/>
                <w:szCs w:val="19"/>
                <w:color w:val="auto"/>
              </w:rPr>
            </w:pPr>
          </w:p>
        </w:tc>
      </w:tr>
      <w:tr>
        <w:trPr>
          <w:trHeight w:val="230"/>
        </w:trPr>
        <w:tc>
          <w:tcPr>
            <w:tcW w:w="4580" w:type="dxa"/>
            <w:vAlign w:val="bottom"/>
          </w:tcPr>
          <w:p>
            <w:pPr>
              <w:spacing w:after="0"/>
              <w:rPr>
                <w:sz w:val="20"/>
                <w:szCs w:val="20"/>
                <w:color w:val="auto"/>
              </w:rPr>
            </w:pPr>
            <w:r>
              <w:rPr>
                <w:rFonts w:ascii="Arial" w:cs="Arial" w:eastAsia="Arial" w:hAnsi="Arial"/>
                <w:sz w:val="18"/>
                <w:szCs w:val="18"/>
                <w:color w:val="auto"/>
              </w:rPr>
              <w:t>Short-term investments:</w:t>
            </w: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45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Corporate debt</w:t>
            </w:r>
          </w:p>
        </w:tc>
        <w:tc>
          <w:tcPr>
            <w:tcW w:w="10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2"/>
              </w:rPr>
              <w:t>Level 2</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101,964</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(33)</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101,936</w:t>
            </w:r>
          </w:p>
        </w:tc>
        <w:tc>
          <w:tcPr>
            <w:tcW w:w="100" w:type="dxa"/>
            <w:vAlign w:val="bottom"/>
            <w:shd w:val="clear" w:color="auto" w:fill="CFF0FC"/>
          </w:tcPr>
          <w:p>
            <w:pPr>
              <w:spacing w:after="0"/>
              <w:rPr>
                <w:sz w:val="19"/>
                <w:szCs w:val="19"/>
                <w:color w:val="auto"/>
              </w:rPr>
            </w:pPr>
          </w:p>
        </w:tc>
      </w:tr>
      <w:tr>
        <w:trPr>
          <w:trHeight w:val="230"/>
        </w:trPr>
        <w:tc>
          <w:tcPr>
            <w:tcW w:w="4580" w:type="dxa"/>
            <w:vAlign w:val="bottom"/>
          </w:tcPr>
          <w:p>
            <w:pPr>
              <w:ind w:left="260"/>
              <w:spacing w:after="0"/>
              <w:rPr>
                <w:sz w:val="20"/>
                <w:szCs w:val="20"/>
                <w:color w:val="auto"/>
              </w:rPr>
            </w:pPr>
            <w:r>
              <w:rPr>
                <w:rFonts w:ascii="Arial" w:cs="Arial" w:eastAsia="Arial" w:hAnsi="Arial"/>
                <w:sz w:val="18"/>
                <w:szCs w:val="18"/>
                <w:color w:val="auto"/>
              </w:rPr>
              <w:t>Commercial paper</w:t>
            </w:r>
          </w:p>
        </w:tc>
        <w:tc>
          <w:tcPr>
            <w:tcW w:w="1040" w:type="dxa"/>
            <w:vAlign w:val="bottom"/>
          </w:tcPr>
          <w:p>
            <w:pPr>
              <w:jc w:val="center"/>
              <w:spacing w:after="0"/>
              <w:rPr>
                <w:sz w:val="20"/>
                <w:szCs w:val="20"/>
                <w:color w:val="auto"/>
              </w:rPr>
            </w:pPr>
            <w:r>
              <w:rPr>
                <w:rFonts w:ascii="Arial" w:cs="Arial" w:eastAsia="Arial" w:hAnsi="Arial"/>
                <w:sz w:val="18"/>
                <w:szCs w:val="18"/>
                <w:color w:val="auto"/>
                <w:w w:val="92"/>
              </w:rPr>
              <w:t>Level 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17,984</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17,984</w:t>
            </w:r>
          </w:p>
        </w:tc>
        <w:tc>
          <w:tcPr>
            <w:tcW w:w="100" w:type="dxa"/>
            <w:vAlign w:val="bottom"/>
          </w:tcPr>
          <w:p>
            <w:pPr>
              <w:spacing w:after="0"/>
              <w:rPr>
                <w:sz w:val="19"/>
                <w:szCs w:val="19"/>
                <w:color w:val="auto"/>
              </w:rPr>
            </w:pPr>
          </w:p>
        </w:tc>
      </w:tr>
      <w:tr>
        <w:trPr>
          <w:trHeight w:val="229"/>
        </w:trPr>
        <w:tc>
          <w:tcPr>
            <w:tcW w:w="45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Yankee debt securities</w:t>
            </w:r>
          </w:p>
        </w:tc>
        <w:tc>
          <w:tcPr>
            <w:tcW w:w="10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2"/>
              </w:rPr>
              <w:t>Level 2</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2,014</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2,014</w:t>
            </w:r>
          </w:p>
        </w:tc>
        <w:tc>
          <w:tcPr>
            <w:tcW w:w="100" w:type="dxa"/>
            <w:vAlign w:val="bottom"/>
            <w:shd w:val="clear" w:color="auto" w:fill="CFF0FC"/>
          </w:tcPr>
          <w:p>
            <w:pPr>
              <w:spacing w:after="0"/>
              <w:rPr>
                <w:sz w:val="19"/>
                <w:szCs w:val="19"/>
                <w:color w:val="auto"/>
              </w:rPr>
            </w:pPr>
          </w:p>
        </w:tc>
      </w:tr>
      <w:tr>
        <w:trPr>
          <w:trHeight w:val="209"/>
        </w:trPr>
        <w:tc>
          <w:tcPr>
            <w:tcW w:w="4580" w:type="dxa"/>
            <w:vAlign w:val="bottom"/>
          </w:tcPr>
          <w:p>
            <w:pPr>
              <w:jc w:val="center"/>
              <w:ind w:right="1830"/>
              <w:spacing w:after="0"/>
              <w:rPr>
                <w:sz w:val="20"/>
                <w:szCs w:val="20"/>
                <w:color w:val="auto"/>
              </w:rPr>
            </w:pPr>
            <w:r>
              <w:rPr>
                <w:rFonts w:ascii="Arial" w:cs="Arial" w:eastAsia="Arial" w:hAnsi="Arial"/>
                <w:sz w:val="18"/>
                <w:szCs w:val="18"/>
                <w:color w:val="auto"/>
                <w:w w:val="88"/>
              </w:rPr>
              <w:t>Total cash equivalents and</w:t>
            </w: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4580" w:type="dxa"/>
            <w:vAlign w:val="bottom"/>
          </w:tcPr>
          <w:p>
            <w:pPr>
              <w:jc w:val="center"/>
              <w:ind w:right="1810"/>
              <w:spacing w:after="0"/>
              <w:rPr>
                <w:sz w:val="20"/>
                <w:szCs w:val="20"/>
                <w:color w:val="auto"/>
              </w:rPr>
            </w:pPr>
            <w:r>
              <w:rPr>
                <w:rFonts w:ascii="Arial" w:cs="Arial" w:eastAsia="Arial" w:hAnsi="Arial"/>
                <w:sz w:val="18"/>
                <w:szCs w:val="18"/>
                <w:color w:val="auto"/>
                <w:w w:val="89"/>
              </w:rPr>
              <w:t>short-term investments</w:t>
            </w: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228,448</w:t>
            </w:r>
          </w:p>
        </w:tc>
        <w:tc>
          <w:tcPr>
            <w:tcW w:w="2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w:t>
            </w:r>
          </w:p>
        </w:tc>
        <w:tc>
          <w:tcPr>
            <w:tcW w:w="3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(33)</w:t>
            </w:r>
          </w:p>
        </w:tc>
        <w:tc>
          <w:tcPr>
            <w:tcW w:w="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228,420</w:t>
            </w:r>
          </w:p>
        </w:tc>
        <w:tc>
          <w:tcPr>
            <w:tcW w:w="100" w:type="dxa"/>
            <w:vAlign w:val="bottom"/>
          </w:tcPr>
          <w:p>
            <w:pPr>
              <w:spacing w:after="0"/>
              <w:rPr>
                <w:sz w:val="20"/>
                <w:szCs w:val="20"/>
                <w:color w:val="auto"/>
              </w:rPr>
            </w:pPr>
          </w:p>
        </w:tc>
      </w:tr>
      <w:tr>
        <w:trPr>
          <w:trHeight w:val="20"/>
        </w:trPr>
        <w:tc>
          <w:tcPr>
            <w:tcW w:w="45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32"/>
        </w:trPr>
        <w:tc>
          <w:tcPr>
            <w:tcW w:w="45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gridSpan w:val="5"/>
          </w:tcPr>
          <w:p>
            <w:pPr>
              <w:jc w:val="right"/>
              <w:ind w:right="720"/>
              <w:spacing w:after="0"/>
              <w:rPr>
                <w:sz w:val="20"/>
                <w:szCs w:val="20"/>
                <w:color w:val="auto"/>
              </w:rPr>
            </w:pPr>
            <w:r>
              <w:rPr>
                <w:rFonts w:ascii="Arial" w:cs="Arial" w:eastAsia="Arial" w:hAnsi="Arial"/>
                <w:sz w:val="18"/>
                <w:szCs w:val="18"/>
                <w:b w:val="1"/>
                <w:bCs w:val="1"/>
                <w:color w:val="auto"/>
              </w:rPr>
              <w:t>December 31, 2020</w:t>
            </w: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05"/>
        </w:trPr>
        <w:tc>
          <w:tcPr>
            <w:tcW w:w="45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center"/>
              <w:ind w:right="50"/>
              <w:spacing w:after="0" w:line="205" w:lineRule="exact"/>
              <w:rPr>
                <w:sz w:val="20"/>
                <w:szCs w:val="20"/>
                <w:color w:val="auto"/>
              </w:rPr>
            </w:pPr>
            <w:r>
              <w:rPr>
                <w:rFonts w:ascii="Arial" w:cs="Arial" w:eastAsia="Arial" w:hAnsi="Arial"/>
                <w:sz w:val="18"/>
                <w:szCs w:val="18"/>
                <w:b w:val="1"/>
                <w:bCs w:val="1"/>
                <w:color w:val="auto"/>
                <w:w w:val="88"/>
              </w:rPr>
              <w:t>Gross</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2"/>
          </w:tcPr>
          <w:p>
            <w:pPr>
              <w:jc w:val="center"/>
              <w:ind w:right="280"/>
              <w:spacing w:after="0" w:line="205" w:lineRule="exact"/>
              <w:rPr>
                <w:sz w:val="20"/>
                <w:szCs w:val="20"/>
                <w:color w:val="auto"/>
              </w:rPr>
            </w:pPr>
            <w:r>
              <w:rPr>
                <w:rFonts w:ascii="Arial" w:cs="Arial" w:eastAsia="Arial" w:hAnsi="Arial"/>
                <w:sz w:val="18"/>
                <w:szCs w:val="18"/>
                <w:b w:val="1"/>
                <w:bCs w:val="1"/>
                <w:color w:val="auto"/>
                <w:w w:val="84"/>
              </w:rPr>
              <w:t>Gross</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45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Unrealized</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Unrealized</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5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center"/>
              <w:ind w:right="50"/>
              <w:spacing w:after="0"/>
              <w:rPr>
                <w:sz w:val="20"/>
                <w:szCs w:val="20"/>
                <w:color w:val="auto"/>
              </w:rPr>
            </w:pPr>
            <w:r>
              <w:rPr>
                <w:rFonts w:ascii="Arial" w:cs="Arial" w:eastAsia="Arial" w:hAnsi="Arial"/>
                <w:sz w:val="18"/>
                <w:szCs w:val="18"/>
                <w:b w:val="1"/>
                <w:bCs w:val="1"/>
                <w:color w:val="auto"/>
                <w:w w:val="93"/>
              </w:rPr>
              <w:t>Amortized</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center"/>
              <w:ind w:right="50"/>
              <w:spacing w:after="0"/>
              <w:rPr>
                <w:sz w:val="20"/>
                <w:szCs w:val="20"/>
                <w:color w:val="auto"/>
              </w:rPr>
            </w:pPr>
            <w:r>
              <w:rPr>
                <w:rFonts w:ascii="Arial" w:cs="Arial" w:eastAsia="Arial" w:hAnsi="Arial"/>
                <w:sz w:val="18"/>
                <w:szCs w:val="18"/>
                <w:b w:val="1"/>
                <w:bCs w:val="1"/>
                <w:color w:val="auto"/>
                <w:w w:val="92"/>
              </w:rPr>
              <w:t>Holding</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2"/>
              </w:rPr>
              <w:t>Holding</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ind w:left="40"/>
              <w:spacing w:after="0"/>
              <w:rPr>
                <w:sz w:val="20"/>
                <w:szCs w:val="20"/>
                <w:color w:val="auto"/>
              </w:rPr>
            </w:pPr>
            <w:r>
              <w:rPr>
                <w:rFonts w:ascii="Arial" w:cs="Arial" w:eastAsia="Arial" w:hAnsi="Arial"/>
                <w:sz w:val="18"/>
                <w:szCs w:val="18"/>
                <w:b w:val="1"/>
                <w:bCs w:val="1"/>
                <w:color w:val="auto"/>
              </w:rPr>
              <w:t>Aggregate</w:t>
            </w:r>
          </w:p>
        </w:tc>
      </w:tr>
      <w:tr>
        <w:trPr>
          <w:trHeight w:val="234"/>
        </w:trPr>
        <w:tc>
          <w:tcPr>
            <w:tcW w:w="45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jc w:val="center"/>
              <w:ind w:right="50"/>
              <w:spacing w:after="0"/>
              <w:rPr>
                <w:sz w:val="20"/>
                <w:szCs w:val="20"/>
                <w:color w:val="auto"/>
              </w:rPr>
            </w:pPr>
            <w:r>
              <w:rPr>
                <w:rFonts w:ascii="Arial" w:cs="Arial" w:eastAsia="Arial" w:hAnsi="Arial"/>
                <w:sz w:val="18"/>
                <w:szCs w:val="18"/>
                <w:b w:val="1"/>
                <w:bCs w:val="1"/>
                <w:color w:val="auto"/>
                <w:w w:val="83"/>
              </w:rPr>
              <w:t>Costs</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jc w:val="center"/>
              <w:ind w:right="50"/>
              <w:spacing w:after="0"/>
              <w:rPr>
                <w:sz w:val="20"/>
                <w:szCs w:val="20"/>
                <w:color w:val="auto"/>
              </w:rPr>
            </w:pPr>
            <w:r>
              <w:rPr>
                <w:rFonts w:ascii="Arial" w:cs="Arial" w:eastAsia="Arial" w:hAnsi="Arial"/>
                <w:sz w:val="18"/>
                <w:szCs w:val="18"/>
                <w:b w:val="1"/>
                <w:bCs w:val="1"/>
                <w:color w:val="auto"/>
                <w:w w:val="91"/>
              </w:rPr>
              <w:t>Gains</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0"/>
              </w:rPr>
              <w:t>Losses</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gridSpan w:val="2"/>
          </w:tcPr>
          <w:p>
            <w:pPr>
              <w:ind w:left="40"/>
              <w:spacing w:after="0"/>
              <w:rPr>
                <w:sz w:val="20"/>
                <w:szCs w:val="20"/>
                <w:color w:val="auto"/>
              </w:rPr>
            </w:pPr>
            <w:r>
              <w:rPr>
                <w:rFonts w:ascii="Arial" w:cs="Arial" w:eastAsia="Arial" w:hAnsi="Arial"/>
                <w:sz w:val="18"/>
                <w:szCs w:val="18"/>
                <w:b w:val="1"/>
                <w:bCs w:val="1"/>
                <w:color w:val="auto"/>
              </w:rPr>
              <w:t>Fair Value</w:t>
            </w:r>
          </w:p>
        </w:tc>
      </w:tr>
      <w:tr>
        <w:trPr>
          <w:trHeight w:val="223"/>
        </w:trPr>
        <w:tc>
          <w:tcPr>
            <w:tcW w:w="45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10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4580" w:type="dxa"/>
            <w:vAlign w:val="bottom"/>
          </w:tcPr>
          <w:p>
            <w:pPr>
              <w:spacing w:after="0"/>
              <w:rPr>
                <w:sz w:val="20"/>
                <w:szCs w:val="20"/>
                <w:color w:val="auto"/>
              </w:rPr>
            </w:pPr>
            <w:r>
              <w:rPr>
                <w:rFonts w:ascii="Arial" w:cs="Arial" w:eastAsia="Arial" w:hAnsi="Arial"/>
                <w:sz w:val="18"/>
                <w:szCs w:val="18"/>
                <w:color w:val="auto"/>
              </w:rPr>
              <w:t>Cash equivalents:</w:t>
            </w: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45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Money market funds</w:t>
            </w:r>
          </w:p>
        </w:tc>
        <w:tc>
          <w:tcPr>
            <w:tcW w:w="10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2"/>
              </w:rPr>
              <w:t>Level 1</w:t>
            </w: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56,056</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56,056</w:t>
            </w:r>
          </w:p>
        </w:tc>
        <w:tc>
          <w:tcPr>
            <w:tcW w:w="100" w:type="dxa"/>
            <w:vAlign w:val="bottom"/>
            <w:shd w:val="clear" w:color="auto" w:fill="CFF0FC"/>
          </w:tcPr>
          <w:p>
            <w:pPr>
              <w:spacing w:after="0"/>
              <w:rPr>
                <w:sz w:val="19"/>
                <w:szCs w:val="19"/>
                <w:color w:val="auto"/>
              </w:rPr>
            </w:pPr>
          </w:p>
        </w:tc>
      </w:tr>
      <w:tr>
        <w:trPr>
          <w:trHeight w:val="230"/>
        </w:trPr>
        <w:tc>
          <w:tcPr>
            <w:tcW w:w="4580" w:type="dxa"/>
            <w:vAlign w:val="bottom"/>
          </w:tcPr>
          <w:p>
            <w:pPr>
              <w:spacing w:after="0"/>
              <w:rPr>
                <w:sz w:val="20"/>
                <w:szCs w:val="20"/>
                <w:color w:val="auto"/>
              </w:rPr>
            </w:pPr>
            <w:r>
              <w:rPr>
                <w:rFonts w:ascii="Arial" w:cs="Arial" w:eastAsia="Arial" w:hAnsi="Arial"/>
                <w:sz w:val="18"/>
                <w:szCs w:val="18"/>
                <w:color w:val="auto"/>
              </w:rPr>
              <w:t>Short-term investments:</w:t>
            </w: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45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U.S. Treasury securities</w:t>
            </w:r>
          </w:p>
        </w:tc>
        <w:tc>
          <w:tcPr>
            <w:tcW w:w="10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2"/>
              </w:rPr>
              <w:t>Level 1</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14,999</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15,000</w:t>
            </w:r>
          </w:p>
        </w:tc>
        <w:tc>
          <w:tcPr>
            <w:tcW w:w="100" w:type="dxa"/>
            <w:vAlign w:val="bottom"/>
            <w:shd w:val="clear" w:color="auto" w:fill="CFF0FC"/>
          </w:tcPr>
          <w:p>
            <w:pPr>
              <w:spacing w:after="0"/>
              <w:rPr>
                <w:sz w:val="19"/>
                <w:szCs w:val="19"/>
                <w:color w:val="auto"/>
              </w:rPr>
            </w:pPr>
          </w:p>
        </w:tc>
      </w:tr>
      <w:tr>
        <w:trPr>
          <w:trHeight w:val="230"/>
        </w:trPr>
        <w:tc>
          <w:tcPr>
            <w:tcW w:w="4580" w:type="dxa"/>
            <w:vAlign w:val="bottom"/>
          </w:tcPr>
          <w:p>
            <w:pPr>
              <w:ind w:left="260"/>
              <w:spacing w:after="0"/>
              <w:rPr>
                <w:sz w:val="20"/>
                <w:szCs w:val="20"/>
                <w:color w:val="auto"/>
              </w:rPr>
            </w:pPr>
            <w:r>
              <w:rPr>
                <w:rFonts w:ascii="Arial" w:cs="Arial" w:eastAsia="Arial" w:hAnsi="Arial"/>
                <w:sz w:val="18"/>
                <w:szCs w:val="18"/>
                <w:color w:val="auto"/>
              </w:rPr>
              <w:t>Corporate debt</w:t>
            </w:r>
          </w:p>
        </w:tc>
        <w:tc>
          <w:tcPr>
            <w:tcW w:w="1040" w:type="dxa"/>
            <w:vAlign w:val="bottom"/>
          </w:tcPr>
          <w:p>
            <w:pPr>
              <w:jc w:val="center"/>
              <w:spacing w:after="0"/>
              <w:rPr>
                <w:sz w:val="20"/>
                <w:szCs w:val="20"/>
                <w:color w:val="auto"/>
              </w:rPr>
            </w:pPr>
            <w:r>
              <w:rPr>
                <w:rFonts w:ascii="Arial" w:cs="Arial" w:eastAsia="Arial" w:hAnsi="Arial"/>
                <w:sz w:val="18"/>
                <w:szCs w:val="18"/>
                <w:color w:val="auto"/>
                <w:w w:val="92"/>
              </w:rPr>
              <w:t>Level 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4,898</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4,898</w:t>
            </w:r>
          </w:p>
        </w:tc>
        <w:tc>
          <w:tcPr>
            <w:tcW w:w="100" w:type="dxa"/>
            <w:vAlign w:val="bottom"/>
          </w:tcPr>
          <w:p>
            <w:pPr>
              <w:spacing w:after="0"/>
              <w:rPr>
                <w:sz w:val="19"/>
                <w:szCs w:val="19"/>
                <w:color w:val="auto"/>
              </w:rPr>
            </w:pPr>
          </w:p>
        </w:tc>
      </w:tr>
      <w:tr>
        <w:trPr>
          <w:trHeight w:val="209"/>
        </w:trPr>
        <w:tc>
          <w:tcPr>
            <w:tcW w:w="4580" w:type="dxa"/>
            <w:vAlign w:val="bottom"/>
            <w:tcBorders>
              <w:top w:val="single" w:sz="8" w:color="CFF0FC"/>
            </w:tcBorders>
            <w:shd w:val="clear" w:color="auto" w:fill="CFF0FC"/>
          </w:tcPr>
          <w:p>
            <w:pPr>
              <w:jc w:val="center"/>
              <w:ind w:right="1830"/>
              <w:spacing w:after="0"/>
              <w:rPr>
                <w:sz w:val="20"/>
                <w:szCs w:val="20"/>
                <w:color w:val="auto"/>
              </w:rPr>
            </w:pPr>
            <w:r>
              <w:rPr>
                <w:rFonts w:ascii="Arial" w:cs="Arial" w:eastAsia="Arial" w:hAnsi="Arial"/>
                <w:sz w:val="18"/>
                <w:szCs w:val="18"/>
                <w:color w:val="auto"/>
                <w:w w:val="88"/>
              </w:rPr>
              <w:t>Total cash equivalents and</w:t>
            </w:r>
          </w:p>
        </w:tc>
        <w:tc>
          <w:tcPr>
            <w:tcW w:w="104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r>
      <w:tr>
        <w:trPr>
          <w:trHeight w:val="230"/>
        </w:trPr>
        <w:tc>
          <w:tcPr>
            <w:tcW w:w="4580" w:type="dxa"/>
            <w:vAlign w:val="bottom"/>
            <w:shd w:val="clear" w:color="auto" w:fill="CFF0FC"/>
          </w:tcPr>
          <w:p>
            <w:pPr>
              <w:jc w:val="center"/>
              <w:ind w:right="1810"/>
              <w:spacing w:after="0"/>
              <w:rPr>
                <w:sz w:val="20"/>
                <w:szCs w:val="20"/>
                <w:color w:val="auto"/>
              </w:rPr>
            </w:pPr>
            <w:r>
              <w:rPr>
                <w:rFonts w:ascii="Arial" w:cs="Arial" w:eastAsia="Arial" w:hAnsi="Arial"/>
                <w:sz w:val="18"/>
                <w:szCs w:val="18"/>
                <w:color w:val="auto"/>
                <w:w w:val="89"/>
              </w:rPr>
              <w:t>short-term investments</w:t>
            </w:r>
          </w:p>
        </w:tc>
        <w:tc>
          <w:tcPr>
            <w:tcW w:w="1040" w:type="dxa"/>
            <w:vAlign w:val="bottom"/>
            <w:shd w:val="clear" w:color="auto" w:fill="CFF0FC"/>
          </w:tcPr>
          <w:p>
            <w:pPr>
              <w:spacing w:after="0"/>
              <w:rPr>
                <w:sz w:val="20"/>
                <w:szCs w:val="20"/>
                <w:color w:val="auto"/>
              </w:rPr>
            </w:pP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75,953</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3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75,954</w:t>
            </w:r>
          </w:p>
        </w:tc>
        <w:tc>
          <w:tcPr>
            <w:tcW w:w="100" w:type="dxa"/>
            <w:vAlign w:val="bottom"/>
            <w:shd w:val="clear" w:color="auto" w:fill="CFF0FC"/>
          </w:tcPr>
          <w:p>
            <w:pPr>
              <w:spacing w:after="0"/>
              <w:rPr>
                <w:sz w:val="20"/>
                <w:szCs w:val="20"/>
                <w:color w:val="auto"/>
              </w:rPr>
            </w:pPr>
          </w:p>
        </w:tc>
      </w:tr>
      <w:tr>
        <w:trPr>
          <w:trHeight w:val="20"/>
        </w:trPr>
        <w:tc>
          <w:tcPr>
            <w:tcW w:w="4580" w:type="dxa"/>
            <w:vAlign w:val="bottom"/>
            <w:tcBorders>
              <w:top w:val="single" w:sz="8" w:color="CFF0FC"/>
            </w:tcBorders>
          </w:tcPr>
          <w:p>
            <w:pPr>
              <w:spacing w:after="0" w:line="20" w:lineRule="exact"/>
              <w:rPr>
                <w:sz w:val="1"/>
                <w:szCs w:val="1"/>
                <w:color w:val="auto"/>
              </w:rPr>
            </w:pPr>
          </w:p>
        </w:tc>
        <w:tc>
          <w:tcPr>
            <w:tcW w:w="104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bl>
    <w:p>
      <w:pPr>
        <w:spacing w:after="0" w:line="10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of June 30, 2021, the remaining contractual maturities for available-for-sale securities were between one month to sixteen months.</w:t>
      </w:r>
    </w:p>
    <w:p>
      <w:pPr>
        <w:spacing w:after="0" w:line="117" w:lineRule="exact"/>
        <w:rPr>
          <w:sz w:val="20"/>
          <w:szCs w:val="20"/>
          <w:color w:val="auto"/>
        </w:rPr>
      </w:pPr>
    </w:p>
    <w:p>
      <w:pPr>
        <w:ind w:right="60" w:firstLine="427"/>
        <w:spacing w:after="0" w:line="275" w:lineRule="auto"/>
        <w:rPr>
          <w:sz w:val="20"/>
          <w:szCs w:val="20"/>
          <w:color w:val="auto"/>
        </w:rPr>
      </w:pPr>
      <w:r>
        <w:rPr>
          <w:rFonts w:ascii="Arial" w:cs="Arial" w:eastAsia="Arial" w:hAnsi="Arial"/>
          <w:sz w:val="17"/>
          <w:szCs w:val="17"/>
          <w:color w:val="auto"/>
        </w:rPr>
        <w:t>Impairment assessments are made at the individual security level at each reporting period. When the fair value of an available-for-sale security is less than its cost at the balance sheet date, a determination is made as to whether the impairment is other-than-temporary and, if it is other-than-temporary, an impairment loss is recognized in earnings equal to the difference between the investment’s amortized cost and fair value at such date. There were no unrealized losses for securities in an unrealized loss position for more than 12 months as of June 30, 2021. During the three and six months ended June 30, 2021 and 2020, the Company did not recognize other-than-temporary impairment losses related to its investment securities.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20" w:type="dxa"/>
            <w:vAlign w:val="bottom"/>
            <w:gridSpan w:val="2"/>
          </w:tcPr>
          <w:p>
            <w:pPr>
              <w:spacing w:after="0"/>
              <w:rPr>
                <w:sz w:val="20"/>
                <w:szCs w:val="20"/>
                <w:color w:val="auto"/>
              </w:rPr>
            </w:pPr>
            <w:r>
              <w:rPr>
                <w:rFonts w:ascii="Arial" w:cs="Arial" w:eastAsia="Arial" w:hAnsi="Arial"/>
                <w:sz w:val="18"/>
                <w:szCs w:val="18"/>
                <w:b w:val="1"/>
                <w:bCs w:val="1"/>
                <w:color w:val="auto"/>
              </w:rPr>
              <w:t>5. Balance Sheet Components</w:t>
            </w:r>
          </w:p>
        </w:tc>
        <w:tc>
          <w:tcPr>
            <w:tcW w:w="25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482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Inventories</w:t>
            </w:r>
          </w:p>
        </w:tc>
        <w:tc>
          <w:tcPr>
            <w:tcW w:w="2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820" w:type="dxa"/>
            <w:vAlign w:val="bottom"/>
            <w:gridSpan w:val="2"/>
          </w:tcPr>
          <w:p>
            <w:pPr>
              <w:ind w:left="440"/>
              <w:spacing w:after="0"/>
              <w:rPr>
                <w:sz w:val="20"/>
                <w:szCs w:val="20"/>
                <w:color w:val="auto"/>
              </w:rPr>
            </w:pPr>
            <w:r>
              <w:rPr>
                <w:rFonts w:ascii="Arial" w:cs="Arial" w:eastAsia="Arial" w:hAnsi="Arial"/>
                <w:sz w:val="18"/>
                <w:szCs w:val="18"/>
                <w:color w:val="auto"/>
              </w:rPr>
              <w:t>Inventories consist of the following (in thousands):</w:t>
            </w:r>
          </w:p>
        </w:tc>
        <w:tc>
          <w:tcPr>
            <w:tcW w:w="2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3"/>
        </w:trPr>
        <w:tc>
          <w:tcPr>
            <w:tcW w:w="114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jc w:val="right"/>
              <w:ind w:right="230"/>
              <w:spacing w:after="0"/>
              <w:rPr>
                <w:sz w:val="20"/>
                <w:szCs w:val="20"/>
                <w:color w:val="auto"/>
              </w:rPr>
            </w:pPr>
            <w:r>
              <w:rPr>
                <w:rFonts w:ascii="Arial" w:cs="Arial" w:eastAsia="Arial" w:hAnsi="Arial"/>
                <w:sz w:val="18"/>
                <w:szCs w:val="18"/>
                <w:b w:val="1"/>
                <w:bCs w:val="1"/>
                <w:color w:val="auto"/>
                <w:w w:val="99"/>
              </w:rPr>
              <w:t>June 30,</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2"/>
          </w:tcPr>
          <w:p>
            <w:pPr>
              <w:spacing w:after="0"/>
              <w:rPr>
                <w:sz w:val="20"/>
                <w:szCs w:val="20"/>
                <w:color w:val="auto"/>
              </w:rPr>
            </w:pPr>
            <w:r>
              <w:rPr>
                <w:rFonts w:ascii="Arial" w:cs="Arial" w:eastAsia="Arial" w:hAnsi="Arial"/>
                <w:sz w:val="18"/>
                <w:szCs w:val="18"/>
                <w:b w:val="1"/>
                <w:bCs w:val="1"/>
                <w:color w:val="auto"/>
              </w:rPr>
              <w:t>December 31,</w:t>
            </w: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140" w:type="dxa"/>
            <w:vAlign w:val="bottom"/>
          </w:tcPr>
          <w:p>
            <w:pPr>
              <w:spacing w:after="0"/>
              <w:rPr>
                <w:sz w:val="20"/>
                <w:szCs w:val="20"/>
                <w:color w:val="auto"/>
              </w:rPr>
            </w:pPr>
          </w:p>
        </w:tc>
        <w:tc>
          <w:tcPr>
            <w:tcW w:w="3680" w:type="dxa"/>
            <w:vAlign w:val="bottom"/>
            <w:tcBorders>
              <w:bottom w:val="single" w:sz="8" w:color="CFF0FC"/>
            </w:tcBorders>
          </w:tcPr>
          <w:p>
            <w:pPr>
              <w:spacing w:after="0"/>
              <w:rPr>
                <w:sz w:val="20"/>
                <w:szCs w:val="20"/>
                <w:color w:val="auto"/>
              </w:rPr>
            </w:pPr>
          </w:p>
        </w:tc>
        <w:tc>
          <w:tcPr>
            <w:tcW w:w="2500" w:type="dxa"/>
            <w:vAlign w:val="bottom"/>
            <w:tcBorders>
              <w:bottom w:val="single" w:sz="8" w:color="CFF0F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bottom w:val="single" w:sz="8" w:color="CFF0FC"/>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2020</w:t>
            </w:r>
          </w:p>
        </w:tc>
        <w:tc>
          <w:tcPr>
            <w:tcW w:w="80" w:type="dxa"/>
            <w:vAlign w:val="bottom"/>
            <w:tcBorders>
              <w:bottom w:val="single" w:sz="8" w:color="CFF0FC"/>
            </w:tcBorders>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3680" w:type="dxa"/>
            <w:vAlign w:val="bottom"/>
            <w:shd w:val="clear" w:color="auto" w:fill="CFF0FC"/>
          </w:tcPr>
          <w:p>
            <w:pPr>
              <w:spacing w:after="0"/>
              <w:rPr>
                <w:sz w:val="20"/>
                <w:szCs w:val="20"/>
                <w:color w:val="auto"/>
              </w:rPr>
            </w:pPr>
            <w:r>
              <w:rPr>
                <w:rFonts w:ascii="Arial" w:cs="Arial" w:eastAsia="Arial" w:hAnsi="Arial"/>
                <w:sz w:val="18"/>
                <w:szCs w:val="18"/>
                <w:color w:val="auto"/>
              </w:rPr>
              <w:t>Raw materials</w:t>
            </w:r>
          </w:p>
        </w:tc>
        <w:tc>
          <w:tcPr>
            <w:tcW w:w="250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13,449</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7,989</w:t>
            </w:r>
          </w:p>
        </w:tc>
        <w:tc>
          <w:tcPr>
            <w:tcW w:w="80" w:type="dxa"/>
            <w:vAlign w:val="bottom"/>
            <w:shd w:val="clear" w:color="auto" w:fill="CFF0FC"/>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Work in process</w:t>
            </w:r>
          </w:p>
        </w:tc>
        <w:tc>
          <w:tcPr>
            <w:tcW w:w="2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6,610</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6,200</w:t>
            </w: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3680" w:type="dxa"/>
            <w:vAlign w:val="bottom"/>
            <w:shd w:val="clear" w:color="auto" w:fill="CFF0FC"/>
          </w:tcPr>
          <w:p>
            <w:pPr>
              <w:spacing w:after="0"/>
              <w:rPr>
                <w:sz w:val="20"/>
                <w:szCs w:val="20"/>
                <w:color w:val="auto"/>
              </w:rPr>
            </w:pPr>
            <w:r>
              <w:rPr>
                <w:rFonts w:ascii="Arial" w:cs="Arial" w:eastAsia="Arial" w:hAnsi="Arial"/>
                <w:sz w:val="18"/>
                <w:szCs w:val="18"/>
                <w:color w:val="auto"/>
              </w:rPr>
              <w:t>Finished goods</w:t>
            </w:r>
          </w:p>
        </w:tc>
        <w:tc>
          <w:tcPr>
            <w:tcW w:w="250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8,823</w:t>
            </w:r>
          </w:p>
        </w:tc>
        <w:tc>
          <w:tcPr>
            <w:tcW w:w="2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4,195</w:t>
            </w:r>
          </w:p>
        </w:tc>
        <w:tc>
          <w:tcPr>
            <w:tcW w:w="80" w:type="dxa"/>
            <w:vAlign w:val="bottom"/>
            <w:shd w:val="clear" w:color="auto" w:fill="CFF0FC"/>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3680" w:type="dxa"/>
            <w:vAlign w:val="bottom"/>
          </w:tcPr>
          <w:p>
            <w:pPr>
              <w:ind w:left="360"/>
              <w:spacing w:after="0"/>
              <w:rPr>
                <w:sz w:val="20"/>
                <w:szCs w:val="20"/>
                <w:color w:val="auto"/>
              </w:rPr>
            </w:pPr>
            <w:r>
              <w:rPr>
                <w:rFonts w:ascii="Arial" w:cs="Arial" w:eastAsia="Arial" w:hAnsi="Arial"/>
                <w:sz w:val="18"/>
                <w:szCs w:val="18"/>
                <w:color w:val="auto"/>
              </w:rPr>
              <w:t>Total inventories</w:t>
            </w:r>
          </w:p>
        </w:tc>
        <w:tc>
          <w:tcPr>
            <w:tcW w:w="2500" w:type="dxa"/>
            <w:vAlign w:val="bottom"/>
          </w:tcPr>
          <w:p>
            <w:pPr>
              <w:spacing w:after="0"/>
              <w:rPr>
                <w:sz w:val="19"/>
                <w:szCs w:val="19"/>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28,882</w:t>
            </w:r>
          </w:p>
        </w:tc>
        <w:tc>
          <w:tcPr>
            <w:tcW w:w="2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18,384</w:t>
            </w: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2500" w:type="dxa"/>
            <w:vAlign w:val="bottom"/>
            <w:vMerge w:val="restart"/>
          </w:tcPr>
          <w:p>
            <w:pPr>
              <w:jc w:val="right"/>
              <w:ind w:right="1510"/>
              <w:spacing w:after="0"/>
              <w:rPr>
                <w:sz w:val="20"/>
                <w:szCs w:val="20"/>
                <w:color w:val="auto"/>
              </w:rPr>
            </w:pPr>
            <w:r>
              <w:rPr>
                <w:rFonts w:ascii="Arial" w:cs="Arial" w:eastAsia="Arial" w:hAnsi="Arial"/>
                <w:sz w:val="18"/>
                <w:szCs w:val="18"/>
                <w:color w:val="auto"/>
              </w:rPr>
              <w:t>11</w:t>
            </w: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14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250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40" w:type="dxa"/>
            <w:vAlign w:val="bottom"/>
            <w:tcBorders>
              <w:bottom w:val="single" w:sz="8" w:color="9A9A9A"/>
            </w:tcBorders>
          </w:tcPr>
          <w:p>
            <w:pPr>
              <w:spacing w:after="0"/>
              <w:rPr>
                <w:sz w:val="10"/>
                <w:szCs w:val="10"/>
                <w:color w:val="auto"/>
              </w:rPr>
            </w:pPr>
          </w:p>
        </w:tc>
        <w:tc>
          <w:tcPr>
            <w:tcW w:w="3680" w:type="dxa"/>
            <w:vAlign w:val="bottom"/>
            <w:tcBorders>
              <w:bottom w:val="single" w:sz="8" w:color="9A9A9A"/>
            </w:tcBorders>
          </w:tcPr>
          <w:p>
            <w:pPr>
              <w:spacing w:after="0"/>
              <w:rPr>
                <w:sz w:val="10"/>
                <w:szCs w:val="10"/>
                <w:color w:val="auto"/>
              </w:rPr>
            </w:pPr>
          </w:p>
        </w:tc>
        <w:tc>
          <w:tcPr>
            <w:tcW w:w="25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30"/>
        </w:trPr>
        <w:tc>
          <w:tcPr>
            <w:tcW w:w="712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Accrued Expenses and Other Current Liabilities</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7120" w:type="dxa"/>
            <w:vAlign w:val="bottom"/>
            <w:gridSpan w:val="2"/>
          </w:tcPr>
          <w:p>
            <w:pPr>
              <w:ind w:left="440"/>
              <w:spacing w:after="0"/>
              <w:rPr>
                <w:sz w:val="20"/>
                <w:szCs w:val="20"/>
                <w:color w:val="auto"/>
              </w:rPr>
            </w:pPr>
            <w:r>
              <w:rPr>
                <w:rFonts w:ascii="Arial" w:cs="Arial" w:eastAsia="Arial" w:hAnsi="Arial"/>
                <w:sz w:val="18"/>
                <w:szCs w:val="18"/>
                <w:color w:val="auto"/>
                <w:w w:val="98"/>
              </w:rPr>
              <w:t>Accrued expenses and other current liabilities consist of the following (in thousands):</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3"/>
        </w:trPr>
        <w:tc>
          <w:tcPr>
            <w:tcW w:w="1140" w:type="dxa"/>
            <w:vAlign w:val="bottom"/>
          </w:tcPr>
          <w:p>
            <w:pPr>
              <w:spacing w:after="0"/>
              <w:rPr>
                <w:sz w:val="24"/>
                <w:szCs w:val="24"/>
                <w:color w:val="auto"/>
              </w:rPr>
            </w:pPr>
          </w:p>
        </w:tc>
        <w:tc>
          <w:tcPr>
            <w:tcW w:w="5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8"/>
              </w:rPr>
              <w:t>June 30,</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40" w:type="dxa"/>
            <w:vAlign w:val="bottom"/>
            <w:gridSpan w:val="4"/>
          </w:tcPr>
          <w:p>
            <w:pPr>
              <w:jc w:val="center"/>
              <w:ind w:right="140"/>
              <w:spacing w:after="0"/>
              <w:rPr>
                <w:sz w:val="20"/>
                <w:szCs w:val="20"/>
                <w:color w:val="auto"/>
              </w:rPr>
            </w:pPr>
            <w:r>
              <w:rPr>
                <w:rFonts w:ascii="Arial" w:cs="Arial" w:eastAsia="Arial" w:hAnsi="Arial"/>
                <w:sz w:val="18"/>
                <w:szCs w:val="18"/>
                <w:b w:val="1"/>
                <w:bCs w:val="1"/>
                <w:color w:val="auto"/>
                <w:w w:val="88"/>
              </w:rPr>
              <w:t>December 31,</w:t>
            </w:r>
          </w:p>
        </w:tc>
        <w:tc>
          <w:tcPr>
            <w:tcW w:w="0" w:type="dxa"/>
            <w:vAlign w:val="bottom"/>
          </w:tcPr>
          <w:p>
            <w:pPr>
              <w:spacing w:after="0"/>
              <w:rPr>
                <w:sz w:val="1"/>
                <w:szCs w:val="1"/>
                <w:color w:val="auto"/>
              </w:rPr>
            </w:pPr>
          </w:p>
        </w:tc>
      </w:tr>
      <w:tr>
        <w:trPr>
          <w:trHeight w:val="234"/>
        </w:trPr>
        <w:tc>
          <w:tcPr>
            <w:tcW w:w="1140" w:type="dxa"/>
            <w:vAlign w:val="bottom"/>
          </w:tcPr>
          <w:p>
            <w:pPr>
              <w:spacing w:after="0"/>
              <w:rPr>
                <w:sz w:val="20"/>
                <w:szCs w:val="20"/>
                <w:color w:val="auto"/>
              </w:rPr>
            </w:pPr>
          </w:p>
        </w:tc>
        <w:tc>
          <w:tcPr>
            <w:tcW w:w="5980" w:type="dxa"/>
            <w:vAlign w:val="bottom"/>
            <w:tcBorders>
              <w:bottom w:val="single" w:sz="8" w:color="CFF0FC"/>
            </w:tcBorders>
          </w:tcPr>
          <w:p>
            <w:pPr>
              <w:spacing w:after="0"/>
              <w:rPr>
                <w:sz w:val="20"/>
                <w:szCs w:val="20"/>
                <w:color w:val="auto"/>
              </w:rPr>
            </w:pPr>
          </w:p>
        </w:tc>
        <w:tc>
          <w:tcPr>
            <w:tcW w:w="180" w:type="dxa"/>
            <w:vAlign w:val="bottom"/>
            <w:tcBorders>
              <w:bottom w:val="single" w:sz="8" w:color="CFF0FC"/>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89"/>
              </w:rPr>
              <w:t>2021</w:t>
            </w:r>
          </w:p>
        </w:tc>
        <w:tc>
          <w:tcPr>
            <w:tcW w:w="140" w:type="dxa"/>
            <w:vAlign w:val="bottom"/>
            <w:tcBorders>
              <w:bottom w:val="single" w:sz="8" w:color="CFF0FC"/>
            </w:tcBorders>
          </w:tcPr>
          <w:p>
            <w:pPr>
              <w:spacing w:after="0"/>
              <w:rPr>
                <w:sz w:val="20"/>
                <w:szCs w:val="20"/>
                <w:color w:val="auto"/>
              </w:rPr>
            </w:pPr>
          </w:p>
        </w:tc>
        <w:tc>
          <w:tcPr>
            <w:tcW w:w="60" w:type="dxa"/>
            <w:vAlign w:val="bottom"/>
            <w:tcBorders>
              <w:bottom w:val="single" w:sz="8" w:color="CFF0FC"/>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2020</w:t>
            </w:r>
          </w:p>
        </w:tc>
        <w:tc>
          <w:tcPr>
            <w:tcW w:w="20" w:type="dxa"/>
            <w:vAlign w:val="bottom"/>
            <w:tcBorders>
              <w:bottom w:val="single" w:sz="8" w:color="CFF0FC"/>
            </w:tcBorders>
          </w:tcPr>
          <w:p>
            <w:pPr>
              <w:spacing w:after="0"/>
              <w:rPr>
                <w:sz w:val="20"/>
                <w:szCs w:val="20"/>
                <w:color w:val="auto"/>
              </w:rPr>
            </w:pPr>
          </w:p>
        </w:tc>
        <w:tc>
          <w:tcPr>
            <w:tcW w:w="8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5980" w:type="dxa"/>
            <w:vAlign w:val="bottom"/>
            <w:shd w:val="clear" w:color="auto" w:fill="CFF0FC"/>
          </w:tcPr>
          <w:p>
            <w:pPr>
              <w:spacing w:after="0"/>
              <w:rPr>
                <w:sz w:val="20"/>
                <w:szCs w:val="20"/>
                <w:color w:val="auto"/>
              </w:rPr>
            </w:pPr>
            <w:r>
              <w:rPr>
                <w:rFonts w:ascii="Arial" w:cs="Arial" w:eastAsia="Arial" w:hAnsi="Arial"/>
                <w:sz w:val="18"/>
                <w:szCs w:val="18"/>
                <w:color w:val="auto"/>
              </w:rPr>
              <w:t>Accrued inventory</w:t>
            </w:r>
          </w:p>
        </w:tc>
        <w:tc>
          <w:tcPr>
            <w:tcW w:w="180" w:type="dxa"/>
            <w:vAlign w:val="bottom"/>
            <w:shd w:val="clear" w:color="auto" w:fill="CFF0FC"/>
          </w:tcPr>
          <w:p>
            <w:pPr>
              <w:spacing w:after="0"/>
              <w:rPr>
                <w:sz w:val="19"/>
                <w:szCs w:val="19"/>
                <w:color w:val="auto"/>
              </w:rPr>
            </w:pPr>
          </w:p>
        </w:tc>
        <w:tc>
          <w:tcPr>
            <w:tcW w:w="200" w:type="dxa"/>
            <w:vAlign w:val="bottom"/>
            <w:gridSpan w:val="2"/>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2,096</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3,576</w:t>
            </w: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Accrued research and development expenses</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703</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5980" w:type="dxa"/>
            <w:vAlign w:val="bottom"/>
            <w:shd w:val="clear" w:color="auto" w:fill="CFF0FC"/>
          </w:tcPr>
          <w:p>
            <w:pPr>
              <w:spacing w:after="0"/>
              <w:rPr>
                <w:sz w:val="20"/>
                <w:szCs w:val="20"/>
                <w:color w:val="auto"/>
              </w:rPr>
            </w:pPr>
            <w:r>
              <w:rPr>
                <w:rFonts w:ascii="Arial" w:cs="Arial" w:eastAsia="Arial" w:hAnsi="Arial"/>
                <w:sz w:val="18"/>
                <w:szCs w:val="18"/>
                <w:color w:val="auto"/>
              </w:rPr>
              <w:t>Accrued professional services</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1,324</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2,187</w:t>
            </w: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59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w:t>
            </w:r>
          </w:p>
        </w:tc>
        <w:tc>
          <w:tcPr>
            <w:tcW w:w="180" w:type="dxa"/>
            <w:vAlign w:val="bottom"/>
            <w:tcBorders>
              <w:bottom w:val="single" w:sz="8" w:color="CFF0FC"/>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5,133</w:t>
            </w:r>
          </w:p>
        </w:tc>
        <w:tc>
          <w:tcPr>
            <w:tcW w:w="14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1,965</w:t>
            </w:r>
          </w:p>
        </w:tc>
        <w:tc>
          <w:tcPr>
            <w:tcW w:w="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5980" w:type="dxa"/>
            <w:vAlign w:val="bottom"/>
            <w:tcBorders>
              <w:bottom w:val="single" w:sz="8" w:color="CFF0FC"/>
            </w:tcBorders>
            <w:shd w:val="clear" w:color="auto" w:fill="CFF0FC"/>
          </w:tcPr>
          <w:p>
            <w:pPr>
              <w:ind w:left="360"/>
              <w:spacing w:after="0"/>
              <w:rPr>
                <w:sz w:val="20"/>
                <w:szCs w:val="20"/>
                <w:color w:val="auto"/>
              </w:rPr>
            </w:pPr>
            <w:r>
              <w:rPr>
                <w:rFonts w:ascii="Arial" w:cs="Arial" w:eastAsia="Arial" w:hAnsi="Arial"/>
                <w:sz w:val="18"/>
                <w:szCs w:val="18"/>
                <w:color w:val="auto"/>
              </w:rPr>
              <w:t>Total accrued expenses and other current liabilities</w:t>
            </w:r>
          </w:p>
        </w:tc>
        <w:tc>
          <w:tcPr>
            <w:tcW w:w="18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gridSpan w:val="2"/>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9,256</w:t>
            </w:r>
          </w:p>
        </w:tc>
        <w:tc>
          <w:tcPr>
            <w:tcW w:w="140" w:type="dxa"/>
            <w:vAlign w:val="bottom"/>
            <w:tcBorders>
              <w:bottom w:val="single" w:sz="8" w:color="CFF0FC"/>
            </w:tcBorders>
            <w:shd w:val="clear" w:color="auto" w:fill="CFF0FC"/>
          </w:tcPr>
          <w:p>
            <w:pPr>
              <w:spacing w:after="0"/>
              <w:rPr>
                <w:sz w:val="19"/>
                <w:szCs w:val="19"/>
                <w:color w:val="auto"/>
              </w:rPr>
            </w:pPr>
          </w:p>
        </w:tc>
        <w:tc>
          <w:tcPr>
            <w:tcW w:w="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7,903</w:t>
            </w:r>
          </w:p>
        </w:tc>
        <w:tc>
          <w:tcPr>
            <w:tcW w:w="2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120" w:type="dxa"/>
            <w:vAlign w:val="bottom"/>
            <w:gridSpan w:val="2"/>
            <w:vMerge w:val="restart"/>
          </w:tcPr>
          <w:p>
            <w:pPr>
              <w:spacing w:after="0"/>
              <w:rPr>
                <w:sz w:val="20"/>
                <w:szCs w:val="20"/>
                <w:color w:val="auto"/>
              </w:rPr>
            </w:pPr>
            <w:r>
              <w:rPr>
                <w:rFonts w:ascii="Arial" w:cs="Arial" w:eastAsia="Arial" w:hAnsi="Arial"/>
                <w:sz w:val="18"/>
                <w:szCs w:val="18"/>
                <w:b w:val="1"/>
                <w:bCs w:val="1"/>
                <w:i w:val="1"/>
                <w:iCs w:val="1"/>
                <w:color w:val="auto"/>
              </w:rPr>
              <w:t>Accrued Warranty Liability</w:t>
            </w:r>
          </w:p>
        </w:tc>
        <w:tc>
          <w:tcPr>
            <w:tcW w:w="1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120" w:type="dxa"/>
            <w:vAlign w:val="bottom"/>
            <w:gridSpan w:val="2"/>
            <w:vMerge w:val="continue"/>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120" w:type="dxa"/>
            <w:vAlign w:val="bottom"/>
            <w:gridSpan w:val="2"/>
          </w:tcPr>
          <w:p>
            <w:pPr>
              <w:ind w:left="440"/>
              <w:spacing w:after="0"/>
              <w:rPr>
                <w:sz w:val="20"/>
                <w:szCs w:val="20"/>
                <w:color w:val="auto"/>
              </w:rPr>
            </w:pPr>
            <w:r>
              <w:rPr>
                <w:rFonts w:ascii="Arial" w:cs="Arial" w:eastAsia="Arial" w:hAnsi="Arial"/>
                <w:sz w:val="18"/>
                <w:szCs w:val="18"/>
                <w:color w:val="auto"/>
                <w:w w:val="93"/>
              </w:rPr>
              <w:t>The change in accrued warranty liability is presented in the following table (in thousands):</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3"/>
        </w:trPr>
        <w:tc>
          <w:tcPr>
            <w:tcW w:w="1140" w:type="dxa"/>
            <w:vAlign w:val="bottom"/>
          </w:tcPr>
          <w:p>
            <w:pPr>
              <w:spacing w:after="0"/>
              <w:rPr>
                <w:sz w:val="24"/>
                <w:szCs w:val="24"/>
                <w:color w:val="auto"/>
              </w:rPr>
            </w:pPr>
          </w:p>
        </w:tc>
        <w:tc>
          <w:tcPr>
            <w:tcW w:w="5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8"/>
              </w:rPr>
              <w:t>June 30,</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88"/>
              </w:rPr>
              <w:t>December 31,</w:t>
            </w:r>
          </w:p>
        </w:tc>
        <w:tc>
          <w:tcPr>
            <w:tcW w:w="0" w:type="dxa"/>
            <w:vAlign w:val="bottom"/>
          </w:tcPr>
          <w:p>
            <w:pPr>
              <w:spacing w:after="0"/>
              <w:rPr>
                <w:sz w:val="1"/>
                <w:szCs w:val="1"/>
                <w:color w:val="auto"/>
              </w:rPr>
            </w:pPr>
          </w:p>
        </w:tc>
      </w:tr>
      <w:tr>
        <w:trPr>
          <w:trHeight w:val="234"/>
        </w:trPr>
        <w:tc>
          <w:tcPr>
            <w:tcW w:w="1140" w:type="dxa"/>
            <w:vAlign w:val="bottom"/>
          </w:tcPr>
          <w:p>
            <w:pPr>
              <w:spacing w:after="0"/>
              <w:rPr>
                <w:sz w:val="20"/>
                <w:szCs w:val="20"/>
                <w:color w:val="auto"/>
              </w:rPr>
            </w:pPr>
          </w:p>
        </w:tc>
        <w:tc>
          <w:tcPr>
            <w:tcW w:w="5980" w:type="dxa"/>
            <w:vAlign w:val="bottom"/>
            <w:tcBorders>
              <w:bottom w:val="single" w:sz="8" w:color="CFF0FC"/>
            </w:tcBorders>
          </w:tcPr>
          <w:p>
            <w:pPr>
              <w:spacing w:after="0"/>
              <w:rPr>
                <w:sz w:val="20"/>
                <w:szCs w:val="20"/>
                <w:color w:val="auto"/>
              </w:rPr>
            </w:pPr>
          </w:p>
        </w:tc>
        <w:tc>
          <w:tcPr>
            <w:tcW w:w="180" w:type="dxa"/>
            <w:vAlign w:val="bottom"/>
            <w:tcBorders>
              <w:bottom w:val="single" w:sz="8" w:color="CFF0FC"/>
            </w:tcBorders>
          </w:tcPr>
          <w:p>
            <w:pPr>
              <w:spacing w:after="0"/>
              <w:rPr>
                <w:sz w:val="20"/>
                <w:szCs w:val="20"/>
                <w:color w:val="auto"/>
              </w:rPr>
            </w:pPr>
          </w:p>
        </w:tc>
        <w:tc>
          <w:tcPr>
            <w:tcW w:w="20" w:type="dxa"/>
            <w:vAlign w:val="bottom"/>
            <w:tcBorders>
              <w:bottom w:val="single" w:sz="8" w:color="CFF0F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89"/>
              </w:rPr>
              <w:t>2021</w:t>
            </w:r>
          </w:p>
        </w:tc>
        <w:tc>
          <w:tcPr>
            <w:tcW w:w="140" w:type="dxa"/>
            <w:vAlign w:val="bottom"/>
            <w:tcBorders>
              <w:bottom w:val="single" w:sz="8" w:color="CFF0FC"/>
            </w:tcBorders>
          </w:tcPr>
          <w:p>
            <w:pPr>
              <w:spacing w:after="0"/>
              <w:rPr>
                <w:sz w:val="20"/>
                <w:szCs w:val="20"/>
                <w:color w:val="auto"/>
              </w:rPr>
            </w:pPr>
          </w:p>
        </w:tc>
        <w:tc>
          <w:tcPr>
            <w:tcW w:w="60" w:type="dxa"/>
            <w:vAlign w:val="bottom"/>
            <w:tcBorders>
              <w:bottom w:val="single" w:sz="8" w:color="CFF0FC"/>
            </w:tcBorders>
          </w:tcPr>
          <w:p>
            <w:pPr>
              <w:spacing w:after="0"/>
              <w:rPr>
                <w:sz w:val="20"/>
                <w:szCs w:val="20"/>
                <w:color w:val="auto"/>
              </w:rPr>
            </w:pPr>
          </w:p>
        </w:tc>
        <w:tc>
          <w:tcPr>
            <w:tcW w:w="20" w:type="dxa"/>
            <w:vAlign w:val="bottom"/>
            <w:tcBorders>
              <w:bottom w:val="single" w:sz="8" w:color="CFF0FC"/>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2020</w:t>
            </w: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5980" w:type="dxa"/>
            <w:vAlign w:val="bottom"/>
            <w:shd w:val="clear" w:color="auto" w:fill="CFF0FC"/>
          </w:tcPr>
          <w:p>
            <w:pPr>
              <w:spacing w:after="0"/>
              <w:rPr>
                <w:sz w:val="20"/>
                <w:szCs w:val="20"/>
                <w:color w:val="auto"/>
              </w:rPr>
            </w:pPr>
            <w:r>
              <w:rPr>
                <w:rFonts w:ascii="Arial" w:cs="Arial" w:eastAsia="Arial" w:hAnsi="Arial"/>
                <w:sz w:val="18"/>
                <w:szCs w:val="18"/>
                <w:color w:val="auto"/>
              </w:rPr>
              <w:t>Balance at the beginning of the period</w:t>
            </w:r>
          </w:p>
        </w:tc>
        <w:tc>
          <w:tcPr>
            <w:tcW w:w="200" w:type="dxa"/>
            <w:vAlign w:val="bottom"/>
            <w:gridSpan w:val="2"/>
            <w:shd w:val="clear" w:color="auto" w:fill="CFF0FC"/>
          </w:tcPr>
          <w:p>
            <w:pPr>
              <w:spacing w:after="0"/>
              <w:rPr>
                <w:sz w:val="19"/>
                <w:szCs w:val="19"/>
                <w:color w:val="auto"/>
              </w:rPr>
            </w:pP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2,913</w:t>
            </w:r>
          </w:p>
        </w:tc>
        <w:tc>
          <w:tcPr>
            <w:tcW w:w="140" w:type="dxa"/>
            <w:vAlign w:val="bottom"/>
            <w:shd w:val="clear" w:color="auto" w:fill="CFF0FC"/>
          </w:tcPr>
          <w:p>
            <w:pPr>
              <w:spacing w:after="0"/>
              <w:rPr>
                <w:sz w:val="19"/>
                <w:szCs w:val="19"/>
                <w:color w:val="auto"/>
              </w:rPr>
            </w:pPr>
          </w:p>
        </w:tc>
        <w:tc>
          <w:tcPr>
            <w:tcW w:w="80" w:type="dxa"/>
            <w:vAlign w:val="bottom"/>
            <w:gridSpan w:val="2"/>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1,702</w:t>
            </w: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Additions charge to cost of product revenue</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3,545</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4,858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5980" w:type="dxa"/>
            <w:vAlign w:val="bottom"/>
            <w:shd w:val="clear" w:color="auto" w:fill="CFF0FC"/>
          </w:tcPr>
          <w:p>
            <w:pPr>
              <w:spacing w:after="0"/>
              <w:rPr>
                <w:sz w:val="20"/>
                <w:szCs w:val="20"/>
                <w:color w:val="auto"/>
              </w:rPr>
            </w:pPr>
            <w:r>
              <w:rPr>
                <w:rFonts w:ascii="Arial" w:cs="Arial" w:eastAsia="Arial" w:hAnsi="Arial"/>
                <w:sz w:val="18"/>
                <w:szCs w:val="18"/>
                <w:color w:val="auto"/>
              </w:rPr>
              <w:t>Consumption</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(3,385)</w:t>
            </w:r>
          </w:p>
        </w:tc>
        <w:tc>
          <w:tcPr>
            <w:tcW w:w="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4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(3,647)</w:t>
            </w: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5980" w:type="dxa"/>
            <w:vAlign w:val="bottom"/>
          </w:tcPr>
          <w:p>
            <w:pPr>
              <w:ind w:left="360"/>
              <w:spacing w:after="0"/>
              <w:rPr>
                <w:sz w:val="20"/>
                <w:szCs w:val="20"/>
                <w:color w:val="auto"/>
              </w:rPr>
            </w:pPr>
            <w:r>
              <w:rPr>
                <w:rFonts w:ascii="Arial" w:cs="Arial" w:eastAsia="Arial" w:hAnsi="Arial"/>
                <w:sz w:val="18"/>
                <w:szCs w:val="18"/>
                <w:color w:val="auto"/>
              </w:rPr>
              <w:t>Balance at the end of the period</w:t>
            </w:r>
          </w:p>
        </w:tc>
        <w:tc>
          <w:tcPr>
            <w:tcW w:w="200" w:type="dxa"/>
            <w:vAlign w:val="bottom"/>
            <w:gridSpan w:val="2"/>
          </w:tcPr>
          <w:p>
            <w:pPr>
              <w:spacing w:after="0"/>
              <w:rPr>
                <w:sz w:val="19"/>
                <w:szCs w:val="19"/>
                <w:color w:val="auto"/>
              </w:rPr>
            </w:pPr>
          </w:p>
        </w:tc>
        <w:tc>
          <w:tcPr>
            <w:tcW w:w="180" w:type="dxa"/>
            <w:vAlign w:val="bottom"/>
            <w:tcBorders>
              <w:top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3,073</w:t>
            </w:r>
          </w:p>
        </w:tc>
        <w:tc>
          <w:tcPr>
            <w:tcW w:w="140" w:type="dxa"/>
            <w:vAlign w:val="bottom"/>
          </w:tcPr>
          <w:p>
            <w:pPr>
              <w:spacing w:after="0"/>
              <w:rPr>
                <w:sz w:val="19"/>
                <w:szCs w:val="19"/>
                <w:color w:val="auto"/>
              </w:rPr>
            </w:pPr>
          </w:p>
        </w:tc>
        <w:tc>
          <w:tcPr>
            <w:tcW w:w="80" w:type="dxa"/>
            <w:vAlign w:val="bottom"/>
            <w:gridSpan w:val="2"/>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2,913</w:t>
            </w:r>
          </w:p>
        </w:tc>
        <w:tc>
          <w:tcPr>
            <w:tcW w:w="2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w:t>
      </w:r>
    </w:p>
    <w:p>
      <w:pPr>
        <w:spacing w:after="0" w:line="117" w:lineRule="exact"/>
        <w:rPr>
          <w:sz w:val="20"/>
          <w:szCs w:val="20"/>
          <w:color w:val="auto"/>
        </w:rPr>
      </w:pPr>
    </w:p>
    <w:p>
      <w:pPr>
        <w:ind w:firstLine="427"/>
        <w:spacing w:after="0" w:line="259" w:lineRule="auto"/>
        <w:rPr>
          <w:sz w:val="20"/>
          <w:szCs w:val="20"/>
          <w:color w:val="auto"/>
        </w:rPr>
      </w:pPr>
      <w:r>
        <w:rPr>
          <w:rFonts w:ascii="Arial" w:cs="Arial" w:eastAsia="Arial" w:hAnsi="Arial"/>
          <w:sz w:val="18"/>
          <w:szCs w:val="18"/>
          <w:color w:val="auto"/>
        </w:rPr>
        <w:t>From time to time, the Company may become involved in legal proceedings or investigations, which could have an adverse impact on its reputation, business and financial condition and divert the attention of the Company’s management from the operation of the Company’s business. The Company is not presently a party to any legal proceedings that, if determined adversely to the Company, would individually or taken together have a material adverse effect on its business, results of operations, financial condition or cash flows.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Indemnifications</w:t>
      </w:r>
    </w:p>
    <w:p>
      <w:pPr>
        <w:spacing w:after="0" w:line="117" w:lineRule="exact"/>
        <w:rPr>
          <w:sz w:val="20"/>
          <w:szCs w:val="20"/>
          <w:color w:val="auto"/>
        </w:rPr>
      </w:pPr>
    </w:p>
    <w:p>
      <w:pPr>
        <w:ind w:right="20" w:firstLine="427"/>
        <w:spacing w:after="0" w:line="254" w:lineRule="auto"/>
        <w:rPr>
          <w:sz w:val="20"/>
          <w:szCs w:val="20"/>
          <w:color w:val="auto"/>
        </w:rPr>
      </w:pPr>
      <w:r>
        <w:rPr>
          <w:rFonts w:ascii="Arial" w:cs="Arial" w:eastAsia="Arial" w:hAnsi="Arial"/>
          <w:sz w:val="18"/>
          <w:szCs w:val="18"/>
          <w:color w:val="auto"/>
        </w:rPr>
        <w:t>In the ordinary course of business, the Company often includes standard indemnification provisions in its arrangements with its partners, customers and suppliers. Pursuant to these provisions, the Company may be obligated to indemnify such parties for losses or claims suffered or incurred in connection with its service, breach of representations or covenants, intellectual property infringement or other claims made against such parties. These provisions may limit the time within which an indemnification claim can be made. It is not possible to determine the maximum potential amount under these indemnification obligations due to the limited history of prior indemnification claims and the unique facts and circumstances involved in each particular agreement. To date, the Company has not incurred any material costs as a result of such indemnification obligations and has not accrued any liabilities related to such obligations in these financial statements.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320" w:type="dxa"/>
            <w:vAlign w:val="bottom"/>
            <w:gridSpan w:val="2"/>
          </w:tcPr>
          <w:p>
            <w:pPr>
              <w:spacing w:after="0"/>
              <w:rPr>
                <w:sz w:val="20"/>
                <w:szCs w:val="20"/>
                <w:color w:val="auto"/>
              </w:rPr>
            </w:pPr>
            <w:r>
              <w:rPr>
                <w:rFonts w:ascii="Arial" w:cs="Arial" w:eastAsia="Arial" w:hAnsi="Arial"/>
                <w:sz w:val="18"/>
                <w:szCs w:val="18"/>
                <w:b w:val="1"/>
                <w:bCs w:val="1"/>
                <w:color w:val="auto"/>
              </w:rPr>
              <w:t>7. Term Loan</w:t>
            </w: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324"/>
        </w:trPr>
        <w:tc>
          <w:tcPr>
            <w:tcW w:w="7320" w:type="dxa"/>
            <w:vAlign w:val="bottom"/>
            <w:gridSpan w:val="2"/>
          </w:tcPr>
          <w:p>
            <w:pPr>
              <w:ind w:left="440"/>
              <w:spacing w:after="0"/>
              <w:rPr>
                <w:sz w:val="20"/>
                <w:szCs w:val="20"/>
                <w:color w:val="auto"/>
              </w:rPr>
            </w:pPr>
            <w:r>
              <w:rPr>
                <w:rFonts w:ascii="Arial" w:cs="Arial" w:eastAsia="Arial" w:hAnsi="Arial"/>
                <w:sz w:val="18"/>
                <w:szCs w:val="18"/>
                <w:color w:val="auto"/>
              </w:rPr>
              <w:t>Term loan consists of the following (in thousands):</w:t>
            </w: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33"/>
        </w:trPr>
        <w:tc>
          <w:tcPr>
            <w:tcW w:w="1140" w:type="dxa"/>
            <w:vAlign w:val="bottom"/>
          </w:tcPr>
          <w:p>
            <w:pPr>
              <w:spacing w:after="0"/>
              <w:rPr>
                <w:sz w:val="24"/>
                <w:szCs w:val="24"/>
                <w:color w:val="auto"/>
              </w:rPr>
            </w:pPr>
          </w:p>
        </w:tc>
        <w:tc>
          <w:tcPr>
            <w:tcW w:w="6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w w:val="99"/>
              </w:rPr>
              <w:t>June 30,</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87"/>
              </w:rPr>
              <w:t>December 31,</w:t>
            </w:r>
          </w:p>
        </w:tc>
      </w:tr>
      <w:tr>
        <w:trPr>
          <w:trHeight w:val="234"/>
        </w:trPr>
        <w:tc>
          <w:tcPr>
            <w:tcW w:w="1140" w:type="dxa"/>
            <w:vAlign w:val="bottom"/>
          </w:tcPr>
          <w:p>
            <w:pPr>
              <w:spacing w:after="0"/>
              <w:rPr>
                <w:sz w:val="20"/>
                <w:szCs w:val="20"/>
                <w:color w:val="auto"/>
              </w:rPr>
            </w:pPr>
          </w:p>
        </w:tc>
        <w:tc>
          <w:tcPr>
            <w:tcW w:w="6180" w:type="dxa"/>
            <w:vAlign w:val="bottom"/>
            <w:tcBorders>
              <w:bottom w:val="single" w:sz="8" w:color="CFF0F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2021</w:t>
            </w:r>
          </w:p>
        </w:tc>
        <w:tc>
          <w:tcPr>
            <w:tcW w:w="140" w:type="dxa"/>
            <w:vAlign w:val="bottom"/>
            <w:tcBorders>
              <w:bottom w:val="single" w:sz="8" w:color="CFF0FC"/>
            </w:tcBorders>
          </w:tcPr>
          <w:p>
            <w:pPr>
              <w:spacing w:after="0"/>
              <w:rPr>
                <w:sz w:val="20"/>
                <w:szCs w:val="20"/>
                <w:color w:val="auto"/>
              </w:rPr>
            </w:pPr>
          </w:p>
        </w:tc>
        <w:tc>
          <w:tcPr>
            <w:tcW w:w="80" w:type="dxa"/>
            <w:vAlign w:val="bottom"/>
            <w:tcBorders>
              <w:bottom w:val="single" w:sz="8" w:color="CFF0FC"/>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2020</w:t>
            </w:r>
          </w:p>
        </w:tc>
        <w:tc>
          <w:tcPr>
            <w:tcW w:w="80" w:type="dxa"/>
            <w:vAlign w:val="bottom"/>
            <w:tcBorders>
              <w:bottom w:val="single" w:sz="8" w:color="CFF0FC"/>
            </w:tcBorders>
          </w:tcPr>
          <w:p>
            <w:pPr>
              <w:spacing w:after="0"/>
              <w:rPr>
                <w:sz w:val="20"/>
                <w:szCs w:val="20"/>
                <w:color w:val="auto"/>
              </w:rPr>
            </w:pPr>
          </w:p>
        </w:tc>
      </w:tr>
      <w:tr>
        <w:trPr>
          <w:trHeight w:val="223"/>
        </w:trPr>
        <w:tc>
          <w:tcPr>
            <w:tcW w:w="1140" w:type="dxa"/>
            <w:vAlign w:val="bottom"/>
          </w:tcPr>
          <w:p>
            <w:pPr>
              <w:spacing w:after="0"/>
              <w:rPr>
                <w:sz w:val="19"/>
                <w:szCs w:val="19"/>
                <w:color w:val="auto"/>
              </w:rPr>
            </w:pPr>
          </w:p>
        </w:tc>
        <w:tc>
          <w:tcPr>
            <w:tcW w:w="6180" w:type="dxa"/>
            <w:vAlign w:val="bottom"/>
            <w:shd w:val="clear" w:color="auto" w:fill="CFF0FC"/>
          </w:tcPr>
          <w:p>
            <w:pPr>
              <w:spacing w:after="0"/>
              <w:rPr>
                <w:sz w:val="20"/>
                <w:szCs w:val="20"/>
                <w:color w:val="auto"/>
              </w:rPr>
            </w:pPr>
            <w:r>
              <w:rPr>
                <w:rFonts w:ascii="Arial" w:cs="Arial" w:eastAsia="Arial" w:hAnsi="Arial"/>
                <w:sz w:val="18"/>
                <w:szCs w:val="18"/>
                <w:color w:val="auto"/>
              </w:rPr>
              <w:t>Principal of term loan</w:t>
            </w: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30,000</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30,000</w:t>
            </w:r>
          </w:p>
        </w:tc>
        <w:tc>
          <w:tcPr>
            <w:tcW w:w="80" w:type="dxa"/>
            <w:vAlign w:val="bottom"/>
            <w:shd w:val="clear" w:color="auto" w:fill="CFF0FC"/>
          </w:tcPr>
          <w:p>
            <w:pPr>
              <w:spacing w:after="0"/>
              <w:rPr>
                <w:sz w:val="19"/>
                <w:szCs w:val="19"/>
                <w:color w:val="auto"/>
              </w:rPr>
            </w:pPr>
          </w:p>
        </w:tc>
      </w:tr>
      <w:tr>
        <w:trPr>
          <w:trHeight w:val="230"/>
        </w:trPr>
        <w:tc>
          <w:tcPr>
            <w:tcW w:w="1140" w:type="dxa"/>
            <w:vAlign w:val="bottom"/>
          </w:tcPr>
          <w:p>
            <w:pPr>
              <w:spacing w:after="0"/>
              <w:rPr>
                <w:sz w:val="19"/>
                <w:szCs w:val="19"/>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Unamortized debt discount</w:t>
            </w:r>
          </w:p>
        </w:tc>
        <w:tc>
          <w:tcPr>
            <w:tcW w:w="180" w:type="dxa"/>
            <w:vAlign w:val="bottom"/>
          </w:tcPr>
          <w:p>
            <w:pPr>
              <w:spacing w:after="0"/>
              <w:rPr>
                <w:sz w:val="19"/>
                <w:szCs w:val="19"/>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(282)</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(326)</w:t>
            </w:r>
          </w:p>
        </w:tc>
      </w:tr>
      <w:tr>
        <w:trPr>
          <w:trHeight w:val="223"/>
        </w:trPr>
        <w:tc>
          <w:tcPr>
            <w:tcW w:w="1140" w:type="dxa"/>
            <w:vAlign w:val="bottom"/>
          </w:tcPr>
          <w:p>
            <w:pPr>
              <w:spacing w:after="0"/>
              <w:rPr>
                <w:sz w:val="19"/>
                <w:szCs w:val="19"/>
                <w:color w:val="auto"/>
              </w:rPr>
            </w:pPr>
          </w:p>
        </w:tc>
        <w:tc>
          <w:tcPr>
            <w:tcW w:w="6180" w:type="dxa"/>
            <w:vAlign w:val="bottom"/>
            <w:tcBorders>
              <w:top w:val="single" w:sz="8" w:color="CFF0FC"/>
              <w:bottom w:val="single" w:sz="8" w:color="CFF0FC"/>
            </w:tcBorders>
            <w:shd w:val="clear" w:color="auto" w:fill="CFF0FC"/>
          </w:tcPr>
          <w:p>
            <w:pPr>
              <w:ind w:left="360"/>
              <w:spacing w:after="0"/>
              <w:rPr>
                <w:sz w:val="20"/>
                <w:szCs w:val="20"/>
                <w:color w:val="auto"/>
              </w:rPr>
            </w:pPr>
            <w:r>
              <w:rPr>
                <w:rFonts w:ascii="Arial" w:cs="Arial" w:eastAsia="Arial" w:hAnsi="Arial"/>
                <w:sz w:val="18"/>
                <w:szCs w:val="18"/>
                <w:color w:val="auto"/>
              </w:rPr>
              <w:t>Total term loan, noncurrent</w:t>
            </w:r>
          </w:p>
        </w:tc>
        <w:tc>
          <w:tcPr>
            <w:tcW w:w="180" w:type="dxa"/>
            <w:vAlign w:val="bottom"/>
            <w:tcBorders>
              <w:top w:val="single" w:sz="8" w:color="auto"/>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29,718</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29,674</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1140" w:type="dxa"/>
            <w:vAlign w:val="bottom"/>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SVB Loan and Security Agreement</w:t>
      </w:r>
    </w:p>
    <w:p>
      <w:pPr>
        <w:spacing w:after="0" w:line="117" w:lineRule="exact"/>
        <w:rPr>
          <w:sz w:val="20"/>
          <w:szCs w:val="20"/>
          <w:color w:val="auto"/>
        </w:rPr>
      </w:pPr>
    </w:p>
    <w:p>
      <w:pPr>
        <w:ind w:right="520" w:firstLine="427"/>
        <w:spacing w:after="0" w:line="277" w:lineRule="auto"/>
        <w:rPr>
          <w:sz w:val="20"/>
          <w:szCs w:val="20"/>
          <w:color w:val="auto"/>
        </w:rPr>
      </w:pPr>
      <w:r>
        <w:rPr>
          <w:rFonts w:ascii="Arial" w:cs="Arial" w:eastAsia="Arial" w:hAnsi="Arial"/>
          <w:sz w:val="18"/>
          <w:szCs w:val="18"/>
          <w:color w:val="auto"/>
        </w:rPr>
        <w:t>On July 2, 2020, the Company entered into a senior secured term loan facility with Silicon Valley Bank (“SVB”) (the “SVB Loan and Security Agreement”), which provides for a $30.0 million term loan (the “SVB Term Loan”).</w:t>
      </w:r>
    </w:p>
    <w:p>
      <w:pPr>
        <w:spacing w:after="0" w:line="62" w:lineRule="exact"/>
        <w:rPr>
          <w:sz w:val="20"/>
          <w:szCs w:val="20"/>
          <w:color w:val="auto"/>
        </w:rPr>
      </w:pPr>
    </w:p>
    <w:p>
      <w:pPr>
        <w:ind w:firstLine="427"/>
        <w:spacing w:after="0" w:line="259" w:lineRule="auto"/>
        <w:rPr>
          <w:sz w:val="20"/>
          <w:szCs w:val="20"/>
          <w:color w:val="auto"/>
        </w:rPr>
      </w:pPr>
      <w:r>
        <w:rPr>
          <w:rFonts w:ascii="Arial" w:cs="Arial" w:eastAsia="Arial" w:hAnsi="Arial"/>
          <w:sz w:val="18"/>
          <w:szCs w:val="18"/>
          <w:color w:val="auto"/>
        </w:rPr>
        <w:t>The SVB Term Loan matures on November 1, 2025. Payments under the SVB Term Loan are for interest only through May 2023, and then 30 monthly principal and interest payments from June 2023 until maturity. The SVB Term Loan bears interest at the greater of (A) 0.5% above the Prime Rate as reported in the Wall Street Journal and (B) 3.75% (3.75% as of June 30, 2021). The Company is obligated to maintain a restricted cash balance greater or equal to the outstanding principal balance of $30.0 million of the SVB Term Loan.</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14" w:name="page15"/>
    <w:bookmarkEnd w:id="14"/>
    <w:p>
      <w:pPr>
        <w:ind w:right="120" w:firstLine="427"/>
        <w:spacing w:after="0" w:line="301" w:lineRule="auto"/>
        <w:rPr>
          <w:sz w:val="20"/>
          <w:szCs w:val="20"/>
          <w:color w:val="auto"/>
        </w:rPr>
      </w:pPr>
      <w:r>
        <w:rPr>
          <w:rFonts w:ascii="Arial" w:cs="Arial" w:eastAsia="Arial" w:hAnsi="Arial"/>
          <w:sz w:val="16"/>
          <w:szCs w:val="16"/>
          <w:color w:val="auto"/>
        </w:rPr>
        <w:t>There is also a final payment fee equal to 6.75% of the original principal amount of the SVB Term Loan, or approximately $2.0 million, due at maturity (or any earlier date of optional pre-payment or acceleration of principal due to an event of default). Such fee is being accreted to interest expense using the effective interest method with the offset recorded in noncurrent accrued interest. The Company may, at its option, prepay the SVB Term Loan in full, subject to an additional prepayment fee ranging between 1% and 3% of the outstanding principal amount of the SVB Term Loan.</w:t>
      </w:r>
    </w:p>
    <w:p>
      <w:pPr>
        <w:spacing w:after="0" w:line="49" w:lineRule="exact"/>
        <w:rPr>
          <w:sz w:val="20"/>
          <w:szCs w:val="20"/>
          <w:color w:val="auto"/>
        </w:rPr>
      </w:pPr>
    </w:p>
    <w:p>
      <w:pPr>
        <w:ind w:right="140" w:firstLine="427"/>
        <w:spacing w:after="0" w:line="275" w:lineRule="auto"/>
        <w:rPr>
          <w:sz w:val="20"/>
          <w:szCs w:val="20"/>
          <w:color w:val="auto"/>
        </w:rPr>
      </w:pPr>
      <w:r>
        <w:rPr>
          <w:rFonts w:ascii="Arial" w:cs="Arial" w:eastAsia="Arial" w:hAnsi="Arial"/>
          <w:sz w:val="17"/>
          <w:szCs w:val="17"/>
          <w:color w:val="auto"/>
        </w:rPr>
        <w:t>In the event of a default or change in control, all unpaid principal and all accrued and unpaid interest amounts (if any) become immediately due and payable including the prepayment fee. Events of default include, but are not limited to, a payment default, a material adverse change, and insolvency. The SVB Term Loan is secured by substantially all of the Company’s assets, including all of the capital stock held by the Company, if any (subject to a 65% limitation on pledges of capital stock of foreign subsidiaries), subject to certain exceptions. The SVB Loan and Security Agreement contains customary representations, warranties, affirmative covenants and also contains certain restrictive covenants.</w:t>
      </w:r>
    </w:p>
    <w:p>
      <w:pPr>
        <w:spacing w:after="0" w:line="68" w:lineRule="exact"/>
        <w:rPr>
          <w:sz w:val="20"/>
          <w:szCs w:val="20"/>
          <w:color w:val="auto"/>
        </w:rPr>
      </w:pPr>
    </w:p>
    <w:p>
      <w:pPr>
        <w:ind w:right="140" w:firstLine="427"/>
        <w:spacing w:after="0" w:line="259" w:lineRule="auto"/>
        <w:rPr>
          <w:sz w:val="20"/>
          <w:szCs w:val="20"/>
          <w:color w:val="auto"/>
        </w:rPr>
      </w:pPr>
      <w:r>
        <w:rPr>
          <w:rFonts w:ascii="Arial" w:cs="Arial" w:eastAsia="Arial" w:hAnsi="Arial"/>
          <w:sz w:val="18"/>
          <w:szCs w:val="18"/>
          <w:color w:val="auto"/>
        </w:rPr>
        <w:t>Debt issuance costs paid directly to SVB and other debt issuance costs amounting to $0.4 million were accounted for as discounts on the SVB Term Loan. These debt discounts, along with the final payment fee, are being amortized over the term of the SVB Term Loan using the effective interest rate method. As of June 30, 2021, the unamortized debt discount was $0.3 million, which is recorded as a direct deduction from the SVB Term Loan on the accompanying condensed balance sheets.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Equity Incentive Plan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Incentive Plans</w:t>
      </w:r>
    </w:p>
    <w:p>
      <w:pPr>
        <w:spacing w:after="0" w:line="117" w:lineRule="exact"/>
        <w:rPr>
          <w:sz w:val="20"/>
          <w:szCs w:val="20"/>
          <w:color w:val="auto"/>
        </w:rPr>
      </w:pPr>
    </w:p>
    <w:p>
      <w:pPr>
        <w:ind w:right="80" w:firstLine="427"/>
        <w:spacing w:after="0" w:line="263" w:lineRule="auto"/>
        <w:rPr>
          <w:sz w:val="20"/>
          <w:szCs w:val="20"/>
          <w:color w:val="auto"/>
        </w:rPr>
      </w:pPr>
      <w:r>
        <w:rPr>
          <w:rFonts w:ascii="Arial" w:cs="Arial" w:eastAsia="Arial" w:hAnsi="Arial"/>
          <w:sz w:val="18"/>
          <w:szCs w:val="18"/>
          <w:color w:val="auto"/>
        </w:rPr>
        <w:t>On January 1, 2021, the number of shares of common stock reserved for the issuance of awards under the Company’s 2020 Equity Incentive Plan (the “2020 Plan”) was increased by 1,709,000 shares as a result of the automatic increase pursuant to the 2020 Plan. As of June 30, 2021, 4,364,000 shares were reserved for future issuance under the 2020 Plan.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Employees Share Purchase Plan (ESPP)</w:t>
      </w:r>
    </w:p>
    <w:p>
      <w:pPr>
        <w:spacing w:after="0" w:line="117" w:lineRule="exact"/>
        <w:rPr>
          <w:sz w:val="20"/>
          <w:szCs w:val="20"/>
          <w:color w:val="auto"/>
        </w:rPr>
      </w:pPr>
    </w:p>
    <w:p>
      <w:pPr>
        <w:ind w:right="160" w:firstLine="427"/>
        <w:spacing w:after="0" w:line="263" w:lineRule="auto"/>
        <w:rPr>
          <w:sz w:val="20"/>
          <w:szCs w:val="20"/>
          <w:color w:val="auto"/>
        </w:rPr>
      </w:pPr>
      <w:r>
        <w:rPr>
          <w:rFonts w:ascii="Arial" w:cs="Arial" w:eastAsia="Arial" w:hAnsi="Arial"/>
          <w:sz w:val="18"/>
          <w:szCs w:val="18"/>
          <w:color w:val="auto"/>
        </w:rPr>
        <w:t>On January 1, 2021, the number of shares of common stock reserved for purchase under the Company’s Employee Share Purchase Plan (“ESPP”) was increased by 427,000 shares as a result of the automatic increase pursuant to the ESPP. As of June 30, 2021, 1,034,000 shares of common stock were reserved for issuance in connection with the current and future offering periods under the ESPP.</w:t>
      </w:r>
    </w:p>
    <w:p>
      <w:pPr>
        <w:spacing w:after="0" w:line="76" w:lineRule="exact"/>
        <w:rPr>
          <w:sz w:val="20"/>
          <w:szCs w:val="20"/>
          <w:color w:val="auto"/>
        </w:rPr>
      </w:pPr>
    </w:p>
    <w:p>
      <w:pPr>
        <w:ind w:right="40" w:firstLine="427"/>
        <w:spacing w:after="0" w:line="259" w:lineRule="auto"/>
        <w:rPr>
          <w:sz w:val="20"/>
          <w:szCs w:val="20"/>
          <w:color w:val="auto"/>
        </w:rPr>
      </w:pPr>
      <w:r>
        <w:rPr>
          <w:rFonts w:ascii="Arial" w:cs="Arial" w:eastAsia="Arial" w:hAnsi="Arial"/>
          <w:sz w:val="18"/>
          <w:szCs w:val="18"/>
          <w:color w:val="auto"/>
        </w:rPr>
        <w:t>The price at which common stock is purchased under the ESPP is equal to 85% of the fair market value of the common stock on the first day of the offering period or the purchase date, whichever is lower. During the three and six months ended June 30, 2021, zero and 80,000 shares, respectively, of common stock were issued under the ESPP. No shares of common stock were issued during the three and six months ended June 30, 2020 as the ESPP was adopted in September 2020.</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following table sets forth stock-based compensation expense included in the accompanying condensed statements of operations (in thousands):</w:t>
      </w:r>
    </w:p>
    <w:p>
      <w:pPr>
        <w:spacing w:after="0" w:line="163" w:lineRule="exact"/>
        <w:rPr>
          <w:sz w:val="20"/>
          <w:szCs w:val="20"/>
          <w:color w:val="auto"/>
        </w:rPr>
      </w:pPr>
    </w:p>
    <w:tbl>
      <w:tblPr>
        <w:tblLayout w:type="fixed"/>
        <w:tblInd w:w="580" w:type="dxa"/>
        <w:tblCellMar>
          <w:top w:w="0" w:type="dxa"/>
          <w:left w:w="0" w:type="dxa"/>
          <w:bottom w:w="0" w:type="dxa"/>
          <w:right w:w="0" w:type="dxa"/>
        </w:tblCellMar>
      </w:tblPr>
      <w:tr>
        <w:trPr>
          <w:trHeight w:val="230"/>
        </w:trPr>
        <w:tc>
          <w:tcPr>
            <w:tcW w:w="5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20" w:type="dxa"/>
            <w:vAlign w:val="bottom"/>
            <w:gridSpan w:val="3"/>
          </w:tcPr>
          <w:p>
            <w:pPr>
              <w:jc w:val="right"/>
              <w:spacing w:after="0"/>
              <w:rPr>
                <w:sz w:val="20"/>
                <w:szCs w:val="20"/>
                <w:color w:val="auto"/>
              </w:rPr>
            </w:pPr>
            <w:r>
              <w:rPr>
                <w:rFonts w:ascii="Arial" w:cs="Arial" w:eastAsia="Arial" w:hAnsi="Arial"/>
                <w:sz w:val="18"/>
                <w:szCs w:val="18"/>
                <w:b w:val="1"/>
                <w:bCs w:val="1"/>
                <w:color w:val="auto"/>
                <w:w w:val="95"/>
              </w:rPr>
              <w:t>Three Months Ended</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120" w:type="dxa"/>
            <w:vAlign w:val="bottom"/>
            <w:gridSpan w:val="5"/>
          </w:tcPr>
          <w:p>
            <w:pPr>
              <w:ind w:left="200"/>
              <w:spacing w:after="0"/>
              <w:rPr>
                <w:sz w:val="20"/>
                <w:szCs w:val="20"/>
                <w:color w:val="auto"/>
              </w:rPr>
            </w:pPr>
            <w:r>
              <w:rPr>
                <w:rFonts w:ascii="Arial" w:cs="Arial" w:eastAsia="Arial" w:hAnsi="Arial"/>
                <w:sz w:val="18"/>
                <w:szCs w:val="18"/>
                <w:b w:val="1"/>
                <w:bCs w:val="1"/>
                <w:color w:val="auto"/>
              </w:rPr>
              <w:t>Six Months Ended</w:t>
            </w:r>
          </w:p>
        </w:tc>
      </w:tr>
      <w:tr>
        <w:trPr>
          <w:trHeight w:val="234"/>
        </w:trPr>
        <w:tc>
          <w:tcPr>
            <w:tcW w:w="53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3"/>
          </w:tcPr>
          <w:p>
            <w:pPr>
              <w:jc w:val="right"/>
              <w:ind w:right="410"/>
              <w:spacing w:after="0"/>
              <w:rPr>
                <w:sz w:val="20"/>
                <w:szCs w:val="20"/>
                <w:color w:val="auto"/>
              </w:rPr>
            </w:pPr>
            <w:r>
              <w:rPr>
                <w:rFonts w:ascii="Arial" w:cs="Arial" w:eastAsia="Arial" w:hAnsi="Arial"/>
                <w:sz w:val="18"/>
                <w:szCs w:val="18"/>
                <w:b w:val="1"/>
                <w:bCs w:val="1"/>
                <w:color w:val="auto"/>
              </w:rPr>
              <w:t>June 30,</w:t>
            </w:r>
          </w:p>
        </w:tc>
        <w:tc>
          <w:tcPr>
            <w:tcW w:w="2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7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538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bottom w:val="single" w:sz="8" w:color="CFF0FC"/>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280" w:type="dxa"/>
            <w:vAlign w:val="bottom"/>
            <w:tcBorders>
              <w:bottom w:val="single" w:sz="8" w:color="auto"/>
            </w:tcBorders>
          </w:tcPr>
          <w:p>
            <w:pPr>
              <w:spacing w:after="0"/>
              <w:rPr>
                <w:sz w:val="19"/>
                <w:szCs w:val="19"/>
                <w:color w:val="auto"/>
              </w:rPr>
            </w:pPr>
          </w:p>
        </w:tc>
        <w:tc>
          <w:tcPr>
            <w:tcW w:w="2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99"/>
              </w:rPr>
              <w:t>2020</w:t>
            </w:r>
          </w:p>
        </w:tc>
        <w:tc>
          <w:tcPr>
            <w:tcW w:w="100" w:type="dxa"/>
            <w:vAlign w:val="bottom"/>
            <w:tcBorders>
              <w:bottom w:val="single" w:sz="8" w:color="CFF0FC"/>
            </w:tcBorders>
          </w:tcPr>
          <w:p>
            <w:pPr>
              <w:spacing w:after="0"/>
              <w:rPr>
                <w:sz w:val="19"/>
                <w:szCs w:val="19"/>
                <w:color w:val="auto"/>
              </w:rPr>
            </w:pPr>
          </w:p>
        </w:tc>
      </w:tr>
      <w:tr>
        <w:trPr>
          <w:trHeight w:val="223"/>
        </w:trPr>
        <w:tc>
          <w:tcPr>
            <w:tcW w:w="5380" w:type="dxa"/>
            <w:vAlign w:val="bottom"/>
            <w:shd w:val="clear" w:color="auto" w:fill="CFF0FC"/>
          </w:tcPr>
          <w:p>
            <w:pPr>
              <w:spacing w:after="0"/>
              <w:rPr>
                <w:sz w:val="20"/>
                <w:szCs w:val="20"/>
                <w:color w:val="auto"/>
              </w:rPr>
            </w:pPr>
            <w:r>
              <w:rPr>
                <w:rFonts w:ascii="Arial" w:cs="Arial" w:eastAsia="Arial" w:hAnsi="Arial"/>
                <w:sz w:val="18"/>
                <w:szCs w:val="18"/>
                <w:color w:val="auto"/>
              </w:rPr>
              <w:t>Cost of revenue</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w:t>
            </w:r>
          </w:p>
        </w:tc>
        <w:tc>
          <w:tcPr>
            <w:tcW w:w="220" w:type="dxa"/>
            <w:vAlign w:val="bottom"/>
            <w:shd w:val="clear" w:color="auto" w:fill="CFF0FC"/>
          </w:tcPr>
          <w:p>
            <w:pPr>
              <w:spacing w:after="0"/>
              <w:rPr>
                <w:sz w:val="19"/>
                <w:szCs w:val="19"/>
                <w:color w:val="auto"/>
              </w:rPr>
            </w:pPr>
          </w:p>
        </w:tc>
        <w:tc>
          <w:tcPr>
            <w:tcW w:w="700" w:type="dxa"/>
            <w:vAlign w:val="bottom"/>
            <w:shd w:val="clear" w:color="auto" w:fill="CFF0FC"/>
          </w:tcPr>
          <w:p>
            <w:pPr>
              <w:jc w:val="right"/>
              <w:ind w:right="510"/>
              <w:spacing w:after="0"/>
              <w:rPr>
                <w:sz w:val="20"/>
                <w:szCs w:val="20"/>
                <w:color w:val="auto"/>
              </w:rPr>
            </w:pPr>
            <w:r>
              <w:rPr>
                <w:rFonts w:ascii="Arial" w:cs="Arial" w:eastAsia="Arial" w:hAnsi="Arial"/>
                <w:sz w:val="18"/>
                <w:szCs w:val="18"/>
                <w:color w:val="auto"/>
                <w:w w:val="79"/>
              </w:rPr>
              <w:t>$</w:t>
            </w: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w:t>
            </w:r>
          </w:p>
        </w:tc>
        <w:tc>
          <w:tcPr>
            <w:tcW w:w="100" w:type="dxa"/>
            <w:vAlign w:val="bottom"/>
            <w:shd w:val="clear" w:color="auto" w:fill="CFF0FC"/>
          </w:tcPr>
          <w:p>
            <w:pPr>
              <w:spacing w:after="0"/>
              <w:rPr>
                <w:sz w:val="19"/>
                <w:szCs w:val="19"/>
                <w:color w:val="auto"/>
              </w:rPr>
            </w:pPr>
          </w:p>
        </w:tc>
      </w:tr>
      <w:tr>
        <w:trPr>
          <w:trHeight w:val="230"/>
        </w:trPr>
        <w:tc>
          <w:tcPr>
            <w:tcW w:w="538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643</w:t>
            </w: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w w:val="86"/>
              </w:rPr>
              <w:t>134</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1,808</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252</w:t>
            </w:r>
          </w:p>
        </w:tc>
        <w:tc>
          <w:tcPr>
            <w:tcW w:w="100" w:type="dxa"/>
            <w:vAlign w:val="bottom"/>
          </w:tcPr>
          <w:p>
            <w:pPr>
              <w:spacing w:after="0"/>
              <w:rPr>
                <w:sz w:val="19"/>
                <w:szCs w:val="19"/>
                <w:color w:val="auto"/>
              </w:rPr>
            </w:pPr>
          </w:p>
        </w:tc>
      </w:tr>
      <w:tr>
        <w:trPr>
          <w:trHeight w:val="230"/>
        </w:trPr>
        <w:tc>
          <w:tcPr>
            <w:tcW w:w="5380" w:type="dxa"/>
            <w:vAlign w:val="bottom"/>
            <w:shd w:val="clear" w:color="auto" w:fill="CFF0FC"/>
          </w:tcPr>
          <w:p>
            <w:pPr>
              <w:spacing w:after="0"/>
              <w:rPr>
                <w:sz w:val="20"/>
                <w:szCs w:val="20"/>
                <w:color w:val="auto"/>
              </w:rPr>
            </w:pPr>
            <w:r>
              <w:rPr>
                <w:rFonts w:ascii="Arial" w:cs="Arial" w:eastAsia="Arial" w:hAnsi="Arial"/>
                <w:sz w:val="18"/>
                <w:szCs w:val="18"/>
                <w:color w:val="auto"/>
              </w:rPr>
              <w:t>Sales and marketing</w:t>
            </w: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1,052</w:t>
            </w:r>
          </w:p>
        </w:tc>
        <w:tc>
          <w:tcPr>
            <w:tcW w:w="22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6"/>
              </w:rPr>
              <w:t>101</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2,794</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183</w:t>
            </w:r>
          </w:p>
        </w:tc>
        <w:tc>
          <w:tcPr>
            <w:tcW w:w="100" w:type="dxa"/>
            <w:vAlign w:val="bottom"/>
            <w:shd w:val="clear" w:color="auto" w:fill="CFF0FC"/>
          </w:tcPr>
          <w:p>
            <w:pPr>
              <w:spacing w:after="0"/>
              <w:rPr>
                <w:sz w:val="19"/>
                <w:szCs w:val="19"/>
                <w:color w:val="auto"/>
              </w:rPr>
            </w:pPr>
          </w:p>
        </w:tc>
      </w:tr>
      <w:tr>
        <w:trPr>
          <w:trHeight w:val="230"/>
        </w:trPr>
        <w:tc>
          <w:tcPr>
            <w:tcW w:w="53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General and administrative</w:t>
            </w:r>
          </w:p>
        </w:tc>
        <w:tc>
          <w:tcPr>
            <w:tcW w:w="1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2,180</w:t>
            </w:r>
          </w:p>
        </w:tc>
        <w:tc>
          <w:tcPr>
            <w:tcW w:w="220" w:type="dxa"/>
            <w:vAlign w:val="bottom"/>
            <w:tcBorders>
              <w:bottom w:val="single" w:sz="8" w:color="CFF0FC"/>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428</w:t>
            </w:r>
          </w:p>
        </w:tc>
        <w:tc>
          <w:tcPr>
            <w:tcW w:w="2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5,050</w:t>
            </w:r>
          </w:p>
        </w:tc>
        <w:tc>
          <w:tcPr>
            <w:tcW w:w="2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789</w:t>
            </w:r>
          </w:p>
        </w:tc>
        <w:tc>
          <w:tcPr>
            <w:tcW w:w="100" w:type="dxa"/>
            <w:vAlign w:val="bottom"/>
            <w:tcBorders>
              <w:bottom w:val="single" w:sz="8" w:color="CFF0FC"/>
            </w:tcBorders>
          </w:tcPr>
          <w:p>
            <w:pPr>
              <w:spacing w:after="0"/>
              <w:rPr>
                <w:sz w:val="19"/>
                <w:szCs w:val="19"/>
                <w:color w:val="auto"/>
              </w:rPr>
            </w:pPr>
          </w:p>
        </w:tc>
      </w:tr>
      <w:tr>
        <w:trPr>
          <w:trHeight w:val="223"/>
        </w:trPr>
        <w:tc>
          <w:tcPr>
            <w:tcW w:w="538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 stock-based compensation expense</w:t>
            </w: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3,937</w:t>
            </w:r>
          </w:p>
        </w:tc>
        <w:tc>
          <w:tcPr>
            <w:tcW w:w="220" w:type="dxa"/>
            <w:vAlign w:val="bottom"/>
            <w:tcBorders>
              <w:bottom w:val="single" w:sz="8" w:color="CFF0FC"/>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ind w:right="510"/>
              <w:spacing w:after="0"/>
              <w:rPr>
                <w:sz w:val="20"/>
                <w:szCs w:val="20"/>
                <w:color w:val="auto"/>
              </w:rPr>
            </w:pPr>
            <w:r>
              <w:rPr>
                <w:rFonts w:ascii="Arial" w:cs="Arial" w:eastAsia="Arial" w:hAnsi="Arial"/>
                <w:sz w:val="18"/>
                <w:szCs w:val="18"/>
                <w:color w:val="auto"/>
                <w:w w:val="79"/>
              </w:rPr>
              <w:t>$</w:t>
            </w:r>
          </w:p>
        </w:tc>
        <w:tc>
          <w:tcPr>
            <w:tcW w:w="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6"/>
              </w:rPr>
              <w:t>683</w:t>
            </w:r>
          </w:p>
        </w:tc>
        <w:tc>
          <w:tcPr>
            <w:tcW w:w="2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9,789</w:t>
            </w:r>
          </w:p>
        </w:tc>
        <w:tc>
          <w:tcPr>
            <w:tcW w:w="22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1,263</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53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Stock Options with Performance and Market Conditions</w:t>
      </w:r>
    </w:p>
    <w:p>
      <w:pPr>
        <w:spacing w:after="0" w:line="117" w:lineRule="exact"/>
        <w:rPr>
          <w:sz w:val="20"/>
          <w:szCs w:val="20"/>
          <w:color w:val="auto"/>
        </w:rPr>
      </w:pPr>
    </w:p>
    <w:p>
      <w:pPr>
        <w:ind w:firstLine="427"/>
        <w:spacing w:after="0" w:line="257" w:lineRule="auto"/>
        <w:rPr>
          <w:sz w:val="20"/>
          <w:szCs w:val="20"/>
          <w:color w:val="auto"/>
        </w:rPr>
      </w:pPr>
      <w:r>
        <w:rPr>
          <w:rFonts w:ascii="Arial" w:cs="Arial" w:eastAsia="Arial" w:hAnsi="Arial"/>
          <w:sz w:val="18"/>
          <w:szCs w:val="18"/>
          <w:color w:val="auto"/>
        </w:rPr>
        <w:t>As of December 31, 2020, the Company had 1,933,000 shares of outstanding stock options with performance and market-based vesting conditions. The options vest over the requisite service period if the Company achieves both (i) a performance condition tied to a liquidity event, which includes the effectiveness of an IPO, and (ii) certain market conditions, provided the optionee is providing services on the date of the event. As of June 30, 2021, all outstanding stock options with performance and market-based vesting conditions were fully vested other than 151,000 shares of these stock options that are scheduled to vest in September 2021.</w:t>
      </w:r>
    </w:p>
    <w:p>
      <w:pPr>
        <w:spacing w:after="0" w:line="80" w:lineRule="exact"/>
        <w:rPr>
          <w:sz w:val="20"/>
          <w:szCs w:val="20"/>
          <w:color w:val="auto"/>
        </w:rPr>
      </w:pPr>
    </w:p>
    <w:p>
      <w:pPr>
        <w:ind w:right="140" w:firstLine="427"/>
        <w:spacing w:after="0" w:line="301" w:lineRule="auto"/>
        <w:rPr>
          <w:sz w:val="20"/>
          <w:szCs w:val="20"/>
          <w:color w:val="auto"/>
        </w:rPr>
      </w:pPr>
      <w:r>
        <w:rPr>
          <w:rFonts w:ascii="Arial" w:cs="Arial" w:eastAsia="Arial" w:hAnsi="Arial"/>
          <w:sz w:val="16"/>
          <w:szCs w:val="16"/>
          <w:color w:val="auto"/>
        </w:rPr>
        <w:t>For the three and six months ended June 30, 2021, the Company recorded stock-based compensation expense of $0.3 million and $4.5 million, respectively, related to these stock options. No such expense was recognized for the three and six months ended June 30, 2020 as the performance vesting condition was not satisfied until the closing of the IPO in September 2020. Unamortized stock-based compensation expense related to these awards amounted to $0.3 million as of June 30, 2021, which the Company expects to recognize over an estimated weighted-average period of 0.2 years.</w:t>
      </w:r>
    </w:p>
    <w:p>
      <w:pPr>
        <w:spacing w:after="0" w:line="15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9. Income Taxes</w:t>
      </w:r>
    </w:p>
    <w:p>
      <w:pPr>
        <w:spacing w:after="0" w:line="121" w:lineRule="exact"/>
        <w:rPr>
          <w:sz w:val="20"/>
          <w:szCs w:val="20"/>
          <w:color w:val="auto"/>
        </w:rPr>
      </w:pPr>
    </w:p>
    <w:p>
      <w:pPr>
        <w:jc w:val="both"/>
        <w:ind w:firstLine="427"/>
        <w:spacing w:after="0" w:line="263" w:lineRule="auto"/>
        <w:rPr>
          <w:sz w:val="20"/>
          <w:szCs w:val="20"/>
          <w:color w:val="auto"/>
        </w:rPr>
      </w:pPr>
      <w:r>
        <w:rPr>
          <w:rFonts w:ascii="Arial" w:cs="Arial" w:eastAsia="Arial" w:hAnsi="Arial"/>
          <w:sz w:val="18"/>
          <w:szCs w:val="18"/>
          <w:color w:val="auto"/>
        </w:rPr>
        <w:t>For each of the three and six months ended June 30, 2021 and 2020, the Company incurred an income tax provision of an insignificant amount . The U.S. federal and state net deferred tax assets have been fully offset by a valuation allowance, as the Company believes it is not more likely than not that the deferred tax assets will be realized.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Net Loss Per Share Attributable to Common Stockholders</w:t>
      </w:r>
    </w:p>
    <w:p>
      <w:pPr>
        <w:spacing w:after="0" w:line="121" w:lineRule="exact"/>
        <w:rPr>
          <w:sz w:val="20"/>
          <w:szCs w:val="20"/>
          <w:color w:val="auto"/>
        </w:rPr>
      </w:pPr>
    </w:p>
    <w:p>
      <w:pPr>
        <w:jc w:val="both"/>
        <w:ind w:firstLine="427"/>
        <w:spacing w:after="0" w:line="277" w:lineRule="auto"/>
        <w:rPr>
          <w:sz w:val="20"/>
          <w:szCs w:val="20"/>
          <w:color w:val="auto"/>
        </w:rPr>
      </w:pPr>
      <w:r>
        <w:rPr>
          <w:rFonts w:ascii="Arial" w:cs="Arial" w:eastAsia="Arial" w:hAnsi="Arial"/>
          <w:sz w:val="18"/>
          <w:szCs w:val="18"/>
          <w:color w:val="auto"/>
        </w:rPr>
        <w:t>A reconciliation of the numerator and denominator used in the calculation of basic and diluted net loss per share attributable to common stockholders is as follows (in thousands except per share amounts):</w:t>
      </w:r>
    </w:p>
    <w:p>
      <w:pPr>
        <w:spacing w:after="0" w:line="72"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48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140" w:type="dxa"/>
            <w:vAlign w:val="bottom"/>
            <w:gridSpan w:val="5"/>
          </w:tcPr>
          <w:p>
            <w:pPr>
              <w:jc w:val="right"/>
              <w:ind w:right="420"/>
              <w:spacing w:after="0"/>
              <w:rPr>
                <w:sz w:val="20"/>
                <w:szCs w:val="20"/>
                <w:color w:val="auto"/>
              </w:rPr>
            </w:pPr>
            <w:r>
              <w:rPr>
                <w:rFonts w:ascii="Arial" w:cs="Arial" w:eastAsia="Arial" w:hAnsi="Arial"/>
                <w:sz w:val="18"/>
                <w:szCs w:val="18"/>
                <w:b w:val="1"/>
                <w:bCs w:val="1"/>
                <w:color w:val="auto"/>
                <w:w w:val="95"/>
              </w:rPr>
              <w:t>Three Months Ended</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48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320" w:type="dxa"/>
            <w:vAlign w:val="bottom"/>
            <w:gridSpan w:val="6"/>
          </w:tcPr>
          <w:p>
            <w:pPr>
              <w:jc w:val="right"/>
              <w:ind w:right="160"/>
              <w:spacing w:after="0"/>
              <w:rPr>
                <w:sz w:val="20"/>
                <w:szCs w:val="20"/>
                <w:color w:val="auto"/>
              </w:rPr>
            </w:pPr>
            <w:r>
              <w:rPr>
                <w:rFonts w:ascii="Arial" w:cs="Arial" w:eastAsia="Arial" w:hAnsi="Arial"/>
                <w:sz w:val="18"/>
                <w:szCs w:val="18"/>
                <w:b w:val="1"/>
                <w:bCs w:val="1"/>
                <w:color w:val="auto"/>
                <w:w w:val="91"/>
              </w:rPr>
              <w:t>Six Months Ended June 30,</w:t>
            </w:r>
          </w:p>
        </w:tc>
      </w:tr>
      <w:tr>
        <w:trPr>
          <w:trHeight w:val="223"/>
        </w:trPr>
        <w:tc>
          <w:tcPr>
            <w:tcW w:w="4820" w:type="dxa"/>
            <w:vAlign w:val="bottom"/>
            <w:tcBorders>
              <w:bottom w:val="single" w:sz="8" w:color="CFF0FC"/>
            </w:tcBorders>
          </w:tcPr>
          <w:p>
            <w:pPr>
              <w:spacing w:after="0"/>
              <w:rPr>
                <w:sz w:val="19"/>
                <w:szCs w:val="19"/>
                <w:color w:val="auto"/>
              </w:rPr>
            </w:pPr>
          </w:p>
        </w:tc>
        <w:tc>
          <w:tcPr>
            <w:tcW w:w="560" w:type="dxa"/>
            <w:vAlign w:val="bottom"/>
            <w:tcBorders>
              <w:bottom w:val="single" w:sz="8" w:color="CFF0FC"/>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top w:val="single" w:sz="8" w:color="auto"/>
              <w:bottom w:val="single" w:sz="8" w:color="CFF0FC"/>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94"/>
              </w:rPr>
              <w:t>2020</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top w:val="single" w:sz="8" w:color="auto"/>
              <w:bottom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FF0FC"/>
            </w:tcBorders>
          </w:tcPr>
          <w:p>
            <w:pPr>
              <w:spacing w:after="0"/>
              <w:rPr>
                <w:sz w:val="19"/>
                <w:szCs w:val="19"/>
                <w:color w:val="auto"/>
              </w:rPr>
            </w:pPr>
          </w:p>
        </w:tc>
      </w:tr>
      <w:tr>
        <w:trPr>
          <w:trHeight w:val="223"/>
        </w:trPr>
        <w:tc>
          <w:tcPr>
            <w:tcW w:w="48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Numerator:</w:t>
            </w:r>
          </w:p>
        </w:tc>
        <w:tc>
          <w:tcPr>
            <w:tcW w:w="5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4820" w:type="dxa"/>
            <w:vAlign w:val="bottom"/>
          </w:tcPr>
          <w:p>
            <w:pPr>
              <w:ind w:left="240"/>
              <w:spacing w:after="0"/>
              <w:rPr>
                <w:sz w:val="20"/>
                <w:szCs w:val="20"/>
                <w:color w:val="auto"/>
              </w:rPr>
            </w:pPr>
            <w:r>
              <w:rPr>
                <w:rFonts w:ascii="Arial" w:cs="Arial" w:eastAsia="Arial" w:hAnsi="Arial"/>
                <w:sz w:val="18"/>
                <w:szCs w:val="18"/>
                <w:color w:val="auto"/>
              </w:rPr>
              <w:t>Net loss</w:t>
            </w: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(30,208)</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(26,505)</w:t>
            </w:r>
          </w:p>
        </w:tc>
        <w:tc>
          <w:tcPr>
            <w:tcW w:w="28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(60,233)</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(47,155)</w:t>
            </w:r>
          </w:p>
        </w:tc>
      </w:tr>
      <w:tr>
        <w:trPr>
          <w:trHeight w:val="215"/>
        </w:trPr>
        <w:tc>
          <w:tcPr>
            <w:tcW w:w="48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Adjustment to redemption value on redeemable</w:t>
            </w:r>
          </w:p>
        </w:tc>
        <w:tc>
          <w:tcPr>
            <w:tcW w:w="5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48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convertible preferred stock</w:t>
            </w:r>
          </w:p>
        </w:tc>
        <w:tc>
          <w:tcPr>
            <w:tcW w:w="5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0"/>
                <w:szCs w:val="20"/>
                <w:color w:val="auto"/>
              </w:rPr>
            </w:pPr>
          </w:p>
        </w:tc>
        <w:tc>
          <w:tcPr>
            <w:tcW w:w="8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(362)</w:t>
            </w:r>
          </w:p>
        </w:tc>
      </w:tr>
      <w:tr>
        <w:trPr>
          <w:trHeight w:val="229"/>
        </w:trPr>
        <w:tc>
          <w:tcPr>
            <w:tcW w:w="4820" w:type="dxa"/>
            <w:vAlign w:val="bottom"/>
          </w:tcPr>
          <w:p>
            <w:pPr>
              <w:ind w:left="240"/>
              <w:spacing w:after="0"/>
              <w:rPr>
                <w:sz w:val="20"/>
                <w:szCs w:val="20"/>
                <w:color w:val="auto"/>
              </w:rPr>
            </w:pPr>
            <w:r>
              <w:rPr>
                <w:rFonts w:ascii="Arial" w:cs="Arial" w:eastAsia="Arial" w:hAnsi="Arial"/>
                <w:sz w:val="18"/>
                <w:szCs w:val="18"/>
                <w:color w:val="auto"/>
              </w:rPr>
              <w:t>Deemed dividend on settlement of accrued dividend</w:t>
            </w: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42,530</w:t>
            </w:r>
          </w:p>
        </w:tc>
        <w:tc>
          <w:tcPr>
            <w:tcW w:w="100" w:type="dxa"/>
            <w:vAlign w:val="bottom"/>
          </w:tcPr>
          <w:p>
            <w:pPr>
              <w:spacing w:after="0"/>
              <w:rPr>
                <w:sz w:val="19"/>
                <w:szCs w:val="19"/>
                <w:color w:val="auto"/>
              </w:rPr>
            </w:pPr>
          </w:p>
        </w:tc>
      </w:tr>
      <w:tr>
        <w:trPr>
          <w:trHeight w:val="209"/>
        </w:trPr>
        <w:tc>
          <w:tcPr>
            <w:tcW w:w="4820" w:type="dxa"/>
            <w:vAlign w:val="bottom"/>
            <w:tcBorders>
              <w:top w:val="single" w:sz="8" w:color="CFF0FC"/>
            </w:tcBorders>
            <w:shd w:val="clear" w:color="auto" w:fill="CFF0FC"/>
          </w:tcPr>
          <w:p>
            <w:pPr>
              <w:ind w:left="480"/>
              <w:spacing w:after="0"/>
              <w:rPr>
                <w:sz w:val="20"/>
                <w:szCs w:val="20"/>
                <w:color w:val="auto"/>
              </w:rPr>
            </w:pPr>
            <w:r>
              <w:rPr>
                <w:rFonts w:ascii="Arial" w:cs="Arial" w:eastAsia="Arial" w:hAnsi="Arial"/>
                <w:sz w:val="18"/>
                <w:szCs w:val="18"/>
                <w:color w:val="auto"/>
              </w:rPr>
              <w:t>Net loss attributable to common stockholders,</w:t>
            </w:r>
          </w:p>
        </w:tc>
        <w:tc>
          <w:tcPr>
            <w:tcW w:w="56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72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r>
      <w:tr>
        <w:trPr>
          <w:trHeight w:val="230"/>
        </w:trPr>
        <w:tc>
          <w:tcPr>
            <w:tcW w:w="4820" w:type="dxa"/>
            <w:vAlign w:val="bottom"/>
            <w:shd w:val="clear" w:color="auto" w:fill="CFF0FC"/>
          </w:tcPr>
          <w:p>
            <w:pPr>
              <w:ind w:left="580"/>
              <w:spacing w:after="0"/>
              <w:rPr>
                <w:sz w:val="20"/>
                <w:szCs w:val="20"/>
                <w:color w:val="auto"/>
              </w:rPr>
            </w:pPr>
            <w:r>
              <w:rPr>
                <w:rFonts w:ascii="Arial" w:cs="Arial" w:eastAsia="Arial" w:hAnsi="Arial"/>
                <w:sz w:val="18"/>
                <w:szCs w:val="18"/>
                <w:color w:val="auto"/>
              </w:rPr>
              <w:t>basic and diluted</w:t>
            </w:r>
          </w:p>
        </w:tc>
        <w:tc>
          <w:tcPr>
            <w:tcW w:w="7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(30,208)</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(26,505)</w:t>
            </w:r>
          </w:p>
        </w:tc>
        <w:tc>
          <w:tcPr>
            <w:tcW w:w="28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(60,233)</w:t>
            </w:r>
          </w:p>
        </w:tc>
        <w:tc>
          <w:tcPr>
            <w:tcW w:w="200" w:type="dxa"/>
            <w:vAlign w:val="bottom"/>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(4,987)</w:t>
            </w:r>
          </w:p>
        </w:tc>
      </w:tr>
      <w:tr>
        <w:trPr>
          <w:trHeight w:val="223"/>
        </w:trPr>
        <w:tc>
          <w:tcPr>
            <w:tcW w:w="4820" w:type="dxa"/>
            <w:vAlign w:val="bottom"/>
          </w:tcPr>
          <w:p>
            <w:pPr>
              <w:spacing w:after="0"/>
              <w:rPr>
                <w:sz w:val="20"/>
                <w:szCs w:val="20"/>
                <w:color w:val="auto"/>
              </w:rPr>
            </w:pPr>
            <w:r>
              <w:rPr>
                <w:rFonts w:ascii="Arial" w:cs="Arial" w:eastAsia="Arial" w:hAnsi="Arial"/>
                <w:sz w:val="18"/>
                <w:szCs w:val="18"/>
                <w:b w:val="1"/>
                <w:bCs w:val="1"/>
                <w:color w:val="auto"/>
              </w:rPr>
              <w:t>Denominator:</w:t>
            </w:r>
          </w:p>
        </w:tc>
        <w:tc>
          <w:tcPr>
            <w:tcW w:w="5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5"/>
        </w:trPr>
        <w:tc>
          <w:tcPr>
            <w:tcW w:w="4820" w:type="dxa"/>
            <w:vAlign w:val="bottom"/>
            <w:shd w:val="clear" w:color="auto" w:fill="CFF0FC"/>
          </w:tcPr>
          <w:p>
            <w:pPr>
              <w:ind w:left="480"/>
              <w:spacing w:after="0"/>
              <w:rPr>
                <w:sz w:val="20"/>
                <w:szCs w:val="20"/>
                <w:color w:val="auto"/>
              </w:rPr>
            </w:pPr>
            <w:r>
              <w:rPr>
                <w:rFonts w:ascii="Arial" w:cs="Arial" w:eastAsia="Arial" w:hAnsi="Arial"/>
                <w:sz w:val="18"/>
                <w:szCs w:val="18"/>
                <w:color w:val="auto"/>
              </w:rPr>
              <w:t>Weighted-average shares of common stock,</w:t>
            </w:r>
          </w:p>
        </w:tc>
        <w:tc>
          <w:tcPr>
            <w:tcW w:w="5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4820" w:type="dxa"/>
            <w:vAlign w:val="bottom"/>
            <w:shd w:val="clear" w:color="auto" w:fill="CFF0FC"/>
          </w:tcPr>
          <w:p>
            <w:pPr>
              <w:ind w:left="620"/>
              <w:spacing w:after="0"/>
              <w:rPr>
                <w:sz w:val="20"/>
                <w:szCs w:val="20"/>
                <w:color w:val="auto"/>
              </w:rPr>
            </w:pPr>
            <w:r>
              <w:rPr>
                <w:rFonts w:ascii="Arial" w:cs="Arial" w:eastAsia="Arial" w:hAnsi="Arial"/>
                <w:sz w:val="18"/>
                <w:szCs w:val="18"/>
                <w:color w:val="auto"/>
              </w:rPr>
              <w:t>basic and diluted</w:t>
            </w:r>
          </w:p>
        </w:tc>
        <w:tc>
          <w:tcPr>
            <w:tcW w:w="560" w:type="dxa"/>
            <w:vAlign w:val="bottom"/>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45,680</w:t>
            </w:r>
          </w:p>
        </w:tc>
        <w:tc>
          <w:tcPr>
            <w:tcW w:w="220" w:type="dxa"/>
            <w:vAlign w:val="bottom"/>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5,784</w:t>
            </w: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44,228</w:t>
            </w:r>
          </w:p>
        </w:tc>
        <w:tc>
          <w:tcPr>
            <w:tcW w:w="220" w:type="dxa"/>
            <w:vAlign w:val="bottom"/>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5,086</w:t>
            </w:r>
          </w:p>
        </w:tc>
        <w:tc>
          <w:tcPr>
            <w:tcW w:w="100" w:type="dxa"/>
            <w:vAlign w:val="bottom"/>
            <w:shd w:val="clear" w:color="auto" w:fill="CFF0FC"/>
          </w:tcPr>
          <w:p>
            <w:pPr>
              <w:spacing w:after="0"/>
              <w:rPr>
                <w:sz w:val="20"/>
                <w:szCs w:val="20"/>
                <w:color w:val="auto"/>
              </w:rPr>
            </w:pPr>
          </w:p>
        </w:tc>
      </w:tr>
      <w:tr>
        <w:trPr>
          <w:trHeight w:val="209"/>
        </w:trPr>
        <w:tc>
          <w:tcPr>
            <w:tcW w:w="4820" w:type="dxa"/>
            <w:vAlign w:val="bottom"/>
          </w:tcPr>
          <w:p>
            <w:pPr>
              <w:ind w:left="240"/>
              <w:spacing w:after="0"/>
              <w:rPr>
                <w:sz w:val="20"/>
                <w:szCs w:val="20"/>
                <w:color w:val="auto"/>
              </w:rPr>
            </w:pPr>
            <w:r>
              <w:rPr>
                <w:rFonts w:ascii="Arial" w:cs="Arial" w:eastAsia="Arial" w:hAnsi="Arial"/>
                <w:sz w:val="18"/>
                <w:szCs w:val="18"/>
                <w:color w:val="auto"/>
              </w:rPr>
              <w:t>Net loss per share attributable to common stockholders,</w:t>
            </w: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4820" w:type="dxa"/>
            <w:vAlign w:val="bottom"/>
          </w:tcPr>
          <w:p>
            <w:pPr>
              <w:ind w:left="380"/>
              <w:spacing w:after="0"/>
              <w:rPr>
                <w:sz w:val="20"/>
                <w:szCs w:val="20"/>
                <w:color w:val="auto"/>
              </w:rPr>
            </w:pPr>
            <w:r>
              <w:rPr>
                <w:rFonts w:ascii="Arial" w:cs="Arial" w:eastAsia="Arial" w:hAnsi="Arial"/>
                <w:sz w:val="18"/>
                <w:szCs w:val="18"/>
                <w:color w:val="auto"/>
              </w:rPr>
              <w:t>basic and diluted</w:t>
            </w: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(0.66)</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(4.58)</w:t>
            </w:r>
          </w:p>
        </w:tc>
        <w:tc>
          <w:tcPr>
            <w:tcW w:w="28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(1.36)</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(0.98)</w:t>
            </w:r>
          </w:p>
        </w:tc>
      </w:tr>
      <w:tr>
        <w:trPr>
          <w:trHeight w:val="20"/>
        </w:trPr>
        <w:tc>
          <w:tcPr>
            <w:tcW w:w="48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94" w:lineRule="exact"/>
        <w:rPr>
          <w:sz w:val="20"/>
          <w:szCs w:val="20"/>
          <w:color w:val="auto"/>
        </w:rPr>
      </w:pPr>
    </w:p>
    <w:p>
      <w:pPr>
        <w:ind w:right="80" w:firstLine="427"/>
        <w:spacing w:after="0" w:line="277" w:lineRule="auto"/>
        <w:rPr>
          <w:sz w:val="20"/>
          <w:szCs w:val="20"/>
          <w:color w:val="auto"/>
        </w:rPr>
      </w:pPr>
      <w:r>
        <w:rPr>
          <w:rFonts w:ascii="Arial" w:cs="Arial" w:eastAsia="Arial" w:hAnsi="Arial"/>
          <w:sz w:val="18"/>
          <w:szCs w:val="18"/>
          <w:color w:val="auto"/>
        </w:rPr>
        <w:t>The following outstanding potentially dilutive shares were excluded from the calculation of diluted net loss per share due to their anti-dilutive effect (in thousands):</w:t>
      </w:r>
    </w:p>
    <w:p>
      <w:pPr>
        <w:spacing w:after="0" w:line="72"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5400" w:type="dxa"/>
            <w:vAlign w:val="bottom"/>
          </w:tcPr>
          <w:p>
            <w:pPr>
              <w:spacing w:after="0"/>
              <w:rPr>
                <w:sz w:val="18"/>
                <w:szCs w:val="18"/>
                <w:color w:val="auto"/>
              </w:rPr>
            </w:pPr>
          </w:p>
        </w:tc>
        <w:tc>
          <w:tcPr>
            <w:tcW w:w="2380" w:type="dxa"/>
            <w:vAlign w:val="bottom"/>
            <w:gridSpan w:val="5"/>
          </w:tcPr>
          <w:p>
            <w:pPr>
              <w:jc w:val="center"/>
              <w:ind w:right="220"/>
              <w:spacing w:after="0"/>
              <w:rPr>
                <w:sz w:val="20"/>
                <w:szCs w:val="20"/>
                <w:color w:val="auto"/>
              </w:rPr>
            </w:pPr>
            <w:r>
              <w:rPr>
                <w:rFonts w:ascii="Arial" w:cs="Arial" w:eastAsia="Arial" w:hAnsi="Arial"/>
                <w:sz w:val="18"/>
                <w:szCs w:val="18"/>
                <w:b w:val="1"/>
                <w:bCs w:val="1"/>
                <w:color w:val="auto"/>
                <w:w w:val="92"/>
              </w:rPr>
              <w:t>Three Months Ended</w:t>
            </w: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4"/>
        </w:trPr>
        <w:tc>
          <w:tcPr>
            <w:tcW w:w="5400" w:type="dxa"/>
            <w:vAlign w:val="bottom"/>
          </w:tcPr>
          <w:p>
            <w:pPr>
              <w:spacing w:after="0"/>
              <w:rPr>
                <w:sz w:val="20"/>
                <w:szCs w:val="20"/>
                <w:color w:val="auto"/>
              </w:rPr>
            </w:pPr>
          </w:p>
        </w:tc>
        <w:tc>
          <w:tcPr>
            <w:tcW w:w="1440" w:type="dxa"/>
            <w:vAlign w:val="bottom"/>
            <w:gridSpan w:val="3"/>
          </w:tcPr>
          <w:p>
            <w:pPr>
              <w:jc w:val="center"/>
              <w:ind w:left="630"/>
              <w:spacing w:after="0"/>
              <w:rPr>
                <w:sz w:val="20"/>
                <w:szCs w:val="20"/>
                <w:color w:val="auto"/>
              </w:rPr>
            </w:pPr>
            <w:r>
              <w:rPr>
                <w:rFonts w:ascii="Arial" w:cs="Arial" w:eastAsia="Arial" w:hAnsi="Arial"/>
                <w:sz w:val="18"/>
                <w:szCs w:val="18"/>
                <w:b w:val="1"/>
                <w:bCs w:val="1"/>
                <w:color w:val="auto"/>
                <w:w w:val="88"/>
              </w:rPr>
              <w:t>June 30,</w:t>
            </w: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320" w:type="dxa"/>
            <w:vAlign w:val="bottom"/>
            <w:gridSpan w:val="4"/>
          </w:tcPr>
          <w:p>
            <w:pPr>
              <w:ind w:left="40"/>
              <w:spacing w:after="0"/>
              <w:rPr>
                <w:sz w:val="20"/>
                <w:szCs w:val="20"/>
                <w:color w:val="auto"/>
              </w:rPr>
            </w:pPr>
            <w:r>
              <w:rPr>
                <w:rFonts w:ascii="Arial" w:cs="Arial" w:eastAsia="Arial" w:hAnsi="Arial"/>
                <w:sz w:val="18"/>
                <w:szCs w:val="18"/>
                <w:b w:val="1"/>
                <w:bCs w:val="1"/>
                <w:color w:val="auto"/>
                <w:w w:val="96"/>
              </w:rPr>
              <w:t>Six Months Ended June 30,</w:t>
            </w:r>
          </w:p>
        </w:tc>
      </w:tr>
      <w:tr>
        <w:trPr>
          <w:trHeight w:val="223"/>
        </w:trPr>
        <w:tc>
          <w:tcPr>
            <w:tcW w:w="5400" w:type="dxa"/>
            <w:vAlign w:val="bottom"/>
            <w:tcBorders>
              <w:bottom w:val="single" w:sz="8" w:color="CFF0FC"/>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top w:val="single" w:sz="8" w:color="auto"/>
              <w:bottom w:val="single" w:sz="8" w:color="CFF0FC"/>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94"/>
              </w:rPr>
              <w:t>2020</w:t>
            </w:r>
          </w:p>
        </w:tc>
        <w:tc>
          <w:tcPr>
            <w:tcW w:w="220" w:type="dxa"/>
            <w:vAlign w:val="bottom"/>
            <w:tcBorders>
              <w:bottom w:val="single" w:sz="8" w:color="CFF0FC"/>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top w:val="single" w:sz="8" w:color="auto"/>
              <w:bottom w:val="single" w:sz="8" w:color="CFF0FC"/>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CFF0FC"/>
            </w:tcBorders>
          </w:tcPr>
          <w:p>
            <w:pPr>
              <w:spacing w:after="0"/>
              <w:rPr>
                <w:sz w:val="19"/>
                <w:szCs w:val="19"/>
                <w:color w:val="auto"/>
              </w:rPr>
            </w:pPr>
          </w:p>
        </w:tc>
      </w:tr>
      <w:tr>
        <w:trPr>
          <w:trHeight w:val="223"/>
        </w:trPr>
        <w:tc>
          <w:tcPr>
            <w:tcW w:w="5400" w:type="dxa"/>
            <w:vAlign w:val="bottom"/>
            <w:shd w:val="clear" w:color="auto" w:fill="CFF0FC"/>
          </w:tcPr>
          <w:p>
            <w:pPr>
              <w:spacing w:after="0"/>
              <w:rPr>
                <w:sz w:val="20"/>
                <w:szCs w:val="20"/>
                <w:color w:val="auto"/>
              </w:rPr>
            </w:pPr>
            <w:r>
              <w:rPr>
                <w:rFonts w:ascii="Arial" w:cs="Arial" w:eastAsia="Arial" w:hAnsi="Arial"/>
                <w:sz w:val="18"/>
                <w:szCs w:val="18"/>
                <w:color w:val="auto"/>
              </w:rPr>
              <w:t>Stock options to purchase common stock</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4,653</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5,009</w:t>
            </w:r>
          </w:p>
        </w:tc>
        <w:tc>
          <w:tcPr>
            <w:tcW w:w="22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4,653</w:t>
            </w:r>
          </w:p>
        </w:tc>
        <w:tc>
          <w:tcPr>
            <w:tcW w:w="2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5,009</w:t>
            </w:r>
          </w:p>
        </w:tc>
        <w:tc>
          <w:tcPr>
            <w:tcW w:w="120" w:type="dxa"/>
            <w:vAlign w:val="bottom"/>
            <w:shd w:val="clear" w:color="auto" w:fill="CFF0FC"/>
          </w:tcPr>
          <w:p>
            <w:pPr>
              <w:spacing w:after="0"/>
              <w:rPr>
                <w:sz w:val="19"/>
                <w:szCs w:val="19"/>
                <w:color w:val="auto"/>
              </w:rPr>
            </w:pPr>
          </w:p>
        </w:tc>
      </w:tr>
      <w:tr>
        <w:trPr>
          <w:trHeight w:val="230"/>
        </w:trPr>
        <w:tc>
          <w:tcPr>
            <w:tcW w:w="5400" w:type="dxa"/>
            <w:vAlign w:val="bottom"/>
          </w:tcPr>
          <w:p>
            <w:pPr>
              <w:spacing w:after="0"/>
              <w:rPr>
                <w:sz w:val="20"/>
                <w:szCs w:val="20"/>
                <w:color w:val="auto"/>
              </w:rPr>
            </w:pPr>
            <w:r>
              <w:rPr>
                <w:rFonts w:ascii="Arial" w:cs="Arial" w:eastAsia="Arial" w:hAnsi="Arial"/>
                <w:sz w:val="18"/>
                <w:szCs w:val="18"/>
                <w:color w:val="auto"/>
              </w:rPr>
              <w:t>Warrant to purchase common stock</w:t>
            </w:r>
          </w:p>
        </w:tc>
        <w:tc>
          <w:tcPr>
            <w:tcW w:w="960" w:type="dxa"/>
            <w:vAlign w:val="bottom"/>
          </w:tcPr>
          <w:p>
            <w:pPr>
              <w:jc w:val="right"/>
              <w:spacing w:after="0"/>
              <w:rPr>
                <w:sz w:val="20"/>
                <w:szCs w:val="20"/>
                <w:color w:val="auto"/>
              </w:rPr>
            </w:pPr>
            <w:r>
              <w:rPr>
                <w:rFonts w:ascii="Arial" w:cs="Arial" w:eastAsia="Arial" w:hAnsi="Arial"/>
                <w:sz w:val="18"/>
                <w:szCs w:val="18"/>
                <w:color w:val="auto"/>
              </w:rPr>
              <w:t>63</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63</w:t>
            </w:r>
          </w:p>
        </w:tc>
        <w:tc>
          <w:tcPr>
            <w:tcW w:w="220" w:type="dxa"/>
            <w:vAlign w:val="bottom"/>
          </w:tcPr>
          <w:p>
            <w:pPr>
              <w:spacing w:after="0"/>
              <w:rPr>
                <w:sz w:val="19"/>
                <w:szCs w:val="19"/>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5400" w:type="dxa"/>
            <w:vAlign w:val="bottom"/>
            <w:shd w:val="clear" w:color="auto" w:fill="CFF0FC"/>
          </w:tcPr>
          <w:p>
            <w:pPr>
              <w:spacing w:after="0"/>
              <w:rPr>
                <w:sz w:val="20"/>
                <w:szCs w:val="20"/>
                <w:color w:val="auto"/>
              </w:rPr>
            </w:pPr>
            <w:r>
              <w:rPr>
                <w:rFonts w:ascii="Arial" w:cs="Arial" w:eastAsia="Arial" w:hAnsi="Arial"/>
                <w:sz w:val="18"/>
                <w:szCs w:val="18"/>
                <w:color w:val="auto"/>
              </w:rPr>
              <w:t>Restricted stock units</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473</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473</w:t>
            </w:r>
          </w:p>
        </w:tc>
        <w:tc>
          <w:tcPr>
            <w:tcW w:w="2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5400" w:type="dxa"/>
            <w:vAlign w:val="bottom"/>
          </w:tcPr>
          <w:p>
            <w:pPr>
              <w:spacing w:after="0"/>
              <w:rPr>
                <w:sz w:val="20"/>
                <w:szCs w:val="20"/>
                <w:color w:val="auto"/>
              </w:rPr>
            </w:pPr>
            <w:r>
              <w:rPr>
                <w:rFonts w:ascii="Arial" w:cs="Arial" w:eastAsia="Arial" w:hAnsi="Arial"/>
                <w:sz w:val="18"/>
                <w:szCs w:val="18"/>
                <w:color w:val="auto"/>
              </w:rPr>
              <w:t>Shares committed under ESPP</w:t>
            </w:r>
          </w:p>
        </w:tc>
        <w:tc>
          <w:tcPr>
            <w:tcW w:w="960" w:type="dxa"/>
            <w:vAlign w:val="bottom"/>
          </w:tcPr>
          <w:p>
            <w:pPr>
              <w:jc w:val="right"/>
              <w:spacing w:after="0"/>
              <w:rPr>
                <w:sz w:val="20"/>
                <w:szCs w:val="20"/>
                <w:color w:val="auto"/>
              </w:rPr>
            </w:pPr>
            <w:r>
              <w:rPr>
                <w:rFonts w:ascii="Arial" w:cs="Arial" w:eastAsia="Arial" w:hAnsi="Arial"/>
                <w:sz w:val="18"/>
                <w:szCs w:val="18"/>
                <w:color w:val="auto"/>
              </w:rPr>
              <w:t>27</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27</w:t>
            </w:r>
          </w:p>
        </w:tc>
        <w:tc>
          <w:tcPr>
            <w:tcW w:w="220" w:type="dxa"/>
            <w:vAlign w:val="bottom"/>
          </w:tcPr>
          <w:p>
            <w:pPr>
              <w:spacing w:after="0"/>
              <w:rPr>
                <w:sz w:val="19"/>
                <w:szCs w:val="19"/>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5"/>
        </w:trPr>
        <w:tc>
          <w:tcPr>
            <w:tcW w:w="5400" w:type="dxa"/>
            <w:vAlign w:val="bottom"/>
            <w:shd w:val="clear" w:color="auto" w:fill="CFF0FC"/>
          </w:tcPr>
          <w:p>
            <w:pPr>
              <w:spacing w:after="0"/>
              <w:rPr>
                <w:sz w:val="20"/>
                <w:szCs w:val="20"/>
                <w:color w:val="auto"/>
              </w:rPr>
            </w:pPr>
            <w:r>
              <w:rPr>
                <w:rFonts w:ascii="Arial" w:cs="Arial" w:eastAsia="Arial" w:hAnsi="Arial"/>
                <w:sz w:val="18"/>
                <w:szCs w:val="18"/>
                <w:color w:val="auto"/>
              </w:rPr>
              <w:t>Redeemable convertible preferred stock,</w:t>
            </w:r>
          </w:p>
        </w:tc>
        <w:tc>
          <w:tcPr>
            <w:tcW w:w="9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54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on an as-if converted basis</w:t>
            </w:r>
          </w:p>
        </w:tc>
        <w:tc>
          <w:tcPr>
            <w:tcW w:w="1440" w:type="dxa"/>
            <w:vAlign w:val="bottom"/>
            <w:gridSpan w:val="3"/>
            <w:shd w:val="clear" w:color="auto" w:fill="CFF0FC"/>
          </w:tcPr>
          <w:p>
            <w:pPr>
              <w:jc w:val="right"/>
              <w:ind w:right="480"/>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25,958</w:t>
            </w:r>
          </w:p>
        </w:tc>
        <w:tc>
          <w:tcPr>
            <w:tcW w:w="220" w:type="dxa"/>
            <w:vAlign w:val="bottom"/>
            <w:shd w:val="clear" w:color="auto" w:fill="CFF0FC"/>
          </w:tcPr>
          <w:p>
            <w:pPr>
              <w:spacing w:after="0"/>
              <w:rPr>
                <w:sz w:val="20"/>
                <w:szCs w:val="20"/>
                <w:color w:val="auto"/>
              </w:rPr>
            </w:pPr>
          </w:p>
        </w:tc>
        <w:tc>
          <w:tcPr>
            <w:tcW w:w="12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25,958</w:t>
            </w:r>
          </w:p>
        </w:tc>
        <w:tc>
          <w:tcPr>
            <w:tcW w:w="120" w:type="dxa"/>
            <w:vAlign w:val="bottom"/>
            <w:shd w:val="clear" w:color="auto" w:fill="CFF0FC"/>
          </w:tcPr>
          <w:p>
            <w:pPr>
              <w:spacing w:after="0"/>
              <w:rPr>
                <w:sz w:val="20"/>
                <w:szCs w:val="20"/>
                <w:color w:val="auto"/>
              </w:rPr>
            </w:pPr>
          </w:p>
        </w:tc>
      </w:tr>
      <w:tr>
        <w:trPr>
          <w:trHeight w:val="229"/>
        </w:trPr>
        <w:tc>
          <w:tcPr>
            <w:tcW w:w="5400" w:type="dxa"/>
            <w:vAlign w:val="bottom"/>
          </w:tcPr>
          <w:p>
            <w:pPr>
              <w:spacing w:after="0"/>
              <w:rPr>
                <w:sz w:val="20"/>
                <w:szCs w:val="20"/>
                <w:color w:val="auto"/>
              </w:rPr>
            </w:pPr>
            <w:r>
              <w:rPr>
                <w:rFonts w:ascii="Arial" w:cs="Arial" w:eastAsia="Arial" w:hAnsi="Arial"/>
                <w:sz w:val="18"/>
                <w:szCs w:val="18"/>
                <w:color w:val="auto"/>
              </w:rPr>
              <w:t>Warrants to purchase redeemable convertible preferred stock</w:t>
            </w:r>
          </w:p>
        </w:tc>
        <w:tc>
          <w:tcPr>
            <w:tcW w:w="1440" w:type="dxa"/>
            <w:vAlign w:val="bottom"/>
            <w:gridSpan w:val="3"/>
          </w:tcPr>
          <w:p>
            <w:pPr>
              <w:jc w:val="right"/>
              <w:ind w:right="48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520</w:t>
            </w:r>
          </w:p>
        </w:tc>
        <w:tc>
          <w:tcPr>
            <w:tcW w:w="22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520</w:t>
            </w:r>
          </w:p>
        </w:tc>
        <w:tc>
          <w:tcPr>
            <w:tcW w:w="120" w:type="dxa"/>
            <w:vAlign w:val="bottom"/>
          </w:tcPr>
          <w:p>
            <w:pPr>
              <w:spacing w:after="0"/>
              <w:rPr>
                <w:sz w:val="19"/>
                <w:szCs w:val="19"/>
                <w:color w:val="auto"/>
              </w:rPr>
            </w:pPr>
          </w:p>
        </w:tc>
      </w:tr>
      <w:tr>
        <w:trPr>
          <w:trHeight w:val="223"/>
        </w:trPr>
        <w:tc>
          <w:tcPr>
            <w:tcW w:w="54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5,216</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spacing w:after="0"/>
              <w:rPr>
                <w:sz w:val="19"/>
                <w:szCs w:val="19"/>
                <w:color w:val="auto"/>
              </w:rPr>
            </w:pP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31,487</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5,216</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31,487</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4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Subsequent Event</w:t>
      </w:r>
    </w:p>
    <w:p>
      <w:pPr>
        <w:spacing w:after="0" w:line="121" w:lineRule="exact"/>
        <w:rPr>
          <w:sz w:val="20"/>
          <w:szCs w:val="20"/>
          <w:color w:val="auto"/>
        </w:rPr>
      </w:pPr>
    </w:p>
    <w:p>
      <w:pPr>
        <w:ind w:right="200" w:firstLine="556"/>
        <w:spacing w:after="0" w:line="296" w:lineRule="auto"/>
        <w:rPr>
          <w:sz w:val="20"/>
          <w:szCs w:val="20"/>
          <w:color w:val="auto"/>
        </w:rPr>
      </w:pPr>
      <w:r>
        <w:rPr>
          <w:rFonts w:ascii="Arial" w:cs="Arial" w:eastAsia="Arial" w:hAnsi="Arial"/>
          <w:sz w:val="16"/>
          <w:szCs w:val="16"/>
          <w:color w:val="auto"/>
        </w:rPr>
        <w:t>On July 1, 2021, the Company announced the departure of Rebecca Chambers from her position as the Company’s Chief Financial Officer, Principal Financial Officer and Principal Accounting Officer, effective July 16, 2021 as well as the appointment of Nabeel Ahmed, the Company’s Vice President, Finance, as the Company’s Interim Chief Financial Officer, Principal Financial Officer and Principal Accounting Officer, effective upon Ms. Chambers’ departure until such time as a permanent replacement was named. Subsequently, the Company announced that Nabeel Ahmed transitioned to the permanent role of Chief Financial Officer, Principal Financial Officer and Principal Accounting Officer, effective July 30, 2021.</w:t>
      </w:r>
    </w:p>
    <w:p>
      <w:pPr>
        <w:spacing w:after="0" w:line="16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553" w:right="39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ind w:right="180" w:firstLine="421"/>
        <w:spacing w:after="0" w:line="257" w:lineRule="auto"/>
        <w:rPr>
          <w:sz w:val="20"/>
          <w:szCs w:val="20"/>
          <w:color w:val="auto"/>
        </w:rPr>
      </w:pPr>
      <w:r>
        <w:rPr>
          <w:rFonts w:ascii="Arial" w:cs="Arial" w:eastAsia="Arial" w:hAnsi="Arial"/>
          <w:sz w:val="18"/>
          <w:szCs w:val="18"/>
          <w:i w:val="1"/>
          <w:iCs w:val="1"/>
          <w:color w:val="auto"/>
        </w:rPr>
        <w:t>The following discussion of our financial condition and results of operations should be read together with our unaudited condensed financial statements and related notes and other financial information included elsewhere in this Quarterly Report, as well as our audited financial statements and notes thereto and the related Management’s Discussion and Analysis of Financial Condition and Results of Operations included in our Annual Report on Form 10-K for the fiscal year ended December 31, 2020 filed with the Securities and Exchange Commission (“SEC”) on March 22, 2021 (“2020 Annual Report”).</w:t>
      </w:r>
    </w:p>
    <w:p>
      <w:pPr>
        <w:spacing w:after="0" w:line="80" w:lineRule="exact"/>
        <w:rPr>
          <w:sz w:val="20"/>
          <w:szCs w:val="20"/>
          <w:color w:val="auto"/>
        </w:rPr>
      </w:pPr>
    </w:p>
    <w:p>
      <w:pPr>
        <w:ind w:right="20" w:firstLine="421"/>
        <w:spacing w:after="0" w:line="268" w:lineRule="auto"/>
        <w:rPr>
          <w:sz w:val="20"/>
          <w:szCs w:val="20"/>
          <w:color w:val="auto"/>
        </w:rPr>
      </w:pPr>
      <w:r>
        <w:rPr>
          <w:rFonts w:ascii="Arial" w:cs="Arial" w:eastAsia="Arial" w:hAnsi="Arial"/>
          <w:sz w:val="17"/>
          <w:szCs w:val="17"/>
          <w:i w:val="1"/>
          <w:iCs w:val="1"/>
          <w:color w:val="auto"/>
        </w:rPr>
        <w:t>In addition to historical financial information, this discussion and other parts of this report contain forward-looking statements within the meaning of the federal securities laws. All statements other than statements of historical fact contained in this Quarterly Report are forward-looking statements. The forward-looking statements in this report are only predictions and are based largely on our current expectations and projections about future events and financial trends that we believe may affect our business, financial condition and results of operations. These forward-looking statements are subject to a number of known and unknown risks, uncertainties and assumptions that may cause our actual results, performance or achievements to be materially different from those expressed or implied by the forward-looking statements. Such risks and uncertainties include those described throughout this Quarterly Report, including in this discussion as well as in the section titled “Risk Factors” under Part II, Item 1A below. The forward-looking statements in this Quarterly Report are based upon information available to us as of the date of this Quarterly Report,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like all statements in this report, speak only as of their date, and, except as required by law we undertake no obligation to update or revise these statements, whether as a result of any new information, future developments or otherwise. These statements are inherently uncertain, and investors are cautioned not to unduly rely upon these statements.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firstLine="427"/>
        <w:spacing w:after="0" w:line="269" w:lineRule="auto"/>
        <w:rPr>
          <w:sz w:val="20"/>
          <w:szCs w:val="20"/>
          <w:color w:val="auto"/>
        </w:rPr>
      </w:pPr>
      <w:r>
        <w:rPr>
          <w:rFonts w:ascii="Arial" w:cs="Arial" w:eastAsia="Arial" w:hAnsi="Arial"/>
          <w:sz w:val="17"/>
          <w:szCs w:val="17"/>
          <w:color w:val="auto"/>
        </w:rPr>
        <w:t>Our technology is designed to elevate the dialysis experience for patients, and help providers overcome traditional care delivery challenges. Requiring only an electrical outlet and tap water to operate, Tablo frees patients and providers from the burdensome infrastructure required to operate traditional dialysis machines. The integration of water purification and on-demand dialysate production enables Tablo to serve as a dialysis clinic on wheels and allows providers to standardize to a single technology platform from the hospital to the home. Tablo is also intelligent and connected, with automated documentation and the ability to integrate with electronic medical record reporting, along with streamlined remote machine management to maximize device uptime. We have generated meaningful evidence to demonstrate that providers can realize significant operational efficiencies, including reducing the cost of their dialysis programs by up to 80% in the intensive care unit. In addition, Tablo has been shown to deliver robust clinical care. In studies we have conducted, patients have reported experiencing fewer symptoms and better quality sleep while on Tablo. We believe Tablo empowers patients, who have traditionally been passive recipients of care, to regain agency and ownership of their treatment. Tablo is cleared by the U.S. Food and Drug Administration (“FDA”) for use in the hospital, clinic or home setting.</w:t>
      </w:r>
    </w:p>
    <w:p>
      <w:pPr>
        <w:spacing w:after="0" w:line="77" w:lineRule="exact"/>
        <w:rPr>
          <w:sz w:val="20"/>
          <w:szCs w:val="20"/>
          <w:color w:val="auto"/>
        </w:rPr>
      </w:pPr>
    </w:p>
    <w:p>
      <w:pPr>
        <w:ind w:firstLine="427"/>
        <w:spacing w:after="0" w:line="291" w:lineRule="auto"/>
        <w:rPr>
          <w:sz w:val="20"/>
          <w:szCs w:val="20"/>
          <w:color w:val="auto"/>
        </w:rPr>
      </w:pPr>
      <w:r>
        <w:rPr>
          <w:rFonts w:ascii="Arial" w:cs="Arial" w:eastAsia="Arial" w:hAnsi="Arial"/>
          <w:sz w:val="16"/>
          <w:szCs w:val="16"/>
          <w:color w:val="auto"/>
        </w:rPr>
        <w:t>We designed Tablo from the ground up to be a single enterprise solution that can be utilized across the continuum of care, allowing dialysis to be delivered anytime, anywhere and by anyone. Tablo is comprised of a compact console with integrated water purification, on-demand dialysate production and a simple-to-use touchscreen interface. With Tablo, we are bringing data to dialysis. Tablo is built to live in a connected setting with cloud-based system monitoring, patient analytics, remote treatment monitoring and clinical recordkeeping and the ability to activate new capabilities and enhancements through wireless software updates. Tablo’s data analytics and connectivity also enable predictive preventative maintenance to maximize machine uptime. Unlike existing hemodialysis machines, which have limited clinical versatility across care settings and are generally burdened by specialized and expensive infrastructure, Tablo is a single enterprise dialysis solution that can be seamlessly utilized across different care settings and for multiple clinical needs.</w:t>
      </w:r>
    </w:p>
    <w:p>
      <w:pPr>
        <w:spacing w:after="0" w:line="58" w:lineRule="exact"/>
        <w:rPr>
          <w:sz w:val="20"/>
          <w:szCs w:val="20"/>
          <w:color w:val="auto"/>
        </w:rPr>
      </w:pPr>
    </w:p>
    <w:p>
      <w:pPr>
        <w:ind w:right="100" w:firstLine="427"/>
        <w:spacing w:after="0" w:line="254" w:lineRule="auto"/>
        <w:rPr>
          <w:sz w:val="20"/>
          <w:szCs w:val="20"/>
          <w:color w:val="auto"/>
        </w:rPr>
      </w:pPr>
      <w:r>
        <w:rPr>
          <w:rFonts w:ascii="Arial" w:cs="Arial" w:eastAsia="Arial" w:hAnsi="Arial"/>
          <w:sz w:val="18"/>
          <w:szCs w:val="18"/>
          <w:color w:val="auto"/>
        </w:rPr>
        <w:t>Driving adoption of Tablo in the acute care setting has been our primary focus to date. We have invested in growing our economic and clinical evidence, built a veteran sales and clinical support team with significant expertise, and implemented a comprehensive training and customer experience program. Our experience in the acute market has demonstrated Tablo’s clinical flexibility and operational versatility, while also delivering meaningful cost savings to the providers. We plan to continue leveraging our commercial infrastructure to broaden our installed base in the acute care market as well as driving utilization and fleet expansion with our existing customers. While the COVID-19 pandemic has presented opportunities to demonstrate the real-world benefits of Tablo over traditional machines, we believe these benefits, in addition to the other advantages of Tablo, are continuing to drive customer purchasing decisions.</w:t>
      </w:r>
    </w:p>
    <w:p>
      <w:pPr>
        <w:spacing w:after="0" w:line="87" w:lineRule="exact"/>
        <w:rPr>
          <w:sz w:val="20"/>
          <w:szCs w:val="20"/>
          <w:color w:val="auto"/>
        </w:rPr>
      </w:pPr>
    </w:p>
    <w:p>
      <w:pPr>
        <w:ind w:right="60" w:firstLine="427"/>
        <w:spacing w:after="0" w:line="271" w:lineRule="auto"/>
        <w:rPr>
          <w:sz w:val="20"/>
          <w:szCs w:val="20"/>
          <w:color w:val="auto"/>
        </w:rPr>
      </w:pPr>
      <w:r>
        <w:rPr>
          <w:rFonts w:ascii="Arial" w:cs="Arial" w:eastAsia="Arial" w:hAnsi="Arial"/>
          <w:sz w:val="17"/>
          <w:szCs w:val="17"/>
          <w:color w:val="auto"/>
        </w:rPr>
        <w:t>Tablo is also well suited for home-based dialysis. Tablo was cleared by the FDA for use in patients with acute and/or chronic renal failure in September 2014. Subsequently, on March 31, 2020, Tablo was cleared by the FDA for patient use in the home. Our ability to reduce training time, patient dropout, preparation and set up time, and the total treatment time required to deliver dialysis in the home can drive efficiency and economic improvements to the home care model. In our home investigational device exemption (“IDE”) trial, patients reported specific quality of life improvements compared to their experience on the incumbent home dialysis machine. To penetrate and grow this market successfully, we are focused on refining our home distribution, logistics and support systems to help ensure they are ready for rapid scale. We are also working with providers, patients and payors to increase awareness and adoption of transitional care units (“TCUs”) as a bridge to home based therapy. To demonstrate the cost advantages of Tablo in the home setting, we will also be collecting additional patient clinical experience and outcomes data.</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7" w:name="page18"/>
    <w:bookmarkEnd w:id="17"/>
    <w:p>
      <w:pPr>
        <w:ind w:right="60" w:firstLine="427"/>
        <w:spacing w:after="0" w:line="255" w:lineRule="auto"/>
        <w:rPr>
          <w:sz w:val="20"/>
          <w:szCs w:val="20"/>
          <w:color w:val="auto"/>
        </w:rPr>
      </w:pPr>
      <w:r>
        <w:rPr>
          <w:rFonts w:ascii="Arial" w:cs="Arial" w:eastAsia="Arial" w:hAnsi="Arial"/>
          <w:sz w:val="18"/>
          <w:szCs w:val="18"/>
          <w:color w:val="auto"/>
        </w:rPr>
        <w:t>We sell our solution through our direct sales organization, which covers most major metropolitan markets in the United States. As of June 30, 2021, our sales organization is comprised of 29 capital sales team members, responsible for generating new customer demand for Tablo, and 70 clinical sales team members responsible for driving utilization and fleet expansion of Tablo consoles at existing customer sites. In addition, our field service team comprised of 78 members provides maintenance services and product support to Tablo customers. The same sales organization and field service team drive Tablo penetration in both the acute and home markets. We believe the ability to leverage one team to serve both markets will result in significant productivity and cost optimization as we continue to scale our business.</w:t>
      </w:r>
    </w:p>
    <w:p>
      <w:pPr>
        <w:spacing w:after="0" w:line="84" w:lineRule="exact"/>
        <w:rPr>
          <w:sz w:val="20"/>
          <w:szCs w:val="20"/>
          <w:color w:val="auto"/>
        </w:rPr>
      </w:pPr>
    </w:p>
    <w:p>
      <w:pPr>
        <w:ind w:right="40" w:firstLine="427"/>
        <w:spacing w:after="0" w:line="257" w:lineRule="auto"/>
        <w:rPr>
          <w:sz w:val="20"/>
          <w:szCs w:val="20"/>
          <w:color w:val="auto"/>
        </w:rPr>
      </w:pPr>
      <w:r>
        <w:rPr>
          <w:rFonts w:ascii="Arial" w:cs="Arial" w:eastAsia="Arial" w:hAnsi="Arial"/>
          <w:sz w:val="18"/>
          <w:szCs w:val="18"/>
          <w:color w:val="auto"/>
        </w:rPr>
        <w:t>We are continuing to execute a well-defined strategy designed to expand gross margins. First, we have successfully begun production at our own console manufacturing facility. Second, we are adding a second-source contract manufacturer for our cartridges to help gain higher efficiency and lower material and logistics cost. Third, we will continue to drive scale across our console platform to leverage our supply base and help improve our manufacturing efficiency. Fourth, we will continue to utilize our cloud-based data system, as well as enhanced product performance, to help drive down the cost of service.</w:t>
      </w:r>
    </w:p>
    <w:p>
      <w:pPr>
        <w:spacing w:after="0" w:line="80" w:lineRule="exact"/>
        <w:rPr>
          <w:sz w:val="20"/>
          <w:szCs w:val="20"/>
          <w:color w:val="auto"/>
        </w:rPr>
      </w:pPr>
    </w:p>
    <w:p>
      <w:pPr>
        <w:ind w:firstLine="427"/>
        <w:spacing w:after="0" w:line="259" w:lineRule="auto"/>
        <w:rPr>
          <w:sz w:val="20"/>
          <w:szCs w:val="20"/>
          <w:color w:val="auto"/>
        </w:rPr>
      </w:pPr>
      <w:r>
        <w:rPr>
          <w:rFonts w:ascii="Arial" w:cs="Arial" w:eastAsia="Arial" w:hAnsi="Arial"/>
          <w:sz w:val="18"/>
          <w:szCs w:val="18"/>
          <w:color w:val="auto"/>
        </w:rPr>
        <w:t>We generate revenue primarily from the initial sale of Tablo consoles, and recurring sales of per-treatment consumables, including the Tablo cartridge, which generates significant total revenue over the life of the console. We generate additional revenue via annual service contracts and shipping and handling charged to customers. Our total revenue was $25.2 million and $11.7 million for the three months ended June 30, 2021 and 2020, respectively, and $48.1 million and $18.9 million for the six months ended June 30, 2021 and 2020, respectively.</w:t>
      </w:r>
    </w:p>
    <w:p>
      <w:pPr>
        <w:spacing w:after="0" w:line="79" w:lineRule="exact"/>
        <w:rPr>
          <w:sz w:val="20"/>
          <w:szCs w:val="20"/>
          <w:color w:val="auto"/>
        </w:rPr>
      </w:pPr>
    </w:p>
    <w:p>
      <w:pPr>
        <w:ind w:right="80" w:firstLine="427"/>
        <w:spacing w:after="0" w:line="263" w:lineRule="auto"/>
        <w:rPr>
          <w:sz w:val="20"/>
          <w:szCs w:val="20"/>
          <w:color w:val="auto"/>
        </w:rPr>
      </w:pPr>
      <w:r>
        <w:rPr>
          <w:rFonts w:ascii="Arial" w:cs="Arial" w:eastAsia="Arial" w:hAnsi="Arial"/>
          <w:sz w:val="18"/>
          <w:szCs w:val="18"/>
          <w:color w:val="auto"/>
        </w:rPr>
        <w:t>For the three months ended June 30, 2021 and 2020, we incurred net losses of $30.2 million and $26.5 million, respectively, and for the six months ended June 30, 2021 and 2020, we incurred net losses of $60.2 million and $47.2 million, respectively. As of June 30, 2021, we had an accumulated deficit of $554.3 million.</w:t>
      </w:r>
    </w:p>
    <w:p>
      <w:pPr>
        <w:spacing w:after="0" w:line="76" w:lineRule="exact"/>
        <w:rPr>
          <w:sz w:val="20"/>
          <w:szCs w:val="20"/>
          <w:color w:val="auto"/>
        </w:rPr>
      </w:pPr>
    </w:p>
    <w:p>
      <w:pPr>
        <w:ind w:right="220" w:firstLine="427"/>
        <w:spacing w:after="0" w:line="257" w:lineRule="auto"/>
        <w:rPr>
          <w:sz w:val="20"/>
          <w:szCs w:val="20"/>
          <w:color w:val="auto"/>
        </w:rPr>
      </w:pPr>
      <w:r>
        <w:rPr>
          <w:rFonts w:ascii="Arial" w:cs="Arial" w:eastAsia="Arial" w:hAnsi="Arial"/>
          <w:sz w:val="18"/>
          <w:szCs w:val="18"/>
          <w:color w:val="auto"/>
        </w:rPr>
        <w:t>On September 17, 2020, we completed our initial public offering (“IPO”), in which we sold 10,293,777 shares of common stock (which included 1,342,666 shares that were offered and sold pursuant to the full exercise of the IPO underwriters’ option to purchase additional shares in connection with the IPO) at a price to the public of $27.00 per share. We received aggregate net proceeds of approximately $254.8 million after deducting offering costs, underwriting discounts and commissions of approximately $23.1 million. Upon the closing of the IPO, all of our outstanding redeemable convertible preferred stock automatically converted into shares of common stock.</w:t>
      </w:r>
    </w:p>
    <w:p>
      <w:pPr>
        <w:spacing w:after="0" w:line="80" w:lineRule="exact"/>
        <w:rPr>
          <w:sz w:val="20"/>
          <w:szCs w:val="20"/>
          <w:color w:val="auto"/>
        </w:rPr>
      </w:pPr>
    </w:p>
    <w:p>
      <w:pPr>
        <w:ind w:right="60" w:firstLine="427"/>
        <w:spacing w:after="0" w:line="311" w:lineRule="auto"/>
        <w:rPr>
          <w:sz w:val="20"/>
          <w:szCs w:val="20"/>
          <w:color w:val="auto"/>
        </w:rPr>
      </w:pPr>
      <w:r>
        <w:rPr>
          <w:rFonts w:ascii="Arial" w:cs="Arial" w:eastAsia="Arial" w:hAnsi="Arial"/>
          <w:sz w:val="16"/>
          <w:szCs w:val="16"/>
          <w:color w:val="auto"/>
        </w:rPr>
        <w:t>On April 13, 2021, we completed a follow-on public offering and sold 2,945,864 shares of our common stock (which included 445,864 shares that were offered and sold pursuant to the full exercise of the underwriters’ option to purchase additional shares) at a price to the public of $53.50 per share. We received aggregate net proceeds of approximately $149.1 million after deducting offering costs, underwriting discounts and commissions of $8.5 million.</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Impacts of the COVID-19 pandemic</w:t>
      </w:r>
    </w:p>
    <w:p>
      <w:pPr>
        <w:spacing w:after="0" w:line="117" w:lineRule="exact"/>
        <w:rPr>
          <w:sz w:val="20"/>
          <w:szCs w:val="20"/>
          <w:color w:val="auto"/>
        </w:rPr>
      </w:pPr>
    </w:p>
    <w:p>
      <w:pPr>
        <w:ind w:right="40" w:firstLine="427"/>
        <w:spacing w:after="0" w:line="296" w:lineRule="auto"/>
        <w:rPr>
          <w:sz w:val="20"/>
          <w:szCs w:val="20"/>
          <w:color w:val="auto"/>
        </w:rPr>
      </w:pPr>
      <w:r>
        <w:rPr>
          <w:rFonts w:ascii="Arial" w:cs="Arial" w:eastAsia="Arial" w:hAnsi="Arial"/>
          <w:sz w:val="16"/>
          <w:szCs w:val="16"/>
          <w:color w:val="auto"/>
        </w:rPr>
        <w:t>We believe that the COVID-19 pandemic has highlighted the limitations of traditional machines and the benefits of Tablo, driving an increase in demand for Tablo during 2020. We also believe the advantages of Tablo highlighted by the pandemic are now embedded as one of the many factors driving our customers’ purchasing decisions and do not expect to experience significant revenue driven solely by COVID-19 in future periods. However, the duration and extent of the COVID-19 pandemic remain uncertain, particularly in light of ongoing vaccination efforts and emerging variant strains of the virus, and we cannot predict with certainty the ultimate impact of the COVID-19 pandemic and related containment measures on our business.</w:t>
      </w:r>
    </w:p>
    <w:p>
      <w:pPr>
        <w:spacing w:after="0" w:line="53" w:lineRule="exact"/>
        <w:rPr>
          <w:sz w:val="20"/>
          <w:szCs w:val="20"/>
          <w:color w:val="auto"/>
        </w:rPr>
      </w:pPr>
    </w:p>
    <w:p>
      <w:pPr>
        <w:ind w:right="20" w:firstLine="427"/>
        <w:spacing w:after="0" w:line="290" w:lineRule="auto"/>
        <w:rPr>
          <w:sz w:val="20"/>
          <w:szCs w:val="20"/>
          <w:color w:val="auto"/>
        </w:rPr>
      </w:pPr>
      <w:r>
        <w:rPr>
          <w:rFonts w:ascii="Arial" w:cs="Arial" w:eastAsia="Arial" w:hAnsi="Arial"/>
          <w:sz w:val="16"/>
          <w:szCs w:val="16"/>
          <w:color w:val="auto"/>
        </w:rPr>
        <w:t>In order to operate in a safe manner, we continue to monitor and follow the latest health and safety guidelines of the U.S. Centers for Disease Control and Prevention, Occupational Safety and Health Administration, and local and state public health departments where we operate. These guidelines continue to change in light of local circumstances related to vaccine availability, population vaccination rates and emerging variant strains of the virus (including the Delta variant which appears to be highly transmissible). For employees working on-site, we continue to follow masking protocols consistent with evolving health and safety guidelines, facilitate social distancing and practice increased sanitizing standards. We have strongly encouraged all of our employees to get vaccinated, and continue to provide vaccination site information and COVID-19 testing at our facilities. We also actively support remote work arrangements. In addition, we have created a business continuity plan and incident management team to respond quickly and effectively to changes in order to offer customers uninterrupted products, services and support while safeguarding the best interest of employees, suppliers and stockholders.</w:t>
      </w:r>
    </w:p>
    <w:p>
      <w:pPr>
        <w:spacing w:after="0" w:line="57" w:lineRule="exact"/>
        <w:rPr>
          <w:sz w:val="20"/>
          <w:szCs w:val="20"/>
          <w:color w:val="auto"/>
        </w:rPr>
      </w:pPr>
    </w:p>
    <w:p>
      <w:pPr>
        <w:ind w:right="240" w:firstLine="427"/>
        <w:spacing w:after="0" w:line="254" w:lineRule="auto"/>
        <w:rPr>
          <w:sz w:val="20"/>
          <w:szCs w:val="20"/>
          <w:color w:val="auto"/>
        </w:rPr>
      </w:pPr>
      <w:r>
        <w:rPr>
          <w:rFonts w:ascii="Arial" w:cs="Arial" w:eastAsia="Arial" w:hAnsi="Arial"/>
          <w:sz w:val="18"/>
          <w:szCs w:val="18"/>
          <w:color w:val="auto"/>
        </w:rPr>
        <w:t>Our business may also be impacted by an escalation or a continuation of the COVID-19 pandemic. While the operations at our contract manufacturing partners’ facilities and our outsourced business administration service provider, TACNA, for our facility in Tijuana, Mexico, have not yet experienced significant disruption as a result of the pandemic, the possibility that such disruption may occur remains. Additionally, the COVID-19 pandemic has disrupted the operations of certain of our third-party suppliers, resulting in increased lead-times, higher component costs and lower allocations for our purchase of some components (including certain critical components) and, in certain cases, requiring us to procure materials from alternative sources or incur higher logistical expenses. We have worked closely with our manufacturing partners and suppliers to enable us to source key components and maintain appropriate</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8" w:name="page19"/>
    <w:bookmarkEnd w:id="18"/>
    <w:p>
      <w:pPr>
        <w:ind w:right="20"/>
        <w:spacing w:after="0" w:line="270" w:lineRule="auto"/>
        <w:rPr>
          <w:sz w:val="20"/>
          <w:szCs w:val="20"/>
          <w:color w:val="auto"/>
        </w:rPr>
      </w:pPr>
      <w:r>
        <w:rPr>
          <w:rFonts w:ascii="Arial" w:cs="Arial" w:eastAsia="Arial" w:hAnsi="Arial"/>
          <w:sz w:val="17"/>
          <w:szCs w:val="17"/>
          <w:color w:val="auto"/>
        </w:rPr>
        <w:t>inventory levels to meet customer demand and have not experienced material disruptions in our supply chain to date. How long the pandemic and measures intended to contain the spread of COVID-19 will continue remains uncertain and depends on ongoing developments, including but not limited to any resurgences of the virus including emerging variant strains such as the Delta variant, federal, state and local government actions taken in response, and continued availability, effectiveness and public acceptance of COVID-19 vaccines. As a result, we cannot predict what effect COVID-19 and the associated containment measures will ultimately have on our suppliers and vendors, in particular for any of our suppliers and vendors that may not qualify as essential businesses and suffer more significant or lengthier disruptions to their business operations. There is no assurance that we will not experience more significant disruptions in our supply chain in the future, particularly if the operations of our contract manufacturing partners, our critical single source component providers, or the facility we operate in Tijuana, Mexico in collaboration with TACNA, are more severely impacted by the pandemic and associated containment measures.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our results of operations for the three and six months ended June 30, 2021 and 2020 (in thousands):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160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0" w:type="dxa"/>
            <w:vAlign w:val="bottom"/>
            <w:gridSpan w:val="8"/>
          </w:tcPr>
          <w:p>
            <w:pPr>
              <w:jc w:val="right"/>
              <w:ind w:right="330"/>
              <w:spacing w:after="0"/>
              <w:rPr>
                <w:sz w:val="20"/>
                <w:szCs w:val="20"/>
                <w:color w:val="auto"/>
              </w:rPr>
            </w:pPr>
            <w:r>
              <w:rPr>
                <w:rFonts w:ascii="Arial" w:cs="Arial" w:eastAsia="Arial" w:hAnsi="Arial"/>
                <w:sz w:val="18"/>
                <w:szCs w:val="18"/>
                <w:b w:val="1"/>
                <w:bCs w:val="1"/>
                <w:color w:val="auto"/>
                <w:w w:val="98"/>
              </w:rPr>
              <w:t>Three Months Ended</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80" w:type="dxa"/>
            <w:vAlign w:val="bottom"/>
            <w:gridSpan w:val="9"/>
          </w:tcPr>
          <w:p>
            <w:pPr>
              <w:jc w:val="center"/>
              <w:ind w:right="620"/>
              <w:spacing w:after="0"/>
              <w:rPr>
                <w:sz w:val="20"/>
                <w:szCs w:val="20"/>
                <w:color w:val="auto"/>
              </w:rPr>
            </w:pPr>
            <w:r>
              <w:rPr>
                <w:rFonts w:ascii="Arial" w:cs="Arial" w:eastAsia="Arial" w:hAnsi="Arial"/>
                <w:sz w:val="18"/>
                <w:szCs w:val="18"/>
                <w:b w:val="1"/>
                <w:bCs w:val="1"/>
                <w:color w:val="auto"/>
                <w:w w:val="90"/>
              </w:rPr>
              <w:t>Six Months Ended</w:t>
            </w:r>
          </w:p>
        </w:tc>
        <w:tc>
          <w:tcPr>
            <w:tcW w:w="0" w:type="dxa"/>
            <w:vAlign w:val="bottom"/>
          </w:tcPr>
          <w:p>
            <w:pPr>
              <w:spacing w:after="0"/>
              <w:rPr>
                <w:sz w:val="1"/>
                <w:szCs w:val="1"/>
                <w:color w:val="auto"/>
              </w:rPr>
            </w:pPr>
          </w:p>
        </w:tc>
      </w:tr>
      <w:tr>
        <w:trPr>
          <w:trHeight w:val="234"/>
        </w:trPr>
        <w:tc>
          <w:tcPr>
            <w:tcW w:w="160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gridSpan w:val="5"/>
          </w:tcPr>
          <w:p>
            <w:pPr>
              <w:ind w:left="420"/>
              <w:spacing w:after="0"/>
              <w:rPr>
                <w:sz w:val="20"/>
                <w:szCs w:val="20"/>
                <w:color w:val="auto"/>
              </w:rPr>
            </w:pPr>
            <w:r>
              <w:rPr>
                <w:rFonts w:ascii="Arial" w:cs="Arial" w:eastAsia="Arial" w:hAnsi="Arial"/>
                <w:sz w:val="18"/>
                <w:szCs w:val="18"/>
                <w:b w:val="1"/>
                <w:bCs w:val="1"/>
                <w:color w:val="auto"/>
                <w:w w:val="91"/>
              </w:rPr>
              <w:t>June 30,</w:t>
            </w:r>
          </w:p>
        </w:tc>
        <w:tc>
          <w:tcPr>
            <w:tcW w:w="6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gridSpan w:val="5"/>
          </w:tcPr>
          <w:p>
            <w:pPr>
              <w:jc w:val="center"/>
              <w:spacing w:after="0"/>
              <w:rPr>
                <w:sz w:val="20"/>
                <w:szCs w:val="20"/>
                <w:color w:val="auto"/>
              </w:rPr>
            </w:pPr>
            <w:r>
              <w:rPr>
                <w:rFonts w:ascii="Arial" w:cs="Arial" w:eastAsia="Arial" w:hAnsi="Arial"/>
                <w:sz w:val="18"/>
                <w:szCs w:val="18"/>
                <w:b w:val="1"/>
                <w:bCs w:val="1"/>
                <w:color w:val="auto"/>
                <w:w w:val="88"/>
              </w:rPr>
              <w:t>June 30,</w:t>
            </w:r>
          </w:p>
        </w:tc>
        <w:tc>
          <w:tcPr>
            <w:tcW w:w="7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600" w:type="dxa"/>
            <w:vAlign w:val="bottom"/>
            <w:tcBorders>
              <w:bottom w:val="single" w:sz="8" w:color="CFF0FC"/>
            </w:tcBorders>
          </w:tcPr>
          <w:p>
            <w:pPr>
              <w:spacing w:after="0"/>
              <w:rPr>
                <w:sz w:val="19"/>
                <w:szCs w:val="19"/>
                <w:color w:val="auto"/>
              </w:rPr>
            </w:pPr>
          </w:p>
        </w:tc>
        <w:tc>
          <w:tcPr>
            <w:tcW w:w="19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580" w:type="dxa"/>
            <w:vAlign w:val="bottom"/>
            <w:tcBorders>
              <w:bottom w:val="single" w:sz="8" w:color="CFF0FC"/>
            </w:tcBorders>
          </w:tcPr>
          <w:p>
            <w:pPr>
              <w:spacing w:after="0"/>
              <w:rPr>
                <w:sz w:val="19"/>
                <w:szCs w:val="19"/>
                <w:color w:val="auto"/>
              </w:rPr>
            </w:pPr>
          </w:p>
        </w:tc>
        <w:tc>
          <w:tcPr>
            <w:tcW w:w="2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580" w:type="dxa"/>
            <w:vAlign w:val="bottom"/>
            <w:tcBorders>
              <w:bottom w:val="single" w:sz="8" w:color="CFF0FC"/>
            </w:tcBorders>
          </w:tcPr>
          <w:p>
            <w:pPr>
              <w:spacing w:after="0"/>
              <w:rPr>
                <w:sz w:val="19"/>
                <w:szCs w:val="19"/>
                <w:color w:val="auto"/>
              </w:rPr>
            </w:pPr>
          </w:p>
        </w:tc>
        <w:tc>
          <w:tcPr>
            <w:tcW w:w="22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46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gridSpan w:val="2"/>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8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2020</w:t>
            </w:r>
          </w:p>
        </w:tc>
        <w:tc>
          <w:tcPr>
            <w:tcW w:w="260" w:type="dxa"/>
            <w:vAlign w:val="bottom"/>
            <w:tcBorders>
              <w:bottom w:val="single" w:sz="8" w:color="auto"/>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7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2021</w:t>
            </w:r>
          </w:p>
        </w:tc>
        <w:tc>
          <w:tcPr>
            <w:tcW w:w="340" w:type="dxa"/>
            <w:vAlign w:val="bottom"/>
            <w:tcBorders>
              <w:bottom w:val="single" w:sz="8" w:color="auto"/>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94"/>
              </w:rPr>
              <w:t>2020</w:t>
            </w: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5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Revenue:</w:t>
            </w:r>
          </w:p>
        </w:tc>
        <w:tc>
          <w:tcPr>
            <w:tcW w:w="1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80" w:type="dxa"/>
            <w:vAlign w:val="bottom"/>
            <w:gridSpan w:val="2"/>
          </w:tcPr>
          <w:p>
            <w:pPr>
              <w:ind w:left="260"/>
              <w:spacing w:after="0"/>
              <w:rPr>
                <w:sz w:val="20"/>
                <w:szCs w:val="20"/>
                <w:color w:val="auto"/>
              </w:rPr>
            </w:pPr>
            <w:r>
              <w:rPr>
                <w:rFonts w:ascii="Arial" w:cs="Arial" w:eastAsia="Arial" w:hAnsi="Arial"/>
                <w:sz w:val="18"/>
                <w:szCs w:val="18"/>
                <w:color w:val="auto"/>
              </w:rPr>
              <w:t>Product revenue</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gridSpan w:val="3"/>
          </w:tcPr>
          <w:p>
            <w:pPr>
              <w:jc w:val="right"/>
              <w:ind w:right="5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20,628</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9,697</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gridSpan w:val="2"/>
          </w:tcPr>
          <w:p>
            <w:pPr>
              <w:jc w:val="right"/>
              <w:ind w:right="318"/>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38,838</w:t>
            </w:r>
          </w:p>
        </w:tc>
        <w:tc>
          <w:tcPr>
            <w:tcW w:w="120" w:type="dxa"/>
            <w:vAlign w:val="bottom"/>
          </w:tcPr>
          <w:p>
            <w:pPr>
              <w:spacing w:after="0"/>
              <w:rPr>
                <w:sz w:val="19"/>
                <w:szCs w:val="19"/>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15,623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Service and other revenue</w:t>
            </w:r>
          </w:p>
        </w:tc>
        <w:tc>
          <w:tcPr>
            <w:tcW w:w="1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4,588</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2,045</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9,294</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3,309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580" w:type="dxa"/>
            <w:vAlign w:val="bottom"/>
            <w:gridSpan w:val="2"/>
          </w:tcPr>
          <w:p>
            <w:pPr>
              <w:ind w:left="500"/>
              <w:spacing w:after="0"/>
              <w:rPr>
                <w:sz w:val="20"/>
                <w:szCs w:val="20"/>
                <w:color w:val="auto"/>
              </w:rPr>
            </w:pPr>
            <w:r>
              <w:rPr>
                <w:rFonts w:ascii="Arial" w:cs="Arial" w:eastAsia="Arial" w:hAnsi="Arial"/>
                <w:sz w:val="18"/>
                <w:szCs w:val="18"/>
                <w:color w:val="auto"/>
              </w:rPr>
              <w:t>Total revenue</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25,216</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11,742</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48,132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18,932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Cost of revenue:</w:t>
            </w:r>
          </w:p>
        </w:tc>
        <w:tc>
          <w:tcPr>
            <w:tcW w:w="1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80" w:type="dxa"/>
            <w:vAlign w:val="bottom"/>
            <w:gridSpan w:val="2"/>
          </w:tcPr>
          <w:p>
            <w:pPr>
              <w:ind w:left="260"/>
              <w:spacing w:after="0"/>
              <w:rPr>
                <w:sz w:val="20"/>
                <w:szCs w:val="20"/>
                <w:color w:val="auto"/>
              </w:rPr>
            </w:pPr>
            <w:r>
              <w:rPr>
                <w:rFonts w:ascii="Arial" w:cs="Arial" w:eastAsia="Arial" w:hAnsi="Arial"/>
                <w:sz w:val="18"/>
                <w:szCs w:val="18"/>
                <w:color w:val="auto"/>
              </w:rPr>
              <w:t>Cost of product revenue</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22,077</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15,291</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42,654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24,853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Cost of service and other revenue</w:t>
            </w:r>
          </w:p>
        </w:tc>
        <w:tc>
          <w:tcPr>
            <w:tcW w:w="1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2,087</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1,215</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4,137</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2,407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580" w:type="dxa"/>
            <w:vAlign w:val="bottom"/>
            <w:tcBorders>
              <w:bottom w:val="single" w:sz="8" w:color="CFF0FC"/>
            </w:tcBorders>
            <w:gridSpan w:val="2"/>
          </w:tcPr>
          <w:p>
            <w:pPr>
              <w:ind w:left="500"/>
              <w:spacing w:after="0"/>
              <w:rPr>
                <w:sz w:val="20"/>
                <w:szCs w:val="20"/>
                <w:color w:val="auto"/>
              </w:rPr>
            </w:pPr>
            <w:r>
              <w:rPr>
                <w:rFonts w:ascii="Arial" w:cs="Arial" w:eastAsia="Arial" w:hAnsi="Arial"/>
                <w:sz w:val="18"/>
                <w:szCs w:val="18"/>
                <w:color w:val="auto"/>
              </w:rPr>
              <w:t>Total cost of revenue</w:t>
            </w:r>
          </w:p>
        </w:tc>
        <w:tc>
          <w:tcPr>
            <w:tcW w:w="120" w:type="dxa"/>
            <w:vAlign w:val="bottom"/>
            <w:tcBorders>
              <w:bottom w:val="single" w:sz="8" w:color="CFF0FC"/>
            </w:tcBorders>
          </w:tcPr>
          <w:p>
            <w:pPr>
              <w:spacing w:after="0"/>
              <w:rPr>
                <w:sz w:val="19"/>
                <w:szCs w:val="19"/>
                <w:color w:val="auto"/>
              </w:rPr>
            </w:pPr>
          </w:p>
        </w:tc>
        <w:tc>
          <w:tcPr>
            <w:tcW w:w="580" w:type="dxa"/>
            <w:vAlign w:val="bottom"/>
            <w:tcBorders>
              <w:bottom w:val="single" w:sz="8" w:color="CFF0FC"/>
            </w:tcBorders>
          </w:tcPr>
          <w:p>
            <w:pPr>
              <w:spacing w:after="0"/>
              <w:rPr>
                <w:sz w:val="19"/>
                <w:szCs w:val="19"/>
                <w:color w:val="auto"/>
              </w:rPr>
            </w:pPr>
          </w:p>
        </w:tc>
        <w:tc>
          <w:tcPr>
            <w:tcW w:w="2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580" w:type="dxa"/>
            <w:vAlign w:val="bottom"/>
            <w:tcBorders>
              <w:bottom w:val="single" w:sz="8" w:color="CFF0FC"/>
            </w:tcBorders>
          </w:tcPr>
          <w:p>
            <w:pPr>
              <w:spacing w:after="0"/>
              <w:rPr>
                <w:sz w:val="19"/>
                <w:szCs w:val="19"/>
                <w:color w:val="auto"/>
              </w:rPr>
            </w:pPr>
          </w:p>
        </w:tc>
        <w:tc>
          <w:tcPr>
            <w:tcW w:w="22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46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24,164</w:t>
            </w:r>
          </w:p>
        </w:tc>
        <w:tc>
          <w:tcPr>
            <w:tcW w:w="8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16,506</w:t>
            </w:r>
          </w:p>
        </w:tc>
        <w:tc>
          <w:tcPr>
            <w:tcW w:w="2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46,791</w:t>
            </w:r>
          </w:p>
        </w:tc>
        <w:tc>
          <w:tcPr>
            <w:tcW w:w="12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27,260</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580" w:type="dxa"/>
            <w:vAlign w:val="bottom"/>
            <w:gridSpan w:val="2"/>
            <w:shd w:val="clear" w:color="auto" w:fill="CFF0FC"/>
          </w:tcPr>
          <w:p>
            <w:pPr>
              <w:ind w:left="620"/>
              <w:spacing w:after="0"/>
              <w:rPr>
                <w:sz w:val="20"/>
                <w:szCs w:val="20"/>
                <w:color w:val="auto"/>
              </w:rPr>
            </w:pPr>
            <w:r>
              <w:rPr>
                <w:rFonts w:ascii="Arial" w:cs="Arial" w:eastAsia="Arial" w:hAnsi="Arial"/>
                <w:sz w:val="18"/>
                <w:szCs w:val="18"/>
                <w:color w:val="auto"/>
              </w:rPr>
              <w:t>Gross profit</w:t>
            </w:r>
          </w:p>
        </w:tc>
        <w:tc>
          <w:tcPr>
            <w:tcW w:w="1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1,052</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(4,764)</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1,341</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(8,328)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8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Research and development</w:t>
            </w:r>
          </w:p>
        </w:tc>
        <w:tc>
          <w:tcPr>
            <w:tcW w:w="1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8,032</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6,053</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15,602</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11,891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80" w:type="dxa"/>
            <w:vAlign w:val="bottom"/>
            <w:gridSpan w:val="2"/>
          </w:tcPr>
          <w:p>
            <w:pPr>
              <w:ind w:left="260"/>
              <w:spacing w:after="0"/>
              <w:rPr>
                <w:sz w:val="20"/>
                <w:szCs w:val="20"/>
                <w:color w:val="auto"/>
              </w:rPr>
            </w:pPr>
            <w:r>
              <w:rPr>
                <w:rFonts w:ascii="Arial" w:cs="Arial" w:eastAsia="Arial" w:hAnsi="Arial"/>
                <w:sz w:val="18"/>
                <w:szCs w:val="18"/>
                <w:color w:val="auto"/>
              </w:rPr>
              <w:t>Sales and marketing</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13,204</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9,244</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26,353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16,526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General and administrative</w:t>
            </w:r>
          </w:p>
        </w:tc>
        <w:tc>
          <w:tcPr>
            <w:tcW w:w="1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9,722</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4,848</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18,968</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8,374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580" w:type="dxa"/>
            <w:vAlign w:val="bottom"/>
            <w:tcBorders>
              <w:bottom w:val="single" w:sz="8" w:color="CFF0FC"/>
            </w:tcBorders>
            <w:gridSpan w:val="2"/>
          </w:tcPr>
          <w:p>
            <w:pPr>
              <w:ind w:left="500"/>
              <w:spacing w:after="0"/>
              <w:rPr>
                <w:sz w:val="20"/>
                <w:szCs w:val="20"/>
                <w:color w:val="auto"/>
              </w:rPr>
            </w:pPr>
            <w:r>
              <w:rPr>
                <w:rFonts w:ascii="Arial" w:cs="Arial" w:eastAsia="Arial" w:hAnsi="Arial"/>
                <w:sz w:val="18"/>
                <w:szCs w:val="18"/>
                <w:color w:val="auto"/>
              </w:rPr>
              <w:t>Total operating expenses</w:t>
            </w:r>
          </w:p>
        </w:tc>
        <w:tc>
          <w:tcPr>
            <w:tcW w:w="120" w:type="dxa"/>
            <w:vAlign w:val="bottom"/>
            <w:tcBorders>
              <w:bottom w:val="single" w:sz="8" w:color="CFF0FC"/>
            </w:tcBorders>
          </w:tcPr>
          <w:p>
            <w:pPr>
              <w:spacing w:after="0"/>
              <w:rPr>
                <w:sz w:val="19"/>
                <w:szCs w:val="19"/>
                <w:color w:val="auto"/>
              </w:rPr>
            </w:pPr>
          </w:p>
        </w:tc>
        <w:tc>
          <w:tcPr>
            <w:tcW w:w="580" w:type="dxa"/>
            <w:vAlign w:val="bottom"/>
            <w:tcBorders>
              <w:bottom w:val="single" w:sz="8" w:color="CFF0FC"/>
            </w:tcBorders>
          </w:tcPr>
          <w:p>
            <w:pPr>
              <w:spacing w:after="0"/>
              <w:rPr>
                <w:sz w:val="19"/>
                <w:szCs w:val="19"/>
                <w:color w:val="auto"/>
              </w:rPr>
            </w:pPr>
          </w:p>
        </w:tc>
        <w:tc>
          <w:tcPr>
            <w:tcW w:w="2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580" w:type="dxa"/>
            <w:vAlign w:val="bottom"/>
            <w:tcBorders>
              <w:bottom w:val="single" w:sz="8" w:color="CFF0FC"/>
            </w:tcBorders>
          </w:tcPr>
          <w:p>
            <w:pPr>
              <w:spacing w:after="0"/>
              <w:rPr>
                <w:sz w:val="19"/>
                <w:szCs w:val="19"/>
                <w:color w:val="auto"/>
              </w:rPr>
            </w:pPr>
          </w:p>
        </w:tc>
        <w:tc>
          <w:tcPr>
            <w:tcW w:w="22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46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30,958</w:t>
            </w:r>
          </w:p>
        </w:tc>
        <w:tc>
          <w:tcPr>
            <w:tcW w:w="8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20,145</w:t>
            </w:r>
          </w:p>
        </w:tc>
        <w:tc>
          <w:tcPr>
            <w:tcW w:w="2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60,923</w:t>
            </w:r>
          </w:p>
        </w:tc>
        <w:tc>
          <w:tcPr>
            <w:tcW w:w="12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36,791</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5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Loss from operations</w:t>
            </w:r>
          </w:p>
        </w:tc>
        <w:tc>
          <w:tcPr>
            <w:tcW w:w="1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(29,906)</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(24,909)</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89"/>
              </w:rPr>
              <w:t>(59,582)</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(45,119)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80" w:type="dxa"/>
            <w:vAlign w:val="bottom"/>
            <w:gridSpan w:val="2"/>
          </w:tcPr>
          <w:p>
            <w:pPr>
              <w:ind w:left="260"/>
              <w:spacing w:after="0"/>
              <w:rPr>
                <w:sz w:val="20"/>
                <w:szCs w:val="20"/>
                <w:color w:val="auto"/>
              </w:rPr>
            </w:pPr>
            <w:r>
              <w:rPr>
                <w:rFonts w:ascii="Arial" w:cs="Arial" w:eastAsia="Arial" w:hAnsi="Arial"/>
                <w:sz w:val="18"/>
                <w:szCs w:val="18"/>
                <w:color w:val="auto"/>
              </w:rPr>
              <w:t>Interest income and other income, net</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164</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67</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276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527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Interest expense</w:t>
            </w:r>
          </w:p>
        </w:tc>
        <w:tc>
          <w:tcPr>
            <w:tcW w:w="1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4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(431)</w:t>
            </w: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gridSpan w:val="4"/>
            <w:shd w:val="clear" w:color="auto" w:fill="CFF0FC"/>
          </w:tcPr>
          <w:p>
            <w:pPr>
              <w:jc w:val="right"/>
              <w:ind w:right="7"/>
              <w:spacing w:after="0"/>
              <w:rPr>
                <w:sz w:val="20"/>
                <w:szCs w:val="20"/>
                <w:color w:val="auto"/>
              </w:rPr>
            </w:pPr>
            <w:r>
              <w:rPr>
                <w:rFonts w:ascii="Arial" w:cs="Arial" w:eastAsia="Arial" w:hAnsi="Arial"/>
                <w:sz w:val="18"/>
                <w:szCs w:val="18"/>
                <w:color w:val="auto"/>
              </w:rPr>
              <w:t>(1,032)</w:t>
            </w:r>
          </w:p>
        </w:tc>
        <w:tc>
          <w:tcPr>
            <w:tcW w:w="10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74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(853)</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8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(2,033)</w:t>
            </w:r>
          </w:p>
        </w:tc>
        <w:tc>
          <w:tcPr>
            <w:tcW w:w="0" w:type="dxa"/>
            <w:vAlign w:val="bottom"/>
          </w:tcPr>
          <w:p>
            <w:pPr>
              <w:spacing w:after="0"/>
              <w:rPr>
                <w:sz w:val="1"/>
                <w:szCs w:val="1"/>
                <w:color w:val="auto"/>
              </w:rPr>
            </w:pPr>
          </w:p>
        </w:tc>
      </w:tr>
      <w:tr>
        <w:trPr>
          <w:trHeight w:val="215"/>
        </w:trPr>
        <w:tc>
          <w:tcPr>
            <w:tcW w:w="5480" w:type="dxa"/>
            <w:vAlign w:val="bottom"/>
            <w:gridSpan w:val="8"/>
          </w:tcPr>
          <w:p>
            <w:pPr>
              <w:ind w:left="260"/>
              <w:spacing w:after="0"/>
              <w:rPr>
                <w:sz w:val="20"/>
                <w:szCs w:val="20"/>
                <w:color w:val="auto"/>
              </w:rPr>
            </w:pPr>
            <w:r>
              <w:rPr>
                <w:rFonts w:ascii="Arial" w:cs="Arial" w:eastAsia="Arial" w:hAnsi="Arial"/>
                <w:sz w:val="18"/>
                <w:szCs w:val="18"/>
                <w:color w:val="auto"/>
              </w:rPr>
              <w:t>Change in fair value of redeemable convertible preferred stock</w:t>
            </w: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580" w:type="dxa"/>
            <w:vAlign w:val="bottom"/>
            <w:gridSpan w:val="2"/>
          </w:tcPr>
          <w:p>
            <w:pPr>
              <w:ind w:left="380"/>
              <w:spacing w:after="0"/>
              <w:rPr>
                <w:sz w:val="20"/>
                <w:szCs w:val="20"/>
                <w:color w:val="auto"/>
              </w:rPr>
            </w:pPr>
            <w:r>
              <w:rPr>
                <w:rFonts w:ascii="Arial" w:cs="Arial" w:eastAsia="Arial" w:hAnsi="Arial"/>
                <w:sz w:val="18"/>
                <w:szCs w:val="18"/>
                <w:color w:val="auto"/>
              </w:rPr>
              <w:t>warrant liability</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4"/>
          </w:tcPr>
          <w:p>
            <w:pPr>
              <w:jc w:val="right"/>
              <w:ind w:right="7"/>
              <w:spacing w:after="0"/>
              <w:rPr>
                <w:sz w:val="20"/>
                <w:szCs w:val="20"/>
                <w:color w:val="auto"/>
              </w:rPr>
            </w:pPr>
            <w:r>
              <w:rPr>
                <w:rFonts w:ascii="Arial" w:cs="Arial" w:eastAsia="Arial" w:hAnsi="Arial"/>
                <w:sz w:val="18"/>
                <w:szCs w:val="18"/>
                <w:color w:val="auto"/>
              </w:rPr>
              <w:t>(631)</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gridSpan w:val="3"/>
          </w:tcPr>
          <w:p>
            <w:pPr>
              <w:jc w:val="right"/>
              <w:ind w:right="40"/>
              <w:spacing w:after="0"/>
              <w:rPr>
                <w:sz w:val="20"/>
                <w:szCs w:val="20"/>
                <w:color w:val="auto"/>
              </w:rPr>
            </w:pPr>
            <w:r>
              <w:rPr>
                <w:rFonts w:ascii="Arial" w:cs="Arial" w:eastAsia="Arial" w:hAnsi="Arial"/>
                <w:sz w:val="18"/>
                <w:szCs w:val="18"/>
                <w:color w:val="auto"/>
              </w:rPr>
              <w:t>(530)</w:t>
            </w:r>
          </w:p>
        </w:tc>
        <w:tc>
          <w:tcPr>
            <w:tcW w:w="0" w:type="dxa"/>
            <w:vAlign w:val="bottom"/>
          </w:tcPr>
          <w:p>
            <w:pPr>
              <w:spacing w:after="0"/>
              <w:rPr>
                <w:sz w:val="1"/>
                <w:szCs w:val="1"/>
                <w:color w:val="auto"/>
              </w:rPr>
            </w:pPr>
          </w:p>
        </w:tc>
      </w:tr>
      <w:tr>
        <w:trPr>
          <w:trHeight w:val="223"/>
        </w:trPr>
        <w:tc>
          <w:tcPr>
            <w:tcW w:w="358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Loss before provision for income taxes</w:t>
            </w:r>
          </w:p>
        </w:tc>
        <w:tc>
          <w:tcPr>
            <w:tcW w:w="120" w:type="dxa"/>
            <w:vAlign w:val="bottom"/>
            <w:tcBorders>
              <w:top w:val="single" w:sz="8" w:color="CFF0FC"/>
            </w:tcBorders>
            <w:shd w:val="clear" w:color="auto" w:fill="CFF0FC"/>
          </w:tcPr>
          <w:p>
            <w:pPr>
              <w:spacing w:after="0"/>
              <w:rPr>
                <w:sz w:val="19"/>
                <w:szCs w:val="19"/>
                <w:color w:val="auto"/>
              </w:rPr>
            </w:pPr>
          </w:p>
        </w:tc>
        <w:tc>
          <w:tcPr>
            <w:tcW w:w="58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5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46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(30,173)</w:t>
            </w:r>
          </w:p>
        </w:tc>
        <w:tc>
          <w:tcPr>
            <w:tcW w:w="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(26,505)</w:t>
            </w:r>
          </w:p>
        </w:tc>
        <w:tc>
          <w:tcPr>
            <w:tcW w:w="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480" w:type="dxa"/>
            <w:vAlign w:val="bottom"/>
            <w:tcBorders>
              <w:top w:val="single" w:sz="8" w:color="auto"/>
            </w:tcBorders>
            <w:shd w:val="clear" w:color="auto" w:fill="CFF0FC"/>
          </w:tcPr>
          <w:p>
            <w:pPr>
              <w:spacing w:after="0"/>
              <w:rPr>
                <w:sz w:val="19"/>
                <w:szCs w:val="19"/>
                <w:color w:val="auto"/>
              </w:rPr>
            </w:pPr>
          </w:p>
        </w:tc>
        <w:tc>
          <w:tcPr>
            <w:tcW w:w="62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w w:val="89"/>
              </w:rPr>
              <w:t>(60,159)</w:t>
            </w:r>
          </w:p>
        </w:tc>
        <w:tc>
          <w:tcPr>
            <w:tcW w:w="1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(47,155)</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8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Provision for income taxes</w:t>
            </w:r>
          </w:p>
        </w:tc>
        <w:tc>
          <w:tcPr>
            <w:tcW w:w="120" w:type="dxa"/>
            <w:vAlign w:val="bottom"/>
            <w:tcBorders>
              <w:bottom w:val="single" w:sz="8" w:color="CFF0FC"/>
            </w:tcBorders>
          </w:tcPr>
          <w:p>
            <w:pPr>
              <w:spacing w:after="0"/>
              <w:rPr>
                <w:sz w:val="19"/>
                <w:szCs w:val="19"/>
                <w:color w:val="auto"/>
              </w:rPr>
            </w:pPr>
          </w:p>
        </w:tc>
        <w:tc>
          <w:tcPr>
            <w:tcW w:w="580" w:type="dxa"/>
            <w:vAlign w:val="bottom"/>
            <w:tcBorders>
              <w:bottom w:val="single" w:sz="8" w:color="CFF0FC"/>
            </w:tcBorders>
          </w:tcPr>
          <w:p>
            <w:pPr>
              <w:spacing w:after="0"/>
              <w:rPr>
                <w:sz w:val="19"/>
                <w:szCs w:val="19"/>
                <w:color w:val="auto"/>
              </w:rPr>
            </w:pPr>
          </w:p>
        </w:tc>
        <w:tc>
          <w:tcPr>
            <w:tcW w:w="2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580" w:type="dxa"/>
            <w:vAlign w:val="bottom"/>
            <w:tcBorders>
              <w:bottom w:val="single" w:sz="8" w:color="CFF0FC"/>
            </w:tcBorders>
          </w:tcPr>
          <w:p>
            <w:pPr>
              <w:spacing w:after="0"/>
              <w:rPr>
                <w:sz w:val="19"/>
                <w:szCs w:val="19"/>
                <w:color w:val="auto"/>
              </w:rPr>
            </w:pPr>
          </w:p>
        </w:tc>
        <w:tc>
          <w:tcPr>
            <w:tcW w:w="22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46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35</w:t>
            </w:r>
          </w:p>
        </w:tc>
        <w:tc>
          <w:tcPr>
            <w:tcW w:w="8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74</w:t>
            </w:r>
          </w:p>
        </w:tc>
        <w:tc>
          <w:tcPr>
            <w:tcW w:w="12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58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Net loss</w:t>
            </w:r>
          </w:p>
        </w:tc>
        <w:tc>
          <w:tcPr>
            <w:tcW w:w="120" w:type="dxa"/>
            <w:vAlign w:val="bottom"/>
            <w:tcBorders>
              <w:bottom w:val="single" w:sz="8" w:color="CFF0FC"/>
            </w:tcBorders>
            <w:shd w:val="clear" w:color="auto" w:fill="CFF0FC"/>
          </w:tcPr>
          <w:p>
            <w:pPr>
              <w:spacing w:after="0"/>
              <w:rPr>
                <w:sz w:val="19"/>
                <w:szCs w:val="19"/>
                <w:color w:val="auto"/>
              </w:rPr>
            </w:pPr>
          </w:p>
        </w:tc>
        <w:tc>
          <w:tcPr>
            <w:tcW w:w="58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5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60" w:type="dxa"/>
            <w:vAlign w:val="bottom"/>
            <w:tcBorders>
              <w:bottom w:val="single" w:sz="8" w:color="CFF0FC"/>
            </w:tcBorders>
            <w:shd w:val="clear" w:color="auto" w:fill="CFF0FC"/>
          </w:tcPr>
          <w:p>
            <w:pPr>
              <w:spacing w:after="0"/>
              <w:rPr>
                <w:sz w:val="19"/>
                <w:szCs w:val="19"/>
                <w:color w:val="auto"/>
              </w:rPr>
            </w:pPr>
          </w:p>
        </w:tc>
        <w:tc>
          <w:tcPr>
            <w:tcW w:w="46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(30,208)</w:t>
            </w:r>
          </w:p>
        </w:tc>
        <w:tc>
          <w:tcPr>
            <w:tcW w:w="8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(26,505)</w:t>
            </w:r>
          </w:p>
        </w:tc>
        <w:tc>
          <w:tcPr>
            <w:tcW w:w="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jc w:val="right"/>
              <w:ind w:right="318"/>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w w:val="89"/>
              </w:rPr>
              <w:t>(60,233)</w:t>
            </w:r>
          </w:p>
        </w:tc>
        <w:tc>
          <w:tcPr>
            <w:tcW w:w="1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22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(47,155)</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80" w:type="dxa"/>
            <w:vAlign w:val="bottom"/>
            <w:gridSpan w:val="8"/>
            <w:vMerge w:val="restart"/>
          </w:tcPr>
          <w:p>
            <w:pPr>
              <w:spacing w:after="0"/>
              <w:rPr>
                <w:sz w:val="20"/>
                <w:szCs w:val="20"/>
                <w:color w:val="auto"/>
              </w:rPr>
            </w:pPr>
            <w:r>
              <w:rPr>
                <w:rFonts w:ascii="Arial" w:cs="Arial" w:eastAsia="Arial" w:hAnsi="Arial"/>
                <w:sz w:val="18"/>
                <w:szCs w:val="18"/>
                <w:b w:val="1"/>
                <w:bCs w:val="1"/>
                <w:i w:val="1"/>
                <w:iCs w:val="1"/>
                <w:color w:val="auto"/>
                <w:w w:val="88"/>
              </w:rPr>
              <w:t>Comparison of the Three and Six Months Ended June 30, 2021 and 2020</w:t>
            </w: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5480" w:type="dxa"/>
            <w:vAlign w:val="bottom"/>
            <w:gridSpan w:val="8"/>
            <w:vMerge w:val="continue"/>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58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Revenue</w:t>
            </w: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9"/>
        </w:trPr>
        <w:tc>
          <w:tcPr>
            <w:tcW w:w="160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900" w:type="dxa"/>
            <w:vAlign w:val="bottom"/>
            <w:gridSpan w:val="6"/>
          </w:tcPr>
          <w:p>
            <w:pPr>
              <w:ind w:left="20"/>
              <w:spacing w:after="0"/>
              <w:rPr>
                <w:sz w:val="20"/>
                <w:szCs w:val="20"/>
                <w:color w:val="auto"/>
              </w:rPr>
            </w:pPr>
            <w:r>
              <w:rPr>
                <w:rFonts w:ascii="Arial" w:cs="Arial" w:eastAsia="Arial" w:hAnsi="Arial"/>
                <w:sz w:val="18"/>
                <w:szCs w:val="18"/>
                <w:b w:val="1"/>
                <w:bCs w:val="1"/>
                <w:color w:val="auto"/>
              </w:rPr>
              <w:t>Three Months Ended</w:t>
            </w: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gridSpan w:val="6"/>
          </w:tcPr>
          <w:p>
            <w:pPr>
              <w:jc w:val="right"/>
              <w:ind w:right="58"/>
              <w:spacing w:after="0"/>
              <w:rPr>
                <w:sz w:val="20"/>
                <w:szCs w:val="20"/>
                <w:color w:val="auto"/>
              </w:rPr>
            </w:pPr>
            <w:r>
              <w:rPr>
                <w:rFonts w:ascii="Arial" w:cs="Arial" w:eastAsia="Arial" w:hAnsi="Arial"/>
                <w:sz w:val="18"/>
                <w:szCs w:val="18"/>
                <w:b w:val="1"/>
                <w:bCs w:val="1"/>
                <w:color w:val="auto"/>
                <w:w w:val="90"/>
              </w:rPr>
              <w:t>Six Months Ended</w:t>
            </w: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60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80" w:type="dxa"/>
            <w:vAlign w:val="bottom"/>
            <w:gridSpan w:val="5"/>
          </w:tcPr>
          <w:p>
            <w:pPr>
              <w:ind w:left="380"/>
              <w:spacing w:after="0"/>
              <w:rPr>
                <w:sz w:val="20"/>
                <w:szCs w:val="20"/>
                <w:color w:val="auto"/>
              </w:rPr>
            </w:pPr>
            <w:r>
              <w:rPr>
                <w:rFonts w:ascii="Arial" w:cs="Arial" w:eastAsia="Arial" w:hAnsi="Arial"/>
                <w:sz w:val="18"/>
                <w:szCs w:val="18"/>
                <w:b w:val="1"/>
                <w:bCs w:val="1"/>
                <w:color w:val="auto"/>
              </w:rPr>
              <w:t>June 30,</w:t>
            </w:r>
          </w:p>
        </w:tc>
        <w:tc>
          <w:tcPr>
            <w:tcW w:w="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340" w:type="dxa"/>
            <w:vAlign w:val="bottom"/>
            <w:gridSpan w:val="5"/>
          </w:tcPr>
          <w:p>
            <w:pPr>
              <w:ind w:left="60"/>
              <w:spacing w:after="0"/>
              <w:rPr>
                <w:sz w:val="20"/>
                <w:szCs w:val="20"/>
                <w:color w:val="auto"/>
              </w:rPr>
            </w:pPr>
            <w:r>
              <w:rPr>
                <w:rFonts w:ascii="Arial" w:cs="Arial" w:eastAsia="Arial" w:hAnsi="Arial"/>
                <w:sz w:val="18"/>
                <w:szCs w:val="18"/>
                <w:b w:val="1"/>
                <w:bCs w:val="1"/>
                <w:color w:val="auto"/>
              </w:rPr>
              <w:t>Change</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gridSpan w:val="6"/>
          </w:tcPr>
          <w:p>
            <w:pPr>
              <w:jc w:val="right"/>
              <w:ind w:right="438"/>
              <w:spacing w:after="0"/>
              <w:rPr>
                <w:sz w:val="20"/>
                <w:szCs w:val="20"/>
                <w:color w:val="auto"/>
              </w:rPr>
            </w:pPr>
            <w:r>
              <w:rPr>
                <w:rFonts w:ascii="Arial" w:cs="Arial" w:eastAsia="Arial" w:hAnsi="Arial"/>
                <w:sz w:val="18"/>
                <w:szCs w:val="18"/>
                <w:b w:val="1"/>
                <w:bCs w:val="1"/>
                <w:color w:val="auto"/>
              </w:rPr>
              <w:t>June 30,</w:t>
            </w: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6"/>
          </w:tcPr>
          <w:p>
            <w:pPr>
              <w:jc w:val="right"/>
              <w:ind w:right="700"/>
              <w:spacing w:after="0"/>
              <w:rPr>
                <w:sz w:val="20"/>
                <w:szCs w:val="20"/>
                <w:color w:val="auto"/>
              </w:rPr>
            </w:pPr>
            <w:r>
              <w:rPr>
                <w:rFonts w:ascii="Arial" w:cs="Arial" w:eastAsia="Arial" w:hAnsi="Arial"/>
                <w:sz w:val="18"/>
                <w:szCs w:val="18"/>
                <w:b w:val="1"/>
                <w:bCs w:val="1"/>
                <w:color w:val="auto"/>
                <w:w w:val="93"/>
              </w:rPr>
              <w:t>Change</w:t>
            </w:r>
          </w:p>
        </w:tc>
        <w:tc>
          <w:tcPr>
            <w:tcW w:w="0" w:type="dxa"/>
            <w:vAlign w:val="bottom"/>
          </w:tcPr>
          <w:p>
            <w:pPr>
              <w:spacing w:after="0"/>
              <w:rPr>
                <w:sz w:val="1"/>
                <w:szCs w:val="1"/>
                <w:color w:val="auto"/>
              </w:rPr>
            </w:pPr>
          </w:p>
        </w:tc>
      </w:tr>
      <w:tr>
        <w:trPr>
          <w:trHeight w:val="183"/>
        </w:trPr>
        <w:tc>
          <w:tcPr>
            <w:tcW w:w="3580" w:type="dxa"/>
            <w:vAlign w:val="bottom"/>
            <w:gridSpan w:val="2"/>
          </w:tcPr>
          <w:p>
            <w:pPr>
              <w:spacing w:after="0" w:line="182" w:lineRule="exact"/>
              <w:rPr>
                <w:sz w:val="20"/>
                <w:szCs w:val="20"/>
                <w:color w:val="auto"/>
              </w:rPr>
            </w:pPr>
            <w:r>
              <w:rPr>
                <w:rFonts w:ascii="Arial" w:cs="Arial" w:eastAsia="Arial" w:hAnsi="Arial"/>
                <w:sz w:val="18"/>
                <w:szCs w:val="18"/>
                <w:i w:val="1"/>
                <w:iCs w:val="1"/>
                <w:color w:val="auto"/>
              </w:rPr>
              <w:t>(dollars in thousands)</w:t>
            </w:r>
          </w:p>
        </w:tc>
        <w:tc>
          <w:tcPr>
            <w:tcW w:w="12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jc w:val="right"/>
              <w:ind w:right="90"/>
              <w:spacing w:after="0" w:line="182" w:lineRule="exact"/>
              <w:rPr>
                <w:sz w:val="20"/>
                <w:szCs w:val="20"/>
                <w:color w:val="auto"/>
              </w:rPr>
            </w:pPr>
            <w:r>
              <w:rPr>
                <w:rFonts w:ascii="Arial" w:cs="Arial" w:eastAsia="Arial" w:hAnsi="Arial"/>
                <w:sz w:val="18"/>
                <w:szCs w:val="18"/>
                <w:b w:val="1"/>
                <w:bCs w:val="1"/>
                <w:color w:val="auto"/>
                <w:w w:val="94"/>
              </w:rPr>
              <w:t>2021</w:t>
            </w:r>
          </w:p>
        </w:tc>
        <w:tc>
          <w:tcPr>
            <w:tcW w:w="28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jc w:val="right"/>
              <w:ind w:right="90"/>
              <w:spacing w:after="0" w:line="182" w:lineRule="exact"/>
              <w:rPr>
                <w:sz w:val="20"/>
                <w:szCs w:val="20"/>
                <w:color w:val="auto"/>
              </w:rPr>
            </w:pPr>
            <w:r>
              <w:rPr>
                <w:rFonts w:ascii="Arial" w:cs="Arial" w:eastAsia="Arial" w:hAnsi="Arial"/>
                <w:sz w:val="18"/>
                <w:szCs w:val="18"/>
                <w:b w:val="1"/>
                <w:bCs w:val="1"/>
                <w:color w:val="auto"/>
                <w:w w:val="94"/>
              </w:rPr>
              <w:t>2020</w:t>
            </w: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60" w:type="dxa"/>
            <w:vAlign w:val="bottom"/>
            <w:tcBorders>
              <w:top w:val="single" w:sz="8" w:color="auto"/>
            </w:tcBorders>
          </w:tcPr>
          <w:p>
            <w:pPr>
              <w:jc w:val="right"/>
              <w:spacing w:after="0" w:line="182" w:lineRule="exact"/>
              <w:rPr>
                <w:sz w:val="20"/>
                <w:szCs w:val="20"/>
                <w:color w:val="auto"/>
              </w:rPr>
            </w:pPr>
            <w:r>
              <w:rPr>
                <w:rFonts w:ascii="Arial" w:cs="Arial" w:eastAsia="Arial" w:hAnsi="Arial"/>
                <w:sz w:val="18"/>
                <w:szCs w:val="18"/>
                <w:b w:val="1"/>
                <w:bCs w:val="1"/>
                <w:color w:val="auto"/>
              </w:rPr>
              <w:t>$</w:t>
            </w:r>
          </w:p>
        </w:tc>
        <w:tc>
          <w:tcPr>
            <w:tcW w:w="24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gridSpan w:val="2"/>
          </w:tcPr>
          <w:p>
            <w:pPr>
              <w:jc w:val="right"/>
              <w:ind w:right="110"/>
              <w:spacing w:after="0" w:line="182" w:lineRule="exact"/>
              <w:rPr>
                <w:sz w:val="20"/>
                <w:szCs w:val="20"/>
                <w:color w:val="auto"/>
              </w:rPr>
            </w:pPr>
            <w:r>
              <w:rPr>
                <w:rFonts w:ascii="Arial" w:cs="Arial" w:eastAsia="Arial" w:hAnsi="Arial"/>
                <w:sz w:val="18"/>
                <w:szCs w:val="18"/>
                <w:b w:val="1"/>
                <w:bCs w:val="1"/>
                <w:color w:val="auto"/>
              </w:rPr>
              <w:t>%</w:t>
            </w:r>
          </w:p>
        </w:tc>
        <w:tc>
          <w:tcPr>
            <w:tcW w:w="8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jc w:val="right"/>
              <w:ind w:right="90"/>
              <w:spacing w:after="0" w:line="182" w:lineRule="exact"/>
              <w:rPr>
                <w:sz w:val="20"/>
                <w:szCs w:val="20"/>
                <w:color w:val="auto"/>
              </w:rPr>
            </w:pPr>
            <w:r>
              <w:rPr>
                <w:rFonts w:ascii="Arial" w:cs="Arial" w:eastAsia="Arial" w:hAnsi="Arial"/>
                <w:sz w:val="18"/>
                <w:szCs w:val="18"/>
                <w:b w:val="1"/>
                <w:bCs w:val="1"/>
                <w:color w:val="auto"/>
                <w:w w:val="99"/>
              </w:rPr>
              <w:t>2021</w:t>
            </w:r>
          </w:p>
        </w:tc>
        <w:tc>
          <w:tcPr>
            <w:tcW w:w="26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gridSpan w:val="2"/>
          </w:tcPr>
          <w:p>
            <w:pPr>
              <w:jc w:val="right"/>
              <w:ind w:right="98"/>
              <w:spacing w:after="0" w:line="182" w:lineRule="exact"/>
              <w:rPr>
                <w:sz w:val="20"/>
                <w:szCs w:val="20"/>
                <w:color w:val="auto"/>
              </w:rPr>
            </w:pPr>
            <w:r>
              <w:rPr>
                <w:rFonts w:ascii="Arial" w:cs="Arial" w:eastAsia="Arial" w:hAnsi="Arial"/>
                <w:sz w:val="18"/>
                <w:szCs w:val="18"/>
                <w:b w:val="1"/>
                <w:bCs w:val="1"/>
                <w:color w:val="auto"/>
                <w:w w:val="94"/>
              </w:rPr>
              <w:t>2020</w:t>
            </w:r>
          </w:p>
        </w:tc>
        <w:tc>
          <w:tcPr>
            <w:tcW w:w="280" w:type="dxa"/>
            <w:vAlign w:val="bottom"/>
          </w:tcPr>
          <w:p>
            <w:pPr>
              <w:spacing w:after="0"/>
              <w:rPr>
                <w:sz w:val="15"/>
                <w:szCs w:val="15"/>
                <w:color w:val="auto"/>
              </w:rPr>
            </w:pPr>
          </w:p>
        </w:tc>
        <w:tc>
          <w:tcPr>
            <w:tcW w:w="460" w:type="dxa"/>
            <w:vAlign w:val="bottom"/>
            <w:tcBorders>
              <w:top w:val="single" w:sz="8" w:color="auto"/>
            </w:tcBorders>
            <w:gridSpan w:val="2"/>
          </w:tcPr>
          <w:p>
            <w:pPr>
              <w:jc w:val="right"/>
              <w:ind w:right="60"/>
              <w:spacing w:after="0" w:line="182" w:lineRule="exact"/>
              <w:rPr>
                <w:sz w:val="20"/>
                <w:szCs w:val="20"/>
                <w:color w:val="auto"/>
              </w:rPr>
            </w:pPr>
            <w:r>
              <w:rPr>
                <w:rFonts w:ascii="Arial" w:cs="Arial" w:eastAsia="Arial" w:hAnsi="Arial"/>
                <w:sz w:val="18"/>
                <w:szCs w:val="18"/>
                <w:b w:val="1"/>
                <w:bCs w:val="1"/>
                <w:color w:val="auto"/>
              </w:rPr>
              <w:t>$</w:t>
            </w:r>
          </w:p>
        </w:tc>
        <w:tc>
          <w:tcPr>
            <w:tcW w:w="12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jc w:val="right"/>
              <w:ind w:right="170"/>
              <w:spacing w:after="0" w:line="182" w:lineRule="exact"/>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600" w:type="dxa"/>
            <w:vAlign w:val="bottom"/>
            <w:tcBorders>
              <w:top w:val="single" w:sz="8" w:color="auto"/>
              <w:bottom w:val="single" w:sz="8" w:color="CFF0FC"/>
            </w:tcBorders>
          </w:tcPr>
          <w:p>
            <w:pPr>
              <w:spacing w:after="0" w:line="20" w:lineRule="exact"/>
              <w:rPr>
                <w:sz w:val="1"/>
                <w:szCs w:val="1"/>
                <w:color w:val="auto"/>
              </w:rPr>
            </w:pPr>
          </w:p>
        </w:tc>
        <w:tc>
          <w:tcPr>
            <w:tcW w:w="1980" w:type="dxa"/>
            <w:vAlign w:val="bottom"/>
            <w:tcBorders>
              <w:bottom w:val="single" w:sz="8" w:color="CFF0FC"/>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FF0FC"/>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FF0FC"/>
            </w:tcBorders>
          </w:tcPr>
          <w:p>
            <w:pPr>
              <w:spacing w:after="0" w:line="20" w:lineRule="exact"/>
              <w:rPr>
                <w:sz w:val="1"/>
                <w:szCs w:val="1"/>
                <w:color w:val="auto"/>
              </w:rPr>
            </w:pPr>
          </w:p>
        </w:tc>
        <w:tc>
          <w:tcPr>
            <w:tcW w:w="60" w:type="dxa"/>
            <w:vAlign w:val="bottom"/>
            <w:tcBorders>
              <w:bottom w:val="single" w:sz="8" w:color="CFF0FC"/>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FF0FC"/>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FF0FC"/>
            </w:tcBorders>
          </w:tcPr>
          <w:p>
            <w:pPr>
              <w:spacing w:after="0" w:line="20" w:lineRule="exact"/>
              <w:rPr>
                <w:sz w:val="1"/>
                <w:szCs w:val="1"/>
                <w:color w:val="auto"/>
              </w:rPr>
            </w:pPr>
          </w:p>
        </w:tc>
        <w:tc>
          <w:tcPr>
            <w:tcW w:w="140" w:type="dxa"/>
            <w:vAlign w:val="bottom"/>
            <w:tcBorders>
              <w:bottom w:val="single" w:sz="8" w:color="CFF0FC"/>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FF0FC"/>
            </w:tcBorders>
          </w:tcPr>
          <w:p>
            <w:pPr>
              <w:spacing w:after="0" w:line="20" w:lineRule="exact"/>
              <w:rPr>
                <w:sz w:val="1"/>
                <w:szCs w:val="1"/>
                <w:color w:val="auto"/>
              </w:rPr>
            </w:pPr>
          </w:p>
        </w:tc>
        <w:tc>
          <w:tcPr>
            <w:tcW w:w="20" w:type="dxa"/>
            <w:vAlign w:val="bottom"/>
            <w:tcBorders>
              <w:bottom w:val="single" w:sz="8" w:color="CFF0FC"/>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FF0FC"/>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FF0FC"/>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FF0FC"/>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35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Revenue:</w:t>
            </w:r>
          </w:p>
        </w:tc>
        <w:tc>
          <w:tcPr>
            <w:tcW w:w="1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80" w:type="dxa"/>
            <w:vAlign w:val="bottom"/>
            <w:gridSpan w:val="2"/>
          </w:tcPr>
          <w:p>
            <w:pPr>
              <w:ind w:left="260"/>
              <w:spacing w:after="0"/>
              <w:rPr>
                <w:sz w:val="20"/>
                <w:szCs w:val="20"/>
                <w:color w:val="auto"/>
              </w:rPr>
            </w:pPr>
            <w:r>
              <w:rPr>
                <w:rFonts w:ascii="Arial" w:cs="Arial" w:eastAsia="Arial" w:hAnsi="Arial"/>
                <w:sz w:val="18"/>
                <w:szCs w:val="18"/>
                <w:color w:val="auto"/>
              </w:rPr>
              <w:t>Product revenue</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8"/>
              </w:rPr>
              <w:t>20,628</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9,697</w:t>
            </w:r>
          </w:p>
        </w:tc>
        <w:tc>
          <w:tcPr>
            <w:tcW w:w="220" w:type="dxa"/>
            <w:vAlign w:val="bottom"/>
          </w:tcPr>
          <w:p>
            <w:pPr>
              <w:spacing w:after="0"/>
              <w:rPr>
                <w:sz w:val="19"/>
                <w:szCs w:val="19"/>
                <w:color w:val="auto"/>
              </w:rPr>
            </w:pPr>
          </w:p>
        </w:tc>
        <w:tc>
          <w:tcPr>
            <w:tcW w:w="760" w:type="dxa"/>
            <w:vAlign w:val="bottom"/>
            <w:gridSpan w:val="3"/>
          </w:tcPr>
          <w:p>
            <w:pPr>
              <w:jc w:val="right"/>
              <w:spacing w:after="0"/>
              <w:rPr>
                <w:sz w:val="20"/>
                <w:szCs w:val="20"/>
                <w:color w:val="auto"/>
              </w:rPr>
            </w:pPr>
            <w:r>
              <w:rPr>
                <w:rFonts w:ascii="Arial" w:cs="Arial" w:eastAsia="Arial" w:hAnsi="Arial"/>
                <w:sz w:val="18"/>
                <w:szCs w:val="18"/>
                <w:color w:val="auto"/>
              </w:rPr>
              <w:t>$ 10,931</w:t>
            </w:r>
          </w:p>
        </w:tc>
        <w:tc>
          <w:tcPr>
            <w:tcW w:w="1100" w:type="dxa"/>
            <w:vAlign w:val="bottom"/>
            <w:gridSpan w:val="4"/>
          </w:tcPr>
          <w:p>
            <w:pPr>
              <w:ind w:left="660"/>
              <w:spacing w:after="0"/>
              <w:rPr>
                <w:sz w:val="20"/>
                <w:szCs w:val="20"/>
                <w:color w:val="auto"/>
              </w:rPr>
            </w:pPr>
            <w:r>
              <w:rPr>
                <w:rFonts w:ascii="Arial" w:cs="Arial" w:eastAsia="Arial" w:hAnsi="Arial"/>
                <w:sz w:val="18"/>
                <w:szCs w:val="18"/>
                <w:color w:val="auto"/>
                <w:w w:val="91"/>
              </w:rPr>
              <w:t>113%</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38,838</w:t>
            </w:r>
          </w:p>
        </w:tc>
        <w:tc>
          <w:tcPr>
            <w:tcW w:w="260" w:type="dxa"/>
            <w:vAlign w:val="bottom"/>
          </w:tcPr>
          <w:p>
            <w:pPr>
              <w:spacing w:after="0"/>
              <w:rPr>
                <w:sz w:val="19"/>
                <w:szCs w:val="19"/>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w w:val="98"/>
              </w:rPr>
              <w:t>15,623</w:t>
            </w:r>
          </w:p>
        </w:tc>
        <w:tc>
          <w:tcPr>
            <w:tcW w:w="980" w:type="dxa"/>
            <w:vAlign w:val="bottom"/>
            <w:gridSpan w:val="5"/>
          </w:tcPr>
          <w:p>
            <w:pPr>
              <w:jc w:val="right"/>
              <w:spacing w:after="0"/>
              <w:rPr>
                <w:sz w:val="20"/>
                <w:szCs w:val="20"/>
                <w:color w:val="auto"/>
              </w:rPr>
            </w:pPr>
            <w:r>
              <w:rPr>
                <w:rFonts w:ascii="Arial" w:cs="Arial" w:eastAsia="Arial" w:hAnsi="Arial"/>
                <w:sz w:val="18"/>
                <w:szCs w:val="18"/>
                <w:color w:val="auto"/>
              </w:rPr>
              <w:t>$ 23,215</w:t>
            </w:r>
          </w:p>
        </w:tc>
        <w:tc>
          <w:tcPr>
            <w:tcW w:w="220" w:type="dxa"/>
            <w:vAlign w:val="bottom"/>
          </w:tcPr>
          <w:p>
            <w:pPr>
              <w:spacing w:after="0"/>
              <w:rPr>
                <w:sz w:val="19"/>
                <w:szCs w:val="19"/>
                <w:color w:val="auto"/>
              </w:rPr>
            </w:pPr>
          </w:p>
        </w:tc>
        <w:tc>
          <w:tcPr>
            <w:tcW w:w="880" w:type="dxa"/>
            <w:vAlign w:val="bottom"/>
            <w:gridSpan w:val="3"/>
          </w:tcPr>
          <w:p>
            <w:pPr>
              <w:jc w:val="right"/>
              <w:ind w:right="20"/>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30"/>
        </w:trPr>
        <w:tc>
          <w:tcPr>
            <w:tcW w:w="35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Service and other revenue</w:t>
            </w:r>
          </w:p>
        </w:tc>
        <w:tc>
          <w:tcPr>
            <w:tcW w:w="12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4,588</w:t>
            </w:r>
          </w:p>
        </w:tc>
        <w:tc>
          <w:tcPr>
            <w:tcW w:w="28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2,045</w:t>
            </w:r>
          </w:p>
        </w:tc>
        <w:tc>
          <w:tcPr>
            <w:tcW w:w="220" w:type="dxa"/>
            <w:vAlign w:val="bottom"/>
            <w:shd w:val="clear" w:color="auto" w:fill="CFF0FC"/>
          </w:tcPr>
          <w:p>
            <w:pPr>
              <w:spacing w:after="0"/>
              <w:rPr>
                <w:sz w:val="19"/>
                <w:szCs w:val="19"/>
                <w:color w:val="auto"/>
              </w:rPr>
            </w:pPr>
          </w:p>
        </w:tc>
        <w:tc>
          <w:tcPr>
            <w:tcW w:w="76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2,543</w:t>
            </w:r>
          </w:p>
        </w:tc>
        <w:tc>
          <w:tcPr>
            <w:tcW w:w="1100" w:type="dxa"/>
            <w:vAlign w:val="bottom"/>
            <w:gridSpan w:val="4"/>
            <w:shd w:val="clear" w:color="auto" w:fill="CFF0FC"/>
          </w:tcPr>
          <w:p>
            <w:pPr>
              <w:ind w:left="660"/>
              <w:spacing w:after="0"/>
              <w:rPr>
                <w:sz w:val="20"/>
                <w:szCs w:val="20"/>
                <w:color w:val="auto"/>
              </w:rPr>
            </w:pPr>
            <w:r>
              <w:rPr>
                <w:rFonts w:ascii="Arial" w:cs="Arial" w:eastAsia="Arial" w:hAnsi="Arial"/>
                <w:sz w:val="18"/>
                <w:szCs w:val="18"/>
                <w:color w:val="auto"/>
                <w:w w:val="91"/>
              </w:rPr>
              <w:t>124%</w:t>
            </w:r>
          </w:p>
        </w:tc>
        <w:tc>
          <w:tcPr>
            <w:tcW w:w="14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9,294</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3,309</w:t>
            </w:r>
          </w:p>
        </w:tc>
        <w:tc>
          <w:tcPr>
            <w:tcW w:w="980" w:type="dxa"/>
            <w:vAlign w:val="bottom"/>
            <w:gridSpan w:val="5"/>
            <w:shd w:val="clear" w:color="auto" w:fill="CFF0FC"/>
          </w:tcPr>
          <w:p>
            <w:pPr>
              <w:jc w:val="right"/>
              <w:spacing w:after="0"/>
              <w:rPr>
                <w:sz w:val="20"/>
                <w:szCs w:val="20"/>
                <w:color w:val="auto"/>
              </w:rPr>
            </w:pPr>
            <w:r>
              <w:rPr>
                <w:rFonts w:ascii="Arial" w:cs="Arial" w:eastAsia="Arial" w:hAnsi="Arial"/>
                <w:sz w:val="18"/>
                <w:szCs w:val="18"/>
                <w:color w:val="auto"/>
              </w:rPr>
              <w:t>5,985</w:t>
            </w:r>
          </w:p>
        </w:tc>
        <w:tc>
          <w:tcPr>
            <w:tcW w:w="220" w:type="dxa"/>
            <w:vAlign w:val="bottom"/>
            <w:shd w:val="clear" w:color="auto" w:fill="CFF0FC"/>
          </w:tcPr>
          <w:p>
            <w:pPr>
              <w:spacing w:after="0"/>
              <w:rPr>
                <w:sz w:val="19"/>
                <w:szCs w:val="19"/>
                <w:color w:val="auto"/>
              </w:rPr>
            </w:pPr>
          </w:p>
        </w:tc>
        <w:tc>
          <w:tcPr>
            <w:tcW w:w="88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223"/>
        </w:trPr>
        <w:tc>
          <w:tcPr>
            <w:tcW w:w="3580" w:type="dxa"/>
            <w:vAlign w:val="bottom"/>
            <w:gridSpan w:val="2"/>
          </w:tcPr>
          <w:p>
            <w:pPr>
              <w:ind w:left="500"/>
              <w:spacing w:after="0"/>
              <w:rPr>
                <w:sz w:val="20"/>
                <w:szCs w:val="20"/>
                <w:color w:val="auto"/>
              </w:rPr>
            </w:pPr>
            <w:r>
              <w:rPr>
                <w:rFonts w:ascii="Arial" w:cs="Arial" w:eastAsia="Arial" w:hAnsi="Arial"/>
                <w:sz w:val="18"/>
                <w:szCs w:val="18"/>
                <w:color w:val="auto"/>
              </w:rPr>
              <w:t>Total revenue</w:t>
            </w: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25,216</w:t>
            </w:r>
          </w:p>
        </w:tc>
        <w:tc>
          <w:tcPr>
            <w:tcW w:w="28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11,742</w:t>
            </w:r>
          </w:p>
        </w:tc>
        <w:tc>
          <w:tcPr>
            <w:tcW w:w="220" w:type="dxa"/>
            <w:vAlign w:val="bottom"/>
          </w:tcPr>
          <w:p>
            <w:pPr>
              <w:spacing w:after="0"/>
              <w:rPr>
                <w:sz w:val="19"/>
                <w:szCs w:val="19"/>
                <w:color w:val="auto"/>
              </w:rPr>
            </w:pPr>
          </w:p>
        </w:tc>
        <w:tc>
          <w:tcPr>
            <w:tcW w:w="760" w:type="dxa"/>
            <w:vAlign w:val="bottom"/>
            <w:gridSpan w:val="3"/>
          </w:tcPr>
          <w:p>
            <w:pPr>
              <w:jc w:val="right"/>
              <w:spacing w:after="0"/>
              <w:rPr>
                <w:sz w:val="20"/>
                <w:szCs w:val="20"/>
                <w:color w:val="auto"/>
              </w:rPr>
            </w:pPr>
            <w:r>
              <w:rPr>
                <w:rFonts w:ascii="Arial" w:cs="Arial" w:eastAsia="Arial" w:hAnsi="Arial"/>
                <w:sz w:val="18"/>
                <w:szCs w:val="18"/>
                <w:color w:val="auto"/>
              </w:rPr>
              <w:t>13,474</w:t>
            </w:r>
          </w:p>
        </w:tc>
        <w:tc>
          <w:tcPr>
            <w:tcW w:w="1100" w:type="dxa"/>
            <w:vAlign w:val="bottom"/>
            <w:gridSpan w:val="4"/>
          </w:tcPr>
          <w:p>
            <w:pPr>
              <w:ind w:left="660"/>
              <w:spacing w:after="0"/>
              <w:rPr>
                <w:sz w:val="20"/>
                <w:szCs w:val="20"/>
                <w:color w:val="auto"/>
              </w:rPr>
            </w:pPr>
            <w:r>
              <w:rPr>
                <w:rFonts w:ascii="Arial" w:cs="Arial" w:eastAsia="Arial" w:hAnsi="Arial"/>
                <w:sz w:val="18"/>
                <w:szCs w:val="18"/>
                <w:color w:val="auto"/>
                <w:w w:val="91"/>
              </w:rPr>
              <w:t>115%</w:t>
            </w:r>
          </w:p>
        </w:tc>
        <w:tc>
          <w:tcPr>
            <w:tcW w:w="14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48,132</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8"/>
              </w:rPr>
              <w:t>18,932</w:t>
            </w:r>
          </w:p>
        </w:tc>
        <w:tc>
          <w:tcPr>
            <w:tcW w:w="980" w:type="dxa"/>
            <w:vAlign w:val="bottom"/>
            <w:gridSpan w:val="5"/>
          </w:tcPr>
          <w:p>
            <w:pPr>
              <w:jc w:val="right"/>
              <w:spacing w:after="0"/>
              <w:rPr>
                <w:sz w:val="20"/>
                <w:szCs w:val="20"/>
                <w:color w:val="auto"/>
              </w:rPr>
            </w:pPr>
            <w:r>
              <w:rPr>
                <w:rFonts w:ascii="Arial" w:cs="Arial" w:eastAsia="Arial" w:hAnsi="Arial"/>
                <w:sz w:val="18"/>
                <w:szCs w:val="18"/>
                <w:color w:val="auto"/>
              </w:rPr>
              <w:t>29,200</w:t>
            </w:r>
          </w:p>
        </w:tc>
        <w:tc>
          <w:tcPr>
            <w:tcW w:w="220" w:type="dxa"/>
            <w:vAlign w:val="bottom"/>
          </w:tcPr>
          <w:p>
            <w:pPr>
              <w:spacing w:after="0"/>
              <w:rPr>
                <w:sz w:val="19"/>
                <w:szCs w:val="19"/>
                <w:color w:val="auto"/>
              </w:rPr>
            </w:pPr>
          </w:p>
        </w:tc>
        <w:tc>
          <w:tcPr>
            <w:tcW w:w="880" w:type="dxa"/>
            <w:vAlign w:val="bottom"/>
            <w:gridSpan w:val="3"/>
          </w:tcPr>
          <w:p>
            <w:pPr>
              <w:jc w:val="right"/>
              <w:ind w:right="20"/>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0"/>
        </w:trPr>
        <w:tc>
          <w:tcPr>
            <w:tcW w:w="16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gridSpan w:val="2"/>
            <w:vMerge w:val="restart"/>
          </w:tcPr>
          <w:p>
            <w:pPr>
              <w:jc w:val="right"/>
              <w:ind w:right="190"/>
              <w:spacing w:after="0"/>
              <w:rPr>
                <w:sz w:val="20"/>
                <w:szCs w:val="20"/>
                <w:color w:val="auto"/>
              </w:rPr>
            </w:pPr>
            <w:r>
              <w:rPr>
                <w:rFonts w:ascii="Arial" w:cs="Arial" w:eastAsia="Arial" w:hAnsi="Arial"/>
                <w:sz w:val="18"/>
                <w:szCs w:val="18"/>
                <w:color w:val="auto"/>
              </w:rPr>
              <w:t>17</w:t>
            </w: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60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gridSpan w:val="2"/>
            <w:vMerge w:val="continue"/>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600" w:type="dxa"/>
            <w:vAlign w:val="bottom"/>
            <w:tcBorders>
              <w:bottom w:val="single" w:sz="8" w:color="9A9A9A"/>
            </w:tcBorders>
          </w:tcPr>
          <w:p>
            <w:pPr>
              <w:spacing w:after="0"/>
              <w:rPr>
                <w:sz w:val="10"/>
                <w:szCs w:val="10"/>
                <w:color w:val="auto"/>
              </w:rPr>
            </w:pPr>
          </w:p>
        </w:tc>
        <w:tc>
          <w:tcPr>
            <w:tcW w:w="19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9" w:name="page20"/>
    <w:bookmarkEnd w:id="19"/>
    <w:p>
      <w:pPr>
        <w:ind w:right="400" w:firstLine="427"/>
        <w:spacing w:after="0" w:line="279" w:lineRule="auto"/>
        <w:rPr>
          <w:sz w:val="20"/>
          <w:szCs w:val="20"/>
          <w:color w:val="auto"/>
        </w:rPr>
      </w:pPr>
      <w:r>
        <w:rPr>
          <w:rFonts w:ascii="Arial" w:cs="Arial" w:eastAsia="Arial" w:hAnsi="Arial"/>
          <w:sz w:val="17"/>
          <w:szCs w:val="17"/>
          <w:color w:val="auto"/>
        </w:rPr>
        <w:t>Product revenue increased by $10.9 million, or 113% for the three months ended June 30, 2021 as compared to the three months ended June 30, 2020, driven by a $8.7 million increase in consoles revenue and a $2.2 million increase in consumables revenue. The increase in consoles revenue was driven by new customer adoption, fleet expansion across existing customer sites, higher average selling prices and a $0.7 million increase in console leasing revenue. The increase in consumables revenue was driven by our growth in console installed base.</w:t>
      </w:r>
    </w:p>
    <w:p>
      <w:pPr>
        <w:spacing w:after="0" w:line="63" w:lineRule="exact"/>
        <w:rPr>
          <w:sz w:val="20"/>
          <w:szCs w:val="20"/>
          <w:color w:val="auto"/>
        </w:rPr>
      </w:pPr>
    </w:p>
    <w:p>
      <w:pPr>
        <w:ind w:right="20" w:firstLine="427"/>
        <w:spacing w:after="0" w:line="259" w:lineRule="auto"/>
        <w:rPr>
          <w:sz w:val="20"/>
          <w:szCs w:val="20"/>
          <w:color w:val="auto"/>
        </w:rPr>
      </w:pPr>
      <w:r>
        <w:rPr>
          <w:rFonts w:ascii="Arial" w:cs="Arial" w:eastAsia="Arial" w:hAnsi="Arial"/>
          <w:sz w:val="18"/>
          <w:szCs w:val="18"/>
          <w:color w:val="auto"/>
        </w:rPr>
        <w:t>Product revenue increased by $23.2 million, or 149% for the six months ended June 30, 2021 as compared to the six months ended June 30, 2020, driven by a $18.4 million increase in consoles revenue and a $4.8 million increase in consumables revenue. The increase in consoles revenue was driven by new customer adoption, fleet expansion across existing customer sites, higher average selling prices and a $1.4 million increase in console leasing revenue. The increase in consumables revenue was driven by our growth in console installed base.</w:t>
      </w:r>
    </w:p>
    <w:p>
      <w:pPr>
        <w:spacing w:after="0" w:line="79" w:lineRule="exact"/>
        <w:rPr>
          <w:sz w:val="20"/>
          <w:szCs w:val="20"/>
          <w:color w:val="auto"/>
        </w:rPr>
      </w:pPr>
    </w:p>
    <w:p>
      <w:pPr>
        <w:ind w:right="540" w:firstLine="427"/>
        <w:spacing w:after="0" w:line="308" w:lineRule="auto"/>
        <w:rPr>
          <w:sz w:val="20"/>
          <w:szCs w:val="20"/>
          <w:color w:val="auto"/>
        </w:rPr>
      </w:pPr>
      <w:r>
        <w:rPr>
          <w:rFonts w:ascii="Arial" w:cs="Arial" w:eastAsia="Arial" w:hAnsi="Arial"/>
          <w:sz w:val="17"/>
          <w:szCs w:val="17"/>
          <w:color w:val="auto"/>
        </w:rPr>
        <w:t>Service and other revenue increased for the three and six months ended June 30, 2021 from the three and six months ended June 30, 2020. The increase was primarily due to services associated with our growth in console installed base, including leased consoles.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00" w:type="dxa"/>
            <w:vAlign w:val="bottom"/>
            <w:gridSpan w:val="3"/>
          </w:tcPr>
          <w:p>
            <w:pPr>
              <w:spacing w:after="0"/>
              <w:rPr>
                <w:sz w:val="20"/>
                <w:szCs w:val="20"/>
                <w:color w:val="auto"/>
              </w:rPr>
            </w:pPr>
            <w:r>
              <w:rPr>
                <w:rFonts w:ascii="Arial" w:cs="Arial" w:eastAsia="Arial" w:hAnsi="Arial"/>
                <w:sz w:val="18"/>
                <w:szCs w:val="18"/>
                <w:b w:val="1"/>
                <w:bCs w:val="1"/>
                <w:i w:val="1"/>
                <w:iCs w:val="1"/>
                <w:color w:val="auto"/>
                <w:w w:val="88"/>
              </w:rPr>
              <w:t>Cost of Revenue, Gross Profit and Gross Margin</w:t>
            </w:r>
          </w:p>
        </w:tc>
        <w:tc>
          <w:tcPr>
            <w:tcW w:w="5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319"/>
        </w:trPr>
        <w:tc>
          <w:tcPr>
            <w:tcW w:w="160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960" w:type="dxa"/>
            <w:vAlign w:val="bottom"/>
            <w:gridSpan w:val="7"/>
          </w:tcPr>
          <w:p>
            <w:pPr>
              <w:ind w:left="20"/>
              <w:spacing w:after="0"/>
              <w:rPr>
                <w:sz w:val="20"/>
                <w:szCs w:val="20"/>
                <w:color w:val="auto"/>
              </w:rPr>
            </w:pPr>
            <w:r>
              <w:rPr>
                <w:rFonts w:ascii="Arial" w:cs="Arial" w:eastAsia="Arial" w:hAnsi="Arial"/>
                <w:sz w:val="18"/>
                <w:szCs w:val="18"/>
                <w:b w:val="1"/>
                <w:bCs w:val="1"/>
                <w:color w:val="auto"/>
              </w:rPr>
              <w:t>Three Months Ended</w:t>
            </w: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60" w:type="dxa"/>
            <w:vAlign w:val="bottom"/>
            <w:gridSpan w:val="5"/>
          </w:tcPr>
          <w:p>
            <w:pPr>
              <w:jc w:val="right"/>
              <w:ind w:right="420"/>
              <w:spacing w:after="0"/>
              <w:rPr>
                <w:sz w:val="20"/>
                <w:szCs w:val="20"/>
                <w:color w:val="auto"/>
              </w:rPr>
            </w:pPr>
            <w:r>
              <w:rPr>
                <w:rFonts w:ascii="Arial" w:cs="Arial" w:eastAsia="Arial" w:hAnsi="Arial"/>
                <w:sz w:val="18"/>
                <w:szCs w:val="18"/>
                <w:b w:val="1"/>
                <w:bCs w:val="1"/>
                <w:color w:val="auto"/>
                <w:w w:val="90"/>
              </w:rPr>
              <w:t>Six Months Ended</w:t>
            </w: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34"/>
        </w:trPr>
        <w:tc>
          <w:tcPr>
            <w:tcW w:w="160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40" w:type="dxa"/>
            <w:vAlign w:val="bottom"/>
            <w:gridSpan w:val="6"/>
          </w:tcPr>
          <w:p>
            <w:pPr>
              <w:jc w:val="right"/>
              <w:ind w:right="820"/>
              <w:spacing w:after="0"/>
              <w:rPr>
                <w:sz w:val="20"/>
                <w:szCs w:val="20"/>
                <w:color w:val="auto"/>
              </w:rPr>
            </w:pPr>
            <w:r>
              <w:rPr>
                <w:rFonts w:ascii="Arial" w:cs="Arial" w:eastAsia="Arial" w:hAnsi="Arial"/>
                <w:sz w:val="18"/>
                <w:szCs w:val="18"/>
                <w:b w:val="1"/>
                <w:bCs w:val="1"/>
                <w:color w:val="auto"/>
              </w:rPr>
              <w:t>June 30,</w:t>
            </w:r>
          </w:p>
        </w:tc>
        <w:tc>
          <w:tcPr>
            <w:tcW w:w="180" w:type="dxa"/>
            <w:vAlign w:val="bottom"/>
          </w:tcPr>
          <w:p>
            <w:pPr>
              <w:spacing w:after="0"/>
              <w:rPr>
                <w:sz w:val="20"/>
                <w:szCs w:val="20"/>
                <w:color w:val="auto"/>
              </w:rPr>
            </w:pPr>
          </w:p>
        </w:tc>
        <w:tc>
          <w:tcPr>
            <w:tcW w:w="960" w:type="dxa"/>
            <w:vAlign w:val="bottom"/>
            <w:gridSpan w:val="3"/>
          </w:tcPr>
          <w:p>
            <w:pPr>
              <w:ind w:left="340"/>
              <w:spacing w:after="0"/>
              <w:rPr>
                <w:sz w:val="20"/>
                <w:szCs w:val="20"/>
                <w:color w:val="auto"/>
              </w:rPr>
            </w:pPr>
            <w:r>
              <w:rPr>
                <w:rFonts w:ascii="Arial" w:cs="Arial" w:eastAsia="Arial" w:hAnsi="Arial"/>
                <w:sz w:val="18"/>
                <w:szCs w:val="18"/>
                <w:b w:val="1"/>
                <w:bCs w:val="1"/>
                <w:color w:val="auto"/>
                <w:w w:val="90"/>
              </w:rPr>
              <w:t>Change</w:t>
            </w:r>
          </w:p>
        </w:tc>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60" w:type="dxa"/>
            <w:vAlign w:val="bottom"/>
            <w:gridSpan w:val="5"/>
          </w:tcPr>
          <w:p>
            <w:pPr>
              <w:jc w:val="right"/>
              <w:ind w:right="800"/>
              <w:spacing w:after="0"/>
              <w:rPr>
                <w:sz w:val="20"/>
                <w:szCs w:val="20"/>
                <w:color w:val="auto"/>
              </w:rPr>
            </w:pPr>
            <w:r>
              <w:rPr>
                <w:rFonts w:ascii="Arial" w:cs="Arial" w:eastAsia="Arial" w:hAnsi="Arial"/>
                <w:sz w:val="18"/>
                <w:szCs w:val="18"/>
                <w:b w:val="1"/>
                <w:bCs w:val="1"/>
                <w:color w:val="auto"/>
              </w:rPr>
              <w:t>June 30,</w:t>
            </w:r>
          </w:p>
        </w:tc>
        <w:tc>
          <w:tcPr>
            <w:tcW w:w="140" w:type="dxa"/>
            <w:vAlign w:val="bottom"/>
          </w:tcPr>
          <w:p>
            <w:pPr>
              <w:spacing w:after="0"/>
              <w:rPr>
                <w:sz w:val="20"/>
                <w:szCs w:val="20"/>
                <w:color w:val="auto"/>
              </w:rPr>
            </w:pPr>
          </w:p>
        </w:tc>
        <w:tc>
          <w:tcPr>
            <w:tcW w:w="1000" w:type="dxa"/>
            <w:vAlign w:val="bottom"/>
            <w:gridSpan w:val="3"/>
          </w:tcPr>
          <w:p>
            <w:pPr>
              <w:ind w:left="380"/>
              <w:spacing w:after="0"/>
              <w:rPr>
                <w:sz w:val="20"/>
                <w:szCs w:val="20"/>
                <w:color w:val="auto"/>
              </w:rPr>
            </w:pPr>
            <w:r>
              <w:rPr>
                <w:rFonts w:ascii="Arial" w:cs="Arial" w:eastAsia="Arial" w:hAnsi="Arial"/>
                <w:sz w:val="18"/>
                <w:szCs w:val="18"/>
                <w:b w:val="1"/>
                <w:bCs w:val="1"/>
                <w:color w:val="auto"/>
                <w:w w:val="90"/>
              </w:rPr>
              <w:t>Change</w:t>
            </w:r>
          </w:p>
        </w:tc>
        <w:tc>
          <w:tcPr>
            <w:tcW w:w="48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183"/>
        </w:trPr>
        <w:tc>
          <w:tcPr>
            <w:tcW w:w="3580" w:type="dxa"/>
            <w:vAlign w:val="bottom"/>
            <w:gridSpan w:val="2"/>
          </w:tcPr>
          <w:p>
            <w:pPr>
              <w:spacing w:after="0" w:line="182" w:lineRule="exact"/>
              <w:rPr>
                <w:sz w:val="20"/>
                <w:szCs w:val="20"/>
                <w:color w:val="auto"/>
              </w:rPr>
            </w:pPr>
            <w:r>
              <w:rPr>
                <w:rFonts w:ascii="Arial" w:cs="Arial" w:eastAsia="Arial" w:hAnsi="Arial"/>
                <w:sz w:val="18"/>
                <w:szCs w:val="18"/>
                <w:i w:val="1"/>
                <w:iCs w:val="1"/>
                <w:color w:val="auto"/>
              </w:rPr>
              <w:t>(dollars in thousands)</w:t>
            </w:r>
          </w:p>
        </w:tc>
        <w:tc>
          <w:tcPr>
            <w:tcW w:w="12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jc w:val="right"/>
              <w:ind w:right="90"/>
              <w:spacing w:after="0" w:line="182" w:lineRule="exact"/>
              <w:rPr>
                <w:sz w:val="20"/>
                <w:szCs w:val="20"/>
                <w:color w:val="auto"/>
              </w:rPr>
            </w:pPr>
            <w:r>
              <w:rPr>
                <w:rFonts w:ascii="Arial" w:cs="Arial" w:eastAsia="Arial" w:hAnsi="Arial"/>
                <w:sz w:val="18"/>
                <w:szCs w:val="18"/>
                <w:b w:val="1"/>
                <w:bCs w:val="1"/>
                <w:color w:val="auto"/>
                <w:w w:val="94"/>
              </w:rPr>
              <w:t>2021</w:t>
            </w:r>
          </w:p>
        </w:tc>
        <w:tc>
          <w:tcPr>
            <w:tcW w:w="26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jc w:val="right"/>
              <w:ind w:right="90"/>
              <w:spacing w:after="0" w:line="182" w:lineRule="exact"/>
              <w:rPr>
                <w:sz w:val="20"/>
                <w:szCs w:val="20"/>
                <w:color w:val="auto"/>
              </w:rPr>
            </w:pPr>
            <w:r>
              <w:rPr>
                <w:rFonts w:ascii="Arial" w:cs="Arial" w:eastAsia="Arial" w:hAnsi="Arial"/>
                <w:sz w:val="18"/>
                <w:szCs w:val="18"/>
                <w:b w:val="1"/>
                <w:bCs w:val="1"/>
                <w:color w:val="auto"/>
                <w:w w:val="94"/>
              </w:rPr>
              <w:t>2020</w:t>
            </w:r>
          </w:p>
        </w:tc>
        <w:tc>
          <w:tcPr>
            <w:tcW w:w="28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520" w:type="dxa"/>
            <w:vAlign w:val="bottom"/>
            <w:tcBorders>
              <w:top w:val="single" w:sz="8" w:color="auto"/>
            </w:tcBorders>
          </w:tcPr>
          <w:p>
            <w:pPr>
              <w:jc w:val="right"/>
              <w:ind w:right="210"/>
              <w:spacing w:after="0" w:line="182" w:lineRule="exact"/>
              <w:rPr>
                <w:sz w:val="20"/>
                <w:szCs w:val="20"/>
                <w:color w:val="auto"/>
              </w:rPr>
            </w:pPr>
            <w:r>
              <w:rPr>
                <w:rFonts w:ascii="Arial" w:cs="Arial" w:eastAsia="Arial" w:hAnsi="Arial"/>
                <w:sz w:val="18"/>
                <w:szCs w:val="18"/>
                <w:b w:val="1"/>
                <w:bCs w:val="1"/>
                <w:color w:val="auto"/>
              </w:rPr>
              <w:t>$</w:t>
            </w:r>
          </w:p>
        </w:tc>
        <w:tc>
          <w:tcPr>
            <w:tcW w:w="24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500" w:type="dxa"/>
            <w:vAlign w:val="bottom"/>
            <w:tcBorders>
              <w:top w:val="single" w:sz="8" w:color="auto"/>
            </w:tcBorders>
          </w:tcPr>
          <w:p>
            <w:pPr>
              <w:jc w:val="right"/>
              <w:ind w:right="190"/>
              <w:spacing w:after="0" w:line="182" w:lineRule="exact"/>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jc w:val="right"/>
              <w:ind w:right="90"/>
              <w:spacing w:after="0" w:line="182" w:lineRule="exact"/>
              <w:rPr>
                <w:sz w:val="20"/>
                <w:szCs w:val="20"/>
                <w:color w:val="auto"/>
              </w:rPr>
            </w:pPr>
            <w:r>
              <w:rPr>
                <w:rFonts w:ascii="Arial" w:cs="Arial" w:eastAsia="Arial" w:hAnsi="Arial"/>
                <w:sz w:val="18"/>
                <w:szCs w:val="18"/>
                <w:b w:val="1"/>
                <w:bCs w:val="1"/>
                <w:color w:val="auto"/>
                <w:w w:val="99"/>
              </w:rPr>
              <w:t>2021</w:t>
            </w:r>
          </w:p>
        </w:tc>
        <w:tc>
          <w:tcPr>
            <w:tcW w:w="28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jc w:val="right"/>
              <w:ind w:right="90"/>
              <w:spacing w:after="0" w:line="182" w:lineRule="exact"/>
              <w:rPr>
                <w:sz w:val="20"/>
                <w:szCs w:val="20"/>
                <w:color w:val="auto"/>
              </w:rPr>
            </w:pPr>
            <w:r>
              <w:rPr>
                <w:rFonts w:ascii="Arial" w:cs="Arial" w:eastAsia="Arial" w:hAnsi="Arial"/>
                <w:sz w:val="18"/>
                <w:szCs w:val="18"/>
                <w:b w:val="1"/>
                <w:bCs w:val="1"/>
                <w:color w:val="auto"/>
                <w:w w:val="94"/>
              </w:rPr>
              <w:t>2020</w:t>
            </w:r>
          </w:p>
        </w:tc>
        <w:tc>
          <w:tcPr>
            <w:tcW w:w="28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jc w:val="right"/>
              <w:ind w:right="210"/>
              <w:spacing w:after="0" w:line="182" w:lineRule="exact"/>
              <w:rPr>
                <w:sz w:val="20"/>
                <w:szCs w:val="20"/>
                <w:color w:val="auto"/>
              </w:rPr>
            </w:pPr>
            <w:r>
              <w:rPr>
                <w:rFonts w:ascii="Arial" w:cs="Arial" w:eastAsia="Arial" w:hAnsi="Arial"/>
                <w:sz w:val="18"/>
                <w:szCs w:val="18"/>
                <w:b w:val="1"/>
                <w:bCs w:val="1"/>
                <w:color w:val="auto"/>
              </w:rPr>
              <w:t>$</w:t>
            </w:r>
          </w:p>
        </w:tc>
        <w:tc>
          <w:tcPr>
            <w:tcW w:w="22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480" w:type="dxa"/>
            <w:vAlign w:val="bottom"/>
            <w:tcBorders>
              <w:top w:val="single" w:sz="8" w:color="auto"/>
            </w:tcBorders>
          </w:tcPr>
          <w:p>
            <w:pPr>
              <w:jc w:val="right"/>
              <w:ind w:right="170"/>
              <w:spacing w:after="0" w:line="182" w:lineRule="exact"/>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5"/>
                <w:szCs w:val="15"/>
                <w:color w:val="auto"/>
              </w:rPr>
            </w:pPr>
          </w:p>
        </w:tc>
      </w:tr>
      <w:tr>
        <w:trPr>
          <w:trHeight w:val="21"/>
        </w:trPr>
        <w:tc>
          <w:tcPr>
            <w:tcW w:w="1600" w:type="dxa"/>
            <w:vAlign w:val="bottom"/>
            <w:tcBorders>
              <w:top w:val="single" w:sz="8" w:color="auto"/>
              <w:bottom w:val="single" w:sz="8" w:color="CFF0FC"/>
            </w:tcBorders>
          </w:tcPr>
          <w:p>
            <w:pPr>
              <w:spacing w:after="0" w:line="20" w:lineRule="exact"/>
              <w:rPr>
                <w:sz w:val="1"/>
                <w:szCs w:val="1"/>
                <w:color w:val="auto"/>
              </w:rPr>
            </w:pPr>
          </w:p>
        </w:tc>
        <w:tc>
          <w:tcPr>
            <w:tcW w:w="1980" w:type="dxa"/>
            <w:vAlign w:val="bottom"/>
            <w:tcBorders>
              <w:bottom w:val="single" w:sz="8" w:color="CFF0FC"/>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FF0FC"/>
            </w:tcBorders>
          </w:tcPr>
          <w:p>
            <w:pPr>
              <w:spacing w:after="0" w:line="20" w:lineRule="exact"/>
              <w:rPr>
                <w:sz w:val="1"/>
                <w:szCs w:val="1"/>
                <w:color w:val="auto"/>
              </w:rPr>
            </w:pPr>
          </w:p>
        </w:tc>
        <w:tc>
          <w:tcPr>
            <w:tcW w:w="20" w:type="dxa"/>
            <w:vAlign w:val="bottom"/>
            <w:tcBorders>
              <w:bottom w:val="single" w:sz="8" w:color="CFF0FC"/>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FF0FC"/>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FF0FC"/>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FF0FC"/>
            </w:tcBorders>
          </w:tcPr>
          <w:p>
            <w:pPr>
              <w:spacing w:after="0" w:line="20" w:lineRule="exact"/>
              <w:rPr>
                <w:sz w:val="1"/>
                <w:szCs w:val="1"/>
                <w:color w:val="auto"/>
              </w:rPr>
            </w:pPr>
          </w:p>
        </w:tc>
        <w:tc>
          <w:tcPr>
            <w:tcW w:w="80" w:type="dxa"/>
            <w:vAlign w:val="bottom"/>
            <w:tcBorders>
              <w:bottom w:val="single" w:sz="8" w:color="CFF0FC"/>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FF0FC"/>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FF0FC"/>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FF0FC"/>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FF0FC"/>
            </w:tcBorders>
          </w:tcPr>
          <w:p>
            <w:pPr>
              <w:spacing w:after="0" w:line="20" w:lineRule="exact"/>
              <w:rPr>
                <w:sz w:val="1"/>
                <w:szCs w:val="1"/>
                <w:color w:val="auto"/>
              </w:rPr>
            </w:pPr>
          </w:p>
        </w:tc>
      </w:tr>
      <w:tr>
        <w:trPr>
          <w:trHeight w:val="223"/>
        </w:trPr>
        <w:tc>
          <w:tcPr>
            <w:tcW w:w="35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Cost of revenue:</w:t>
            </w:r>
          </w:p>
        </w:tc>
        <w:tc>
          <w:tcPr>
            <w:tcW w:w="1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r>
      <w:tr>
        <w:trPr>
          <w:trHeight w:val="230"/>
        </w:trPr>
        <w:tc>
          <w:tcPr>
            <w:tcW w:w="3580" w:type="dxa"/>
            <w:vAlign w:val="bottom"/>
            <w:gridSpan w:val="2"/>
          </w:tcPr>
          <w:p>
            <w:pPr>
              <w:ind w:left="260"/>
              <w:spacing w:after="0"/>
              <w:rPr>
                <w:sz w:val="20"/>
                <w:szCs w:val="20"/>
                <w:color w:val="auto"/>
              </w:rPr>
            </w:pPr>
            <w:r>
              <w:rPr>
                <w:rFonts w:ascii="Arial" w:cs="Arial" w:eastAsia="Arial" w:hAnsi="Arial"/>
                <w:sz w:val="18"/>
                <w:szCs w:val="18"/>
                <w:color w:val="auto"/>
              </w:rPr>
              <w:t>Cost of product revenue</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8"/>
              </w:rPr>
              <w:t>22,077</w:t>
            </w:r>
          </w:p>
        </w:tc>
        <w:tc>
          <w:tcPr>
            <w:tcW w:w="260" w:type="dxa"/>
            <w:vAlign w:val="bottom"/>
          </w:tcPr>
          <w:p>
            <w:pPr>
              <w:spacing w:after="0"/>
              <w:rPr>
                <w:sz w:val="19"/>
                <w:szCs w:val="19"/>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8"/>
              </w:rPr>
              <w:t>15,291</w:t>
            </w:r>
          </w:p>
        </w:tc>
        <w:tc>
          <w:tcPr>
            <w:tcW w:w="2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6,786</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44%</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42,654</w:t>
            </w:r>
          </w:p>
        </w:tc>
        <w:tc>
          <w:tcPr>
            <w:tcW w:w="2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8"/>
              </w:rPr>
              <w:t>24,853</w:t>
            </w:r>
          </w:p>
        </w:tc>
        <w:tc>
          <w:tcPr>
            <w:tcW w:w="2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17,801</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72%</w:t>
            </w:r>
          </w:p>
        </w:tc>
      </w:tr>
      <w:tr>
        <w:trPr>
          <w:trHeight w:val="229"/>
        </w:trPr>
        <w:tc>
          <w:tcPr>
            <w:tcW w:w="35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Cost of service and other revenue</w:t>
            </w:r>
          </w:p>
        </w:tc>
        <w:tc>
          <w:tcPr>
            <w:tcW w:w="12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2,087</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1,215</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872</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72%</w:t>
            </w:r>
          </w:p>
        </w:tc>
        <w:tc>
          <w:tcPr>
            <w:tcW w:w="8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4,137</w:t>
            </w:r>
          </w:p>
        </w:tc>
        <w:tc>
          <w:tcPr>
            <w:tcW w:w="28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2,407</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1,730</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72%</w:t>
            </w:r>
          </w:p>
        </w:tc>
      </w:tr>
      <w:tr>
        <w:trPr>
          <w:trHeight w:val="263"/>
        </w:trPr>
        <w:tc>
          <w:tcPr>
            <w:tcW w:w="3580" w:type="dxa"/>
            <w:vAlign w:val="bottom"/>
            <w:tcBorders>
              <w:bottom w:val="single" w:sz="8" w:color="CFF0FC"/>
            </w:tcBorders>
            <w:gridSpan w:val="2"/>
          </w:tcPr>
          <w:p>
            <w:pPr>
              <w:ind w:left="500"/>
              <w:spacing w:after="0"/>
              <w:rPr>
                <w:sz w:val="20"/>
                <w:szCs w:val="20"/>
                <w:color w:val="auto"/>
              </w:rPr>
            </w:pPr>
            <w:r>
              <w:rPr>
                <w:rFonts w:ascii="Arial" w:cs="Arial" w:eastAsia="Arial" w:hAnsi="Arial"/>
                <w:sz w:val="18"/>
                <w:szCs w:val="18"/>
                <w:color w:val="auto"/>
              </w:rPr>
              <w:t>Total cost of revenue</w:t>
            </w: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24,164</w:t>
            </w:r>
          </w:p>
        </w:tc>
        <w:tc>
          <w:tcPr>
            <w:tcW w:w="260" w:type="dxa"/>
            <w:vAlign w:val="bottom"/>
            <w:tcBorders>
              <w:bottom w:val="single" w:sz="8" w:color="CFF0FC"/>
            </w:tcBorders>
          </w:tcPr>
          <w:p>
            <w:pPr>
              <w:spacing w:after="0"/>
              <w:rPr>
                <w:sz w:val="22"/>
                <w:szCs w:val="22"/>
                <w:color w:val="auto"/>
              </w:rPr>
            </w:pPr>
          </w:p>
        </w:tc>
        <w:tc>
          <w:tcPr>
            <w:tcW w:w="20" w:type="dxa"/>
            <w:vAlign w:val="bottom"/>
            <w:tcBorders>
              <w:bottom w:val="single" w:sz="8" w:color="CFF0FC"/>
            </w:tcBorders>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16,506</w:t>
            </w:r>
          </w:p>
        </w:tc>
        <w:tc>
          <w:tcPr>
            <w:tcW w:w="280" w:type="dxa"/>
            <w:vAlign w:val="bottom"/>
            <w:tcBorders>
              <w:bottom w:val="single" w:sz="8" w:color="CFF0FC"/>
            </w:tcBorders>
          </w:tcPr>
          <w:p>
            <w:pPr>
              <w:spacing w:after="0"/>
              <w:rPr>
                <w:sz w:val="22"/>
                <w:szCs w:val="22"/>
                <w:color w:val="auto"/>
              </w:rPr>
            </w:pPr>
          </w:p>
        </w:tc>
        <w:tc>
          <w:tcPr>
            <w:tcW w:w="180" w:type="dxa"/>
            <w:vAlign w:val="bottom"/>
            <w:tcBorders>
              <w:bottom w:val="single" w:sz="8" w:color="CFF0FC"/>
            </w:tcBorders>
          </w:tcPr>
          <w:p>
            <w:pPr>
              <w:spacing w:after="0"/>
              <w:rPr>
                <w:sz w:val="22"/>
                <w:szCs w:val="22"/>
                <w:color w:val="auto"/>
              </w:rPr>
            </w:pPr>
          </w:p>
        </w:tc>
        <w:tc>
          <w:tcPr>
            <w:tcW w:w="52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7,658</w:t>
            </w:r>
          </w:p>
        </w:tc>
        <w:tc>
          <w:tcPr>
            <w:tcW w:w="240" w:type="dxa"/>
            <w:vAlign w:val="bottom"/>
            <w:tcBorders>
              <w:bottom w:val="single" w:sz="8" w:color="CFF0FC"/>
            </w:tcBorders>
          </w:tcPr>
          <w:p>
            <w:pPr>
              <w:spacing w:after="0"/>
              <w:rPr>
                <w:sz w:val="22"/>
                <w:szCs w:val="22"/>
                <w:color w:val="auto"/>
              </w:rPr>
            </w:pPr>
          </w:p>
        </w:tc>
        <w:tc>
          <w:tcPr>
            <w:tcW w:w="200" w:type="dxa"/>
            <w:vAlign w:val="bottom"/>
            <w:tcBorders>
              <w:bottom w:val="single" w:sz="8" w:color="CFF0FC"/>
            </w:tcBorders>
          </w:tcPr>
          <w:p>
            <w:pPr>
              <w:spacing w:after="0"/>
              <w:rPr>
                <w:sz w:val="22"/>
                <w:szCs w:val="22"/>
                <w:color w:val="auto"/>
              </w:rPr>
            </w:pPr>
          </w:p>
        </w:tc>
        <w:tc>
          <w:tcPr>
            <w:tcW w:w="720" w:type="dxa"/>
            <w:vAlign w:val="bottom"/>
            <w:tcBorders>
              <w:bottom w:val="single" w:sz="8" w:color="CFF0FC"/>
            </w:tcBorders>
            <w:gridSpan w:val="2"/>
          </w:tcPr>
          <w:p>
            <w:pPr>
              <w:jc w:val="right"/>
              <w:ind w:right="80"/>
              <w:spacing w:after="0"/>
              <w:rPr>
                <w:sz w:val="20"/>
                <w:szCs w:val="20"/>
                <w:color w:val="auto"/>
              </w:rPr>
            </w:pPr>
            <w:r>
              <w:rPr>
                <w:rFonts w:ascii="Arial" w:cs="Arial" w:eastAsia="Arial" w:hAnsi="Arial"/>
                <w:sz w:val="18"/>
                <w:szCs w:val="18"/>
                <w:color w:val="auto"/>
              </w:rPr>
              <w:t>46%</w:t>
            </w:r>
          </w:p>
        </w:tc>
        <w:tc>
          <w:tcPr>
            <w:tcW w:w="80" w:type="dxa"/>
            <w:vAlign w:val="bottom"/>
            <w:tcBorders>
              <w:bottom w:val="single" w:sz="8" w:color="CFF0FC"/>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46,791</w:t>
            </w:r>
          </w:p>
        </w:tc>
        <w:tc>
          <w:tcPr>
            <w:tcW w:w="280" w:type="dxa"/>
            <w:vAlign w:val="bottom"/>
            <w:tcBorders>
              <w:bottom w:val="single" w:sz="8" w:color="CFF0FC"/>
            </w:tcBorders>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27,260</w:t>
            </w:r>
          </w:p>
        </w:tc>
        <w:tc>
          <w:tcPr>
            <w:tcW w:w="280" w:type="dxa"/>
            <w:vAlign w:val="bottom"/>
            <w:tcBorders>
              <w:bottom w:val="single" w:sz="8" w:color="CFF0FC"/>
            </w:tcBorders>
          </w:tcPr>
          <w:p>
            <w:pPr>
              <w:spacing w:after="0"/>
              <w:rPr>
                <w:sz w:val="22"/>
                <w:szCs w:val="22"/>
                <w:color w:val="auto"/>
              </w:rPr>
            </w:pPr>
          </w:p>
        </w:tc>
        <w:tc>
          <w:tcPr>
            <w:tcW w:w="140" w:type="dxa"/>
            <w:vAlign w:val="bottom"/>
            <w:tcBorders>
              <w:bottom w:val="single" w:sz="8" w:color="CFF0FC"/>
            </w:tcBorders>
          </w:tcPr>
          <w:p>
            <w:pPr>
              <w:spacing w:after="0"/>
              <w:rPr>
                <w:sz w:val="22"/>
                <w:szCs w:val="22"/>
                <w:color w:val="auto"/>
              </w:rPr>
            </w:pPr>
          </w:p>
        </w:tc>
        <w:tc>
          <w:tcPr>
            <w:tcW w:w="56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w w:val="98"/>
              </w:rPr>
              <w:t>19,531</w:t>
            </w:r>
          </w:p>
        </w:tc>
        <w:tc>
          <w:tcPr>
            <w:tcW w:w="220" w:type="dxa"/>
            <w:vAlign w:val="bottom"/>
            <w:tcBorders>
              <w:bottom w:val="single" w:sz="8" w:color="CFF0FC"/>
            </w:tcBorders>
          </w:tcPr>
          <w:p>
            <w:pPr>
              <w:spacing w:after="0"/>
              <w:rPr>
                <w:sz w:val="22"/>
                <w:szCs w:val="22"/>
                <w:color w:val="auto"/>
              </w:rPr>
            </w:pPr>
          </w:p>
        </w:tc>
        <w:tc>
          <w:tcPr>
            <w:tcW w:w="220" w:type="dxa"/>
            <w:vAlign w:val="bottom"/>
            <w:tcBorders>
              <w:bottom w:val="single" w:sz="8" w:color="CFF0FC"/>
            </w:tcBorders>
          </w:tcPr>
          <w:p>
            <w:pPr>
              <w:spacing w:after="0"/>
              <w:rPr>
                <w:sz w:val="22"/>
                <w:szCs w:val="22"/>
                <w:color w:val="auto"/>
              </w:rPr>
            </w:pPr>
          </w:p>
        </w:tc>
        <w:tc>
          <w:tcPr>
            <w:tcW w:w="660" w:type="dxa"/>
            <w:vAlign w:val="bottom"/>
            <w:tcBorders>
              <w:bottom w:val="single" w:sz="8" w:color="CFF0FC"/>
            </w:tcBorders>
            <w:gridSpan w:val="2"/>
          </w:tcPr>
          <w:p>
            <w:pPr>
              <w:jc w:val="right"/>
              <w:ind w:right="20"/>
              <w:spacing w:after="0"/>
              <w:rPr>
                <w:sz w:val="20"/>
                <w:szCs w:val="20"/>
                <w:color w:val="auto"/>
              </w:rPr>
            </w:pPr>
            <w:r>
              <w:rPr>
                <w:rFonts w:ascii="Arial" w:cs="Arial" w:eastAsia="Arial" w:hAnsi="Arial"/>
                <w:sz w:val="18"/>
                <w:szCs w:val="18"/>
                <w:color w:val="auto"/>
              </w:rPr>
              <w:t>72%</w:t>
            </w:r>
          </w:p>
        </w:tc>
      </w:tr>
      <w:tr>
        <w:trPr>
          <w:trHeight w:val="210"/>
        </w:trPr>
        <w:tc>
          <w:tcPr>
            <w:tcW w:w="3580" w:type="dxa"/>
            <w:vAlign w:val="bottom"/>
            <w:gridSpan w:val="2"/>
            <w:shd w:val="clear" w:color="auto" w:fill="CFF0FC"/>
          </w:tcPr>
          <w:p>
            <w:pPr>
              <w:ind w:left="740"/>
              <w:spacing w:after="0"/>
              <w:rPr>
                <w:sz w:val="20"/>
                <w:szCs w:val="20"/>
                <w:color w:val="auto"/>
              </w:rPr>
            </w:pPr>
            <w:r>
              <w:rPr>
                <w:rFonts w:ascii="Arial" w:cs="Arial" w:eastAsia="Arial" w:hAnsi="Arial"/>
                <w:sz w:val="18"/>
                <w:szCs w:val="18"/>
                <w:color w:val="auto"/>
              </w:rPr>
              <w:t>Gross profit</w:t>
            </w:r>
          </w:p>
        </w:tc>
        <w:tc>
          <w:tcPr>
            <w:tcW w:w="12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1,052</w:t>
            </w:r>
          </w:p>
        </w:tc>
        <w:tc>
          <w:tcPr>
            <w:tcW w:w="2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(4,764)</w:t>
            </w: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5,816</w:t>
            </w: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122%</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1,341</w:t>
            </w: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(8,328)</w:t>
            </w: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9,669</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116%</w:t>
            </w:r>
          </w:p>
        </w:tc>
      </w:tr>
      <w:tr>
        <w:trPr>
          <w:trHeight w:val="230"/>
        </w:trPr>
        <w:tc>
          <w:tcPr>
            <w:tcW w:w="3580" w:type="dxa"/>
            <w:vAlign w:val="bottom"/>
            <w:gridSpan w:val="2"/>
          </w:tcPr>
          <w:p>
            <w:pPr>
              <w:ind w:left="740"/>
              <w:spacing w:after="0"/>
              <w:rPr>
                <w:sz w:val="20"/>
                <w:szCs w:val="20"/>
                <w:color w:val="auto"/>
              </w:rPr>
            </w:pPr>
            <w:r>
              <w:rPr>
                <w:rFonts w:ascii="Arial" w:cs="Arial" w:eastAsia="Arial" w:hAnsi="Arial"/>
                <w:sz w:val="18"/>
                <w:szCs w:val="18"/>
                <w:color w:val="auto"/>
              </w:rPr>
              <w:t>Gross margin</w:t>
            </w:r>
          </w:p>
        </w:tc>
        <w:tc>
          <w:tcPr>
            <w:tcW w:w="1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i w:val="1"/>
                <w:iCs w:val="1"/>
                <w:color w:val="auto"/>
              </w:rPr>
              <w:t>4.2</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i w:val="1"/>
                <w:iCs w:val="1"/>
                <w:color w:val="auto"/>
              </w:rPr>
              <w:t xml:space="preserve">(40.6) </w:t>
            </w: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i w:val="1"/>
                <w:iCs w:val="1"/>
                <w:color w:val="auto"/>
              </w:rPr>
              <w:t>2.8</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i w:val="1"/>
                <w:iCs w:val="1"/>
                <w:color w:val="auto"/>
              </w:rPr>
              <w:t xml:space="preserve">(44.0) </w:t>
            </w: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80" w:type="dxa"/>
            <w:vAlign w:val="bottom"/>
          </w:tcPr>
          <w:p>
            <w:pPr>
              <w:spacing w:after="0"/>
              <w:rPr>
                <w:sz w:val="20"/>
                <w:szCs w:val="20"/>
                <w:color w:val="auto"/>
              </w:rPr>
            </w:pPr>
          </w:p>
        </w:tc>
      </w:tr>
    </w:tbl>
    <w:p>
      <w:pPr>
        <w:spacing w:after="0" w:line="93" w:lineRule="exact"/>
        <w:rPr>
          <w:sz w:val="20"/>
          <w:szCs w:val="20"/>
          <w:color w:val="auto"/>
        </w:rPr>
      </w:pPr>
    </w:p>
    <w:p>
      <w:pPr>
        <w:ind w:right="60" w:firstLine="427"/>
        <w:spacing w:after="0" w:line="286" w:lineRule="auto"/>
        <w:rPr>
          <w:sz w:val="20"/>
          <w:szCs w:val="20"/>
          <w:color w:val="auto"/>
        </w:rPr>
      </w:pPr>
      <w:r>
        <w:rPr>
          <w:rFonts w:ascii="Arial" w:cs="Arial" w:eastAsia="Arial" w:hAnsi="Arial"/>
          <w:sz w:val="17"/>
          <w:szCs w:val="17"/>
          <w:color w:val="auto"/>
        </w:rPr>
        <w:t>Cost of product revenue increased by $6.8 million, or 44% for the three months ended June 30, 2021 as compared to the three months ended June 30, 2020. This increase was primarily due to higher console and consumable volume of $12.8 million and higher depreciation expense for leased consoles of $0.2 million. This was offset by a $5.9 million reduction in product costs and a $0.4 million decrease in manufacturing overhead.</w:t>
      </w:r>
    </w:p>
    <w:p>
      <w:pPr>
        <w:spacing w:after="0" w:line="57" w:lineRule="exact"/>
        <w:rPr>
          <w:sz w:val="20"/>
          <w:szCs w:val="20"/>
          <w:color w:val="auto"/>
        </w:rPr>
      </w:pPr>
    </w:p>
    <w:p>
      <w:pPr>
        <w:ind w:right="120" w:firstLine="427"/>
        <w:spacing w:after="0" w:line="286" w:lineRule="auto"/>
        <w:rPr>
          <w:sz w:val="20"/>
          <w:szCs w:val="20"/>
          <w:color w:val="auto"/>
        </w:rPr>
      </w:pPr>
      <w:r>
        <w:rPr>
          <w:rFonts w:ascii="Arial" w:cs="Arial" w:eastAsia="Arial" w:hAnsi="Arial"/>
          <w:sz w:val="17"/>
          <w:szCs w:val="17"/>
          <w:color w:val="auto"/>
        </w:rPr>
        <w:t>Cost of product revenue increased by $17.8 million, or 72% for the six months ended June 30, 2021 as compared to the six months ended June 30, 2020. This increase was primarily due to higher console and consumable volume of $27.8 million, higher depreciation expense for leased consoles of $0.4 million and higher manufacturing overhead of $0.1 million. This was offset by a $10.6 million reduction in product costs.</w:t>
      </w:r>
    </w:p>
    <w:p>
      <w:pPr>
        <w:spacing w:after="0" w:line="57" w:lineRule="exact"/>
        <w:rPr>
          <w:sz w:val="20"/>
          <w:szCs w:val="20"/>
          <w:color w:val="auto"/>
        </w:rPr>
      </w:pPr>
    </w:p>
    <w:p>
      <w:pPr>
        <w:ind w:right="20" w:firstLine="427"/>
        <w:spacing w:after="0" w:line="263" w:lineRule="auto"/>
        <w:rPr>
          <w:sz w:val="20"/>
          <w:szCs w:val="20"/>
          <w:color w:val="auto"/>
        </w:rPr>
      </w:pPr>
      <w:r>
        <w:rPr>
          <w:rFonts w:ascii="Arial" w:cs="Arial" w:eastAsia="Arial" w:hAnsi="Arial"/>
          <w:sz w:val="18"/>
          <w:szCs w:val="18"/>
          <w:color w:val="auto"/>
        </w:rPr>
        <w:t>Cost of service and other revenue increased by $0.9 million, or 72% for the three months ended June 30, 2021 as compared to the three months ended June 30, 2020. This increase was primarily due to additional headcount costs in our service department, which were absorbed across our larger installed base.</w:t>
      </w:r>
    </w:p>
    <w:p>
      <w:pPr>
        <w:spacing w:after="0" w:line="76" w:lineRule="exact"/>
        <w:rPr>
          <w:sz w:val="20"/>
          <w:szCs w:val="20"/>
          <w:color w:val="auto"/>
        </w:rPr>
      </w:pPr>
    </w:p>
    <w:p>
      <w:pPr>
        <w:ind w:right="180" w:firstLine="427"/>
        <w:spacing w:after="0" w:line="263" w:lineRule="auto"/>
        <w:rPr>
          <w:sz w:val="20"/>
          <w:szCs w:val="20"/>
          <w:color w:val="auto"/>
        </w:rPr>
      </w:pPr>
      <w:r>
        <w:rPr>
          <w:rFonts w:ascii="Arial" w:cs="Arial" w:eastAsia="Arial" w:hAnsi="Arial"/>
          <w:sz w:val="18"/>
          <w:szCs w:val="18"/>
          <w:color w:val="auto"/>
        </w:rPr>
        <w:t>Cost of service and other revenue increased by $1.7 million, or 72% for the six months ended June 30, 2021 as compared to the three months ended June 30, 2020. This increase was primarily due to additional headcount costs in our service department, which were absorbed across our larger installed base.</w:t>
      </w:r>
    </w:p>
    <w:p>
      <w:pPr>
        <w:spacing w:after="0" w:line="76" w:lineRule="exact"/>
        <w:rPr>
          <w:sz w:val="20"/>
          <w:szCs w:val="20"/>
          <w:color w:val="auto"/>
        </w:rPr>
      </w:pPr>
    </w:p>
    <w:p>
      <w:pPr>
        <w:ind w:right="60" w:firstLine="427"/>
        <w:spacing w:after="0" w:line="263" w:lineRule="auto"/>
        <w:rPr>
          <w:sz w:val="20"/>
          <w:szCs w:val="20"/>
          <w:color w:val="auto"/>
        </w:rPr>
      </w:pPr>
      <w:r>
        <w:rPr>
          <w:rFonts w:ascii="Arial" w:cs="Arial" w:eastAsia="Arial" w:hAnsi="Arial"/>
          <w:sz w:val="18"/>
          <w:szCs w:val="18"/>
          <w:color w:val="auto"/>
        </w:rPr>
        <w:t>Gross profit increased by $5.8 million, or 122% for the three months ended June 30, 2021 as compared to the three months ended June 30, 2020. The gross margin percentage improved by 44.8 percentage points for the three months ended June 30, 2021, as compared to the three months ended June 30, 2020, driven primarily by the impact of our cost reduction activities.</w:t>
      </w:r>
    </w:p>
    <w:p>
      <w:pPr>
        <w:spacing w:after="0" w:line="76" w:lineRule="exact"/>
        <w:rPr>
          <w:sz w:val="20"/>
          <w:szCs w:val="20"/>
          <w:color w:val="auto"/>
        </w:rPr>
      </w:pPr>
    </w:p>
    <w:p>
      <w:pPr>
        <w:ind w:right="140" w:firstLine="427"/>
        <w:spacing w:after="0" w:line="263" w:lineRule="auto"/>
        <w:rPr>
          <w:sz w:val="20"/>
          <w:szCs w:val="20"/>
          <w:color w:val="auto"/>
        </w:rPr>
      </w:pPr>
      <w:r>
        <w:rPr>
          <w:rFonts w:ascii="Arial" w:cs="Arial" w:eastAsia="Arial" w:hAnsi="Arial"/>
          <w:sz w:val="18"/>
          <w:szCs w:val="18"/>
          <w:color w:val="auto"/>
        </w:rPr>
        <w:t>Gross profit increased by $9.7 million, or 116% for the six months ended June 30, 2021 as compared to the six months ended June 30, 2020. The gross margin percentage improved by 46.8 percentage points for the six months ended June 30, 2021, as compared to the six months ended June 30, 2020, driven primarily by the impact of our cost reduction activities.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230"/>
        </w:trPr>
        <w:tc>
          <w:tcPr>
            <w:tcW w:w="358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Operating Expenses</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319"/>
        </w:trPr>
        <w:tc>
          <w:tcPr>
            <w:tcW w:w="160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680" w:type="dxa"/>
            <w:vAlign w:val="bottom"/>
            <w:gridSpan w:val="5"/>
          </w:tcPr>
          <w:p>
            <w:pPr>
              <w:ind w:left="20"/>
              <w:spacing w:after="0"/>
              <w:rPr>
                <w:sz w:val="20"/>
                <w:szCs w:val="20"/>
                <w:color w:val="auto"/>
              </w:rPr>
            </w:pPr>
            <w:r>
              <w:rPr>
                <w:rFonts w:ascii="Arial" w:cs="Arial" w:eastAsia="Arial" w:hAnsi="Arial"/>
                <w:sz w:val="18"/>
                <w:szCs w:val="18"/>
                <w:b w:val="1"/>
                <w:bCs w:val="1"/>
                <w:color w:val="auto"/>
                <w:w w:val="92"/>
              </w:rPr>
              <w:t>Three Months Ended</w:t>
            </w: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gridSpan w:val="4"/>
          </w:tcPr>
          <w:p>
            <w:pPr>
              <w:jc w:val="right"/>
              <w:ind w:right="50"/>
              <w:spacing w:after="0"/>
              <w:rPr>
                <w:sz w:val="20"/>
                <w:szCs w:val="20"/>
                <w:color w:val="auto"/>
              </w:rPr>
            </w:pPr>
            <w:r>
              <w:rPr>
                <w:rFonts w:ascii="Arial" w:cs="Arial" w:eastAsia="Arial" w:hAnsi="Arial"/>
                <w:sz w:val="18"/>
                <w:szCs w:val="18"/>
                <w:b w:val="1"/>
                <w:bCs w:val="1"/>
                <w:color w:val="auto"/>
                <w:w w:val="90"/>
              </w:rPr>
              <w:t>Six Months Ended</w:t>
            </w: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34"/>
        </w:trPr>
        <w:tc>
          <w:tcPr>
            <w:tcW w:w="160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4"/>
          </w:tcPr>
          <w:p>
            <w:pPr>
              <w:jc w:val="right"/>
              <w:ind w:right="450"/>
              <w:spacing w:after="0"/>
              <w:rPr>
                <w:sz w:val="20"/>
                <w:szCs w:val="20"/>
                <w:color w:val="auto"/>
              </w:rPr>
            </w:pPr>
            <w:r>
              <w:rPr>
                <w:rFonts w:ascii="Arial" w:cs="Arial" w:eastAsia="Arial" w:hAnsi="Arial"/>
                <w:sz w:val="18"/>
                <w:szCs w:val="18"/>
                <w:b w:val="1"/>
                <w:bCs w:val="1"/>
                <w:color w:val="auto"/>
              </w:rPr>
              <w:t>June 30,</w:t>
            </w:r>
          </w:p>
        </w:tc>
        <w:tc>
          <w:tcPr>
            <w:tcW w:w="280" w:type="dxa"/>
            <w:vAlign w:val="bottom"/>
          </w:tcPr>
          <w:p>
            <w:pPr>
              <w:spacing w:after="0"/>
              <w:rPr>
                <w:sz w:val="20"/>
                <w:szCs w:val="20"/>
                <w:color w:val="auto"/>
              </w:rPr>
            </w:pPr>
          </w:p>
        </w:tc>
        <w:tc>
          <w:tcPr>
            <w:tcW w:w="1140" w:type="dxa"/>
            <w:vAlign w:val="bottom"/>
            <w:tcBorders>
              <w:bottom w:val="single" w:sz="8" w:color="auto"/>
            </w:tcBorders>
            <w:gridSpan w:val="3"/>
          </w:tcPr>
          <w:p>
            <w:pPr>
              <w:ind w:left="520"/>
              <w:spacing w:after="0"/>
              <w:rPr>
                <w:sz w:val="20"/>
                <w:szCs w:val="20"/>
                <w:color w:val="auto"/>
              </w:rPr>
            </w:pPr>
            <w:r>
              <w:rPr>
                <w:rFonts w:ascii="Arial" w:cs="Arial" w:eastAsia="Arial" w:hAnsi="Arial"/>
                <w:sz w:val="18"/>
                <w:szCs w:val="18"/>
                <w:b w:val="1"/>
                <w:bCs w:val="1"/>
                <w:color w:val="auto"/>
                <w:w w:val="90"/>
              </w:rPr>
              <w:t>Change</w:t>
            </w:r>
          </w:p>
        </w:tc>
        <w:tc>
          <w:tcPr>
            <w:tcW w:w="5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4"/>
          </w:tcPr>
          <w:p>
            <w:pPr>
              <w:jc w:val="right"/>
              <w:ind w:right="430"/>
              <w:spacing w:after="0"/>
              <w:rPr>
                <w:sz w:val="20"/>
                <w:szCs w:val="20"/>
                <w:color w:val="auto"/>
              </w:rPr>
            </w:pPr>
            <w:r>
              <w:rPr>
                <w:rFonts w:ascii="Arial" w:cs="Arial" w:eastAsia="Arial" w:hAnsi="Arial"/>
                <w:sz w:val="18"/>
                <w:szCs w:val="18"/>
                <w:b w:val="1"/>
                <w:bCs w:val="1"/>
                <w:color w:val="auto"/>
              </w:rPr>
              <w:t>June 30,</w:t>
            </w:r>
          </w:p>
        </w:tc>
        <w:tc>
          <w:tcPr>
            <w:tcW w:w="280" w:type="dxa"/>
            <w:vAlign w:val="bottom"/>
          </w:tcPr>
          <w:p>
            <w:pPr>
              <w:spacing w:after="0"/>
              <w:rPr>
                <w:sz w:val="20"/>
                <w:szCs w:val="20"/>
                <w:color w:val="auto"/>
              </w:rPr>
            </w:pPr>
          </w:p>
        </w:tc>
        <w:tc>
          <w:tcPr>
            <w:tcW w:w="1140" w:type="dxa"/>
            <w:vAlign w:val="bottom"/>
            <w:tcBorders>
              <w:bottom w:val="single" w:sz="8" w:color="auto"/>
            </w:tcBorders>
            <w:gridSpan w:val="3"/>
          </w:tcPr>
          <w:p>
            <w:pPr>
              <w:ind w:left="520"/>
              <w:spacing w:after="0"/>
              <w:rPr>
                <w:sz w:val="20"/>
                <w:szCs w:val="20"/>
                <w:color w:val="auto"/>
              </w:rPr>
            </w:pPr>
            <w:r>
              <w:rPr>
                <w:rFonts w:ascii="Arial" w:cs="Arial" w:eastAsia="Arial" w:hAnsi="Arial"/>
                <w:sz w:val="18"/>
                <w:szCs w:val="18"/>
                <w:b w:val="1"/>
                <w:bCs w:val="1"/>
                <w:color w:val="auto"/>
                <w:w w:val="90"/>
              </w:rPr>
              <w:t>Change</w:t>
            </w:r>
          </w:p>
        </w:tc>
        <w:tc>
          <w:tcPr>
            <w:tcW w:w="48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r>
      <w:tr>
        <w:trPr>
          <w:trHeight w:val="183"/>
        </w:trPr>
        <w:tc>
          <w:tcPr>
            <w:tcW w:w="3580" w:type="dxa"/>
            <w:vAlign w:val="bottom"/>
            <w:gridSpan w:val="2"/>
          </w:tcPr>
          <w:p>
            <w:pPr>
              <w:spacing w:after="0" w:line="182" w:lineRule="exact"/>
              <w:rPr>
                <w:sz w:val="20"/>
                <w:szCs w:val="20"/>
                <w:color w:val="auto"/>
              </w:rPr>
            </w:pPr>
            <w:r>
              <w:rPr>
                <w:rFonts w:ascii="Arial" w:cs="Arial" w:eastAsia="Arial" w:hAnsi="Arial"/>
                <w:sz w:val="18"/>
                <w:szCs w:val="18"/>
                <w:i w:val="1"/>
                <w:iCs w:val="1"/>
                <w:color w:val="auto"/>
              </w:rPr>
              <w:t>(dollars in thousands)</w:t>
            </w:r>
          </w:p>
        </w:tc>
        <w:tc>
          <w:tcPr>
            <w:tcW w:w="120" w:type="dxa"/>
            <w:vAlign w:val="bottom"/>
          </w:tcPr>
          <w:p>
            <w:pPr>
              <w:spacing w:after="0"/>
              <w:rPr>
                <w:sz w:val="15"/>
                <w:szCs w:val="15"/>
                <w:color w:val="auto"/>
              </w:rPr>
            </w:pPr>
          </w:p>
        </w:tc>
        <w:tc>
          <w:tcPr>
            <w:tcW w:w="580" w:type="dxa"/>
            <w:vAlign w:val="bottom"/>
          </w:tcPr>
          <w:p>
            <w:pPr>
              <w:jc w:val="right"/>
              <w:ind w:right="90"/>
              <w:spacing w:after="0" w:line="182" w:lineRule="exact"/>
              <w:rPr>
                <w:sz w:val="20"/>
                <w:szCs w:val="20"/>
                <w:color w:val="auto"/>
              </w:rPr>
            </w:pPr>
            <w:r>
              <w:rPr>
                <w:rFonts w:ascii="Arial" w:cs="Arial" w:eastAsia="Arial" w:hAnsi="Arial"/>
                <w:sz w:val="18"/>
                <w:szCs w:val="18"/>
                <w:b w:val="1"/>
                <w:bCs w:val="1"/>
                <w:color w:val="auto"/>
                <w:w w:val="94"/>
              </w:rPr>
              <w:t>2021</w:t>
            </w: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jc w:val="right"/>
              <w:ind w:right="90"/>
              <w:spacing w:after="0" w:line="182" w:lineRule="exact"/>
              <w:rPr>
                <w:sz w:val="20"/>
                <w:szCs w:val="20"/>
                <w:color w:val="auto"/>
              </w:rPr>
            </w:pPr>
            <w:r>
              <w:rPr>
                <w:rFonts w:ascii="Arial" w:cs="Arial" w:eastAsia="Arial" w:hAnsi="Arial"/>
                <w:sz w:val="18"/>
                <w:szCs w:val="18"/>
                <w:b w:val="1"/>
                <w:bCs w:val="1"/>
                <w:color w:val="auto"/>
                <w:w w:val="94"/>
              </w:rPr>
              <w:t>2020</w:t>
            </w:r>
          </w:p>
        </w:tc>
        <w:tc>
          <w:tcPr>
            <w:tcW w:w="280" w:type="dxa"/>
            <w:vAlign w:val="bottom"/>
          </w:tcPr>
          <w:p>
            <w:pPr>
              <w:spacing w:after="0"/>
              <w:rPr>
                <w:sz w:val="15"/>
                <w:szCs w:val="15"/>
                <w:color w:val="auto"/>
              </w:rPr>
            </w:pPr>
          </w:p>
        </w:tc>
        <w:tc>
          <w:tcPr>
            <w:tcW w:w="700" w:type="dxa"/>
            <w:vAlign w:val="bottom"/>
          </w:tcPr>
          <w:p>
            <w:pPr>
              <w:jc w:val="right"/>
              <w:ind w:right="210"/>
              <w:spacing w:after="0" w:line="182" w:lineRule="exact"/>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jc w:val="right"/>
              <w:ind w:right="190"/>
              <w:spacing w:after="0" w:line="182" w:lineRule="exact"/>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jc w:val="right"/>
              <w:ind w:right="90"/>
              <w:spacing w:after="0" w:line="182" w:lineRule="exact"/>
              <w:rPr>
                <w:sz w:val="20"/>
                <w:szCs w:val="20"/>
                <w:color w:val="auto"/>
              </w:rPr>
            </w:pPr>
            <w:r>
              <w:rPr>
                <w:rFonts w:ascii="Arial" w:cs="Arial" w:eastAsia="Arial" w:hAnsi="Arial"/>
                <w:sz w:val="18"/>
                <w:szCs w:val="18"/>
                <w:b w:val="1"/>
                <w:bCs w:val="1"/>
                <w:color w:val="auto"/>
                <w:w w:val="99"/>
              </w:rPr>
              <w:t>2021</w:t>
            </w: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jc w:val="right"/>
              <w:ind w:right="90"/>
              <w:spacing w:after="0" w:line="182" w:lineRule="exact"/>
              <w:rPr>
                <w:sz w:val="20"/>
                <w:szCs w:val="20"/>
                <w:color w:val="auto"/>
              </w:rPr>
            </w:pPr>
            <w:r>
              <w:rPr>
                <w:rFonts w:ascii="Arial" w:cs="Arial" w:eastAsia="Arial" w:hAnsi="Arial"/>
                <w:sz w:val="18"/>
                <w:szCs w:val="18"/>
                <w:b w:val="1"/>
                <w:bCs w:val="1"/>
                <w:color w:val="auto"/>
                <w:w w:val="94"/>
              </w:rPr>
              <w:t>2020</w:t>
            </w:r>
          </w:p>
        </w:tc>
        <w:tc>
          <w:tcPr>
            <w:tcW w:w="280" w:type="dxa"/>
            <w:vAlign w:val="bottom"/>
          </w:tcPr>
          <w:p>
            <w:pPr>
              <w:spacing w:after="0"/>
              <w:rPr>
                <w:sz w:val="15"/>
                <w:szCs w:val="15"/>
                <w:color w:val="auto"/>
              </w:rPr>
            </w:pPr>
          </w:p>
        </w:tc>
        <w:tc>
          <w:tcPr>
            <w:tcW w:w="700" w:type="dxa"/>
            <w:vAlign w:val="bottom"/>
          </w:tcPr>
          <w:p>
            <w:pPr>
              <w:jc w:val="right"/>
              <w:ind w:right="210"/>
              <w:spacing w:after="0" w:line="182" w:lineRule="exact"/>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80" w:type="dxa"/>
            <w:vAlign w:val="bottom"/>
          </w:tcPr>
          <w:p>
            <w:pPr>
              <w:jc w:val="right"/>
              <w:ind w:right="170"/>
              <w:spacing w:after="0" w:line="182" w:lineRule="exact"/>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5"/>
                <w:szCs w:val="15"/>
                <w:color w:val="auto"/>
              </w:rPr>
            </w:pPr>
          </w:p>
        </w:tc>
      </w:tr>
      <w:tr>
        <w:trPr>
          <w:trHeight w:val="21"/>
        </w:trPr>
        <w:tc>
          <w:tcPr>
            <w:tcW w:w="1600" w:type="dxa"/>
            <w:vAlign w:val="bottom"/>
            <w:tcBorders>
              <w:top w:val="single" w:sz="8" w:color="auto"/>
              <w:bottom w:val="single" w:sz="8" w:color="CFF0FC"/>
            </w:tcBorders>
          </w:tcPr>
          <w:p>
            <w:pPr>
              <w:spacing w:after="0" w:line="20" w:lineRule="exact"/>
              <w:rPr>
                <w:sz w:val="1"/>
                <w:szCs w:val="1"/>
                <w:color w:val="auto"/>
              </w:rPr>
            </w:pPr>
          </w:p>
        </w:tc>
        <w:tc>
          <w:tcPr>
            <w:tcW w:w="1980" w:type="dxa"/>
            <w:vAlign w:val="bottom"/>
            <w:tcBorders>
              <w:bottom w:val="single" w:sz="8" w:color="CFF0FC"/>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FF0FC"/>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FF0FC"/>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FF0FC"/>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FF0FC"/>
            </w:tcBorders>
          </w:tcPr>
          <w:p>
            <w:pPr>
              <w:spacing w:after="0" w:line="20" w:lineRule="exact"/>
              <w:rPr>
                <w:sz w:val="1"/>
                <w:szCs w:val="1"/>
                <w:color w:val="auto"/>
              </w:rPr>
            </w:pPr>
          </w:p>
        </w:tc>
        <w:tc>
          <w:tcPr>
            <w:tcW w:w="80" w:type="dxa"/>
            <w:vAlign w:val="bottom"/>
            <w:tcBorders>
              <w:bottom w:val="single" w:sz="8" w:color="CFF0FC"/>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FF0FC"/>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FF0FC"/>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FF0FC"/>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FF0FC"/>
            </w:tcBorders>
          </w:tcPr>
          <w:p>
            <w:pPr>
              <w:spacing w:after="0" w:line="20" w:lineRule="exact"/>
              <w:rPr>
                <w:sz w:val="1"/>
                <w:szCs w:val="1"/>
                <w:color w:val="auto"/>
              </w:rPr>
            </w:pPr>
          </w:p>
        </w:tc>
      </w:tr>
      <w:tr>
        <w:trPr>
          <w:trHeight w:val="223"/>
        </w:trPr>
        <w:tc>
          <w:tcPr>
            <w:tcW w:w="35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1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r>
      <w:tr>
        <w:trPr>
          <w:trHeight w:val="229"/>
        </w:trPr>
        <w:tc>
          <w:tcPr>
            <w:tcW w:w="3580" w:type="dxa"/>
            <w:vAlign w:val="bottom"/>
            <w:gridSpan w:val="2"/>
          </w:tcPr>
          <w:p>
            <w:pPr>
              <w:ind w:left="260"/>
              <w:spacing w:after="0"/>
              <w:rPr>
                <w:sz w:val="20"/>
                <w:szCs w:val="20"/>
                <w:color w:val="auto"/>
              </w:rPr>
            </w:pPr>
            <w:r>
              <w:rPr>
                <w:rFonts w:ascii="Arial" w:cs="Arial" w:eastAsia="Arial" w:hAnsi="Arial"/>
                <w:sz w:val="18"/>
                <w:szCs w:val="18"/>
                <w:color w:val="auto"/>
              </w:rPr>
              <w:t>Research and development</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8,032</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6,053</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  1,979</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33%</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15,602</w:t>
            </w:r>
          </w:p>
        </w:tc>
        <w:tc>
          <w:tcPr>
            <w:tcW w:w="2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8"/>
              </w:rPr>
              <w:t>11,891</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  3,711</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31%</w:t>
            </w:r>
          </w:p>
        </w:tc>
      </w:tr>
      <w:tr>
        <w:trPr>
          <w:trHeight w:val="229"/>
        </w:trPr>
        <w:tc>
          <w:tcPr>
            <w:tcW w:w="35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Sales and marketing</w:t>
            </w:r>
          </w:p>
        </w:tc>
        <w:tc>
          <w:tcPr>
            <w:tcW w:w="12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13,204</w:t>
            </w:r>
          </w:p>
        </w:tc>
        <w:tc>
          <w:tcPr>
            <w:tcW w:w="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9,244</w:t>
            </w: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3,960</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43%</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26,353</w:t>
            </w:r>
          </w:p>
        </w:tc>
        <w:tc>
          <w:tcPr>
            <w:tcW w:w="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16,526</w:t>
            </w: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9,827</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59%</w:t>
            </w:r>
          </w:p>
        </w:tc>
      </w:tr>
      <w:tr>
        <w:trPr>
          <w:trHeight w:val="230"/>
        </w:trPr>
        <w:tc>
          <w:tcPr>
            <w:tcW w:w="3580" w:type="dxa"/>
            <w:vAlign w:val="bottom"/>
            <w:tcBorders>
              <w:bottom w:val="single" w:sz="8" w:color="CFF0FC"/>
            </w:tcBorders>
            <w:gridSpan w:val="2"/>
          </w:tcPr>
          <w:p>
            <w:pPr>
              <w:ind w:left="260"/>
              <w:spacing w:after="0"/>
              <w:rPr>
                <w:sz w:val="20"/>
                <w:szCs w:val="20"/>
                <w:color w:val="auto"/>
              </w:rPr>
            </w:pPr>
            <w:r>
              <w:rPr>
                <w:rFonts w:ascii="Arial" w:cs="Arial" w:eastAsia="Arial" w:hAnsi="Arial"/>
                <w:sz w:val="18"/>
                <w:szCs w:val="18"/>
                <w:color w:val="auto"/>
              </w:rPr>
              <w:t>General and administrative</w:t>
            </w:r>
          </w:p>
        </w:tc>
        <w:tc>
          <w:tcPr>
            <w:tcW w:w="1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9,722</w:t>
            </w:r>
          </w:p>
        </w:tc>
        <w:tc>
          <w:tcPr>
            <w:tcW w:w="28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4,848</w:t>
            </w:r>
          </w:p>
        </w:tc>
        <w:tc>
          <w:tcPr>
            <w:tcW w:w="980" w:type="dxa"/>
            <w:vAlign w:val="bottom"/>
            <w:tcBorders>
              <w:bottom w:val="single" w:sz="8" w:color="CFF0FC"/>
            </w:tcBorders>
            <w:gridSpan w:val="2"/>
          </w:tcPr>
          <w:p>
            <w:pPr>
              <w:jc w:val="right"/>
              <w:spacing w:after="0"/>
              <w:rPr>
                <w:sz w:val="20"/>
                <w:szCs w:val="20"/>
                <w:color w:val="auto"/>
              </w:rPr>
            </w:pPr>
            <w:r>
              <w:rPr>
                <w:rFonts w:ascii="Arial" w:cs="Arial" w:eastAsia="Arial" w:hAnsi="Arial"/>
                <w:sz w:val="18"/>
                <w:szCs w:val="18"/>
                <w:color w:val="auto"/>
              </w:rPr>
              <w:t>4,874</w:t>
            </w:r>
          </w:p>
        </w:tc>
        <w:tc>
          <w:tcPr>
            <w:tcW w:w="240" w:type="dxa"/>
            <w:vAlign w:val="bottom"/>
            <w:tcBorders>
              <w:bottom w:val="single" w:sz="8" w:color="CFF0FC"/>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720" w:type="dxa"/>
            <w:vAlign w:val="bottom"/>
            <w:tcBorders>
              <w:bottom w:val="single" w:sz="8" w:color="CFF0FC"/>
            </w:tcBorders>
            <w:gridSpan w:val="2"/>
          </w:tcPr>
          <w:p>
            <w:pPr>
              <w:jc w:val="right"/>
              <w:ind w:right="80"/>
              <w:spacing w:after="0"/>
              <w:rPr>
                <w:sz w:val="20"/>
                <w:szCs w:val="20"/>
                <w:color w:val="auto"/>
              </w:rPr>
            </w:pPr>
            <w:r>
              <w:rPr>
                <w:rFonts w:ascii="Arial" w:cs="Arial" w:eastAsia="Arial" w:hAnsi="Arial"/>
                <w:sz w:val="18"/>
                <w:szCs w:val="18"/>
                <w:color w:val="auto"/>
              </w:rPr>
              <w:t>101%</w:t>
            </w:r>
          </w:p>
        </w:tc>
        <w:tc>
          <w:tcPr>
            <w:tcW w:w="8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18,968</w:t>
            </w:r>
          </w:p>
        </w:tc>
        <w:tc>
          <w:tcPr>
            <w:tcW w:w="28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8,374</w:t>
            </w:r>
          </w:p>
        </w:tc>
        <w:tc>
          <w:tcPr>
            <w:tcW w:w="980" w:type="dxa"/>
            <w:vAlign w:val="bottom"/>
            <w:tcBorders>
              <w:bottom w:val="single" w:sz="8" w:color="CFF0FC"/>
            </w:tcBorders>
            <w:gridSpan w:val="2"/>
          </w:tcPr>
          <w:p>
            <w:pPr>
              <w:jc w:val="right"/>
              <w:spacing w:after="0"/>
              <w:rPr>
                <w:sz w:val="20"/>
                <w:szCs w:val="20"/>
                <w:color w:val="auto"/>
              </w:rPr>
            </w:pPr>
            <w:r>
              <w:rPr>
                <w:rFonts w:ascii="Arial" w:cs="Arial" w:eastAsia="Arial" w:hAnsi="Arial"/>
                <w:sz w:val="18"/>
                <w:szCs w:val="18"/>
                <w:color w:val="auto"/>
              </w:rPr>
              <w:t>10,594</w:t>
            </w:r>
          </w:p>
        </w:tc>
        <w:tc>
          <w:tcPr>
            <w:tcW w:w="220" w:type="dxa"/>
            <w:vAlign w:val="bottom"/>
            <w:tcBorders>
              <w:bottom w:val="single" w:sz="8" w:color="CFF0FC"/>
            </w:tcBorders>
          </w:tcPr>
          <w:p>
            <w:pPr>
              <w:spacing w:after="0"/>
              <w:rPr>
                <w:sz w:val="19"/>
                <w:szCs w:val="19"/>
                <w:color w:val="auto"/>
              </w:rPr>
            </w:pPr>
          </w:p>
        </w:tc>
        <w:tc>
          <w:tcPr>
            <w:tcW w:w="220" w:type="dxa"/>
            <w:vAlign w:val="bottom"/>
            <w:tcBorders>
              <w:bottom w:val="single" w:sz="8" w:color="CFF0FC"/>
            </w:tcBorders>
          </w:tcPr>
          <w:p>
            <w:pPr>
              <w:spacing w:after="0"/>
              <w:rPr>
                <w:sz w:val="19"/>
                <w:szCs w:val="19"/>
                <w:color w:val="auto"/>
              </w:rPr>
            </w:pPr>
          </w:p>
        </w:tc>
        <w:tc>
          <w:tcPr>
            <w:tcW w:w="660" w:type="dxa"/>
            <w:vAlign w:val="bottom"/>
            <w:tcBorders>
              <w:bottom w:val="single" w:sz="8" w:color="CFF0FC"/>
            </w:tcBorders>
            <w:gridSpan w:val="2"/>
          </w:tcPr>
          <w:p>
            <w:pPr>
              <w:jc w:val="right"/>
              <w:ind w:right="20"/>
              <w:spacing w:after="0"/>
              <w:rPr>
                <w:sz w:val="20"/>
                <w:szCs w:val="20"/>
                <w:color w:val="auto"/>
              </w:rPr>
            </w:pPr>
            <w:r>
              <w:rPr>
                <w:rFonts w:ascii="Arial" w:cs="Arial" w:eastAsia="Arial" w:hAnsi="Arial"/>
                <w:sz w:val="18"/>
                <w:szCs w:val="18"/>
                <w:color w:val="auto"/>
              </w:rPr>
              <w:t>127%</w:t>
            </w:r>
          </w:p>
        </w:tc>
      </w:tr>
      <w:tr>
        <w:trPr>
          <w:trHeight w:val="223"/>
        </w:trPr>
        <w:tc>
          <w:tcPr>
            <w:tcW w:w="3580" w:type="dxa"/>
            <w:vAlign w:val="bottom"/>
            <w:tcBorders>
              <w:bottom w:val="single" w:sz="8" w:color="CFF0FC"/>
            </w:tcBorders>
            <w:gridSpan w:val="2"/>
            <w:shd w:val="clear" w:color="auto" w:fill="CFF0FC"/>
          </w:tcPr>
          <w:p>
            <w:pPr>
              <w:ind w:left="500"/>
              <w:spacing w:after="0"/>
              <w:rPr>
                <w:sz w:val="20"/>
                <w:szCs w:val="20"/>
                <w:color w:val="auto"/>
              </w:rPr>
            </w:pPr>
            <w:r>
              <w:rPr>
                <w:rFonts w:ascii="Arial" w:cs="Arial" w:eastAsia="Arial" w:hAnsi="Arial"/>
                <w:sz w:val="18"/>
                <w:szCs w:val="18"/>
                <w:color w:val="auto"/>
              </w:rPr>
              <w:t>Total operating expenses</w:t>
            </w:r>
          </w:p>
        </w:tc>
        <w:tc>
          <w:tcPr>
            <w:tcW w:w="12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30,958</w:t>
            </w:r>
          </w:p>
        </w:tc>
        <w:tc>
          <w:tcPr>
            <w:tcW w:w="2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20,145</w:t>
            </w:r>
          </w:p>
        </w:tc>
        <w:tc>
          <w:tcPr>
            <w:tcW w:w="98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10,813</w:t>
            </w:r>
          </w:p>
        </w:tc>
        <w:tc>
          <w:tcPr>
            <w:tcW w:w="24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720" w:type="dxa"/>
            <w:vAlign w:val="bottom"/>
            <w:tcBorders>
              <w:bottom w:val="single" w:sz="8" w:color="CFF0FC"/>
            </w:tcBorders>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54%</w:t>
            </w:r>
          </w:p>
        </w:tc>
        <w:tc>
          <w:tcPr>
            <w:tcW w:w="8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60,923</w:t>
            </w:r>
          </w:p>
        </w:tc>
        <w:tc>
          <w:tcPr>
            <w:tcW w:w="2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36,791</w:t>
            </w:r>
          </w:p>
        </w:tc>
        <w:tc>
          <w:tcPr>
            <w:tcW w:w="98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24,132</w:t>
            </w:r>
          </w:p>
        </w:tc>
        <w:tc>
          <w:tcPr>
            <w:tcW w:w="2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660" w:type="dxa"/>
            <w:vAlign w:val="bottom"/>
            <w:tcBorders>
              <w:bottom w:val="single" w:sz="8" w:color="CFF0FC"/>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66%</w:t>
            </w:r>
          </w:p>
        </w:tc>
      </w:tr>
      <w:tr>
        <w:trPr>
          <w:trHeight w:val="20"/>
        </w:trPr>
        <w:tc>
          <w:tcPr>
            <w:tcW w:w="16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94" w:lineRule="exact"/>
        <w:rPr>
          <w:sz w:val="20"/>
          <w:szCs w:val="20"/>
          <w:color w:val="auto"/>
        </w:rPr>
      </w:pPr>
    </w:p>
    <w:p>
      <w:pPr>
        <w:ind w:right="280" w:firstLine="427"/>
        <w:spacing w:after="0" w:line="263" w:lineRule="auto"/>
        <w:rPr>
          <w:sz w:val="20"/>
          <w:szCs w:val="20"/>
          <w:color w:val="auto"/>
        </w:rPr>
      </w:pPr>
      <w:r>
        <w:rPr>
          <w:rFonts w:ascii="Arial" w:cs="Arial" w:eastAsia="Arial" w:hAnsi="Arial"/>
          <w:sz w:val="18"/>
          <w:szCs w:val="18"/>
          <w:color w:val="auto"/>
        </w:rPr>
        <w:t>Research and development expenses increased by $2.0 million, or 33% for the three months ended June 30, 2021 as compared to the three months ended June 30, 2020. The increase was primarily due to a $1.1 million increase in compensation and personnel costs, which includes a $0.5 million increase in stock-based compensation expense, and a $0.8 million increase in consultant services.</w:t>
      </w:r>
    </w:p>
    <w:p>
      <w:pPr>
        <w:spacing w:after="0" w:line="76" w:lineRule="exact"/>
        <w:rPr>
          <w:sz w:val="20"/>
          <w:szCs w:val="20"/>
          <w:color w:val="auto"/>
        </w:rPr>
      </w:pPr>
    </w:p>
    <w:p>
      <w:pPr>
        <w:ind w:right="100" w:firstLine="427"/>
        <w:spacing w:after="0" w:line="259" w:lineRule="auto"/>
        <w:rPr>
          <w:sz w:val="20"/>
          <w:szCs w:val="20"/>
          <w:color w:val="auto"/>
        </w:rPr>
      </w:pPr>
      <w:r>
        <w:rPr>
          <w:rFonts w:ascii="Arial" w:cs="Arial" w:eastAsia="Arial" w:hAnsi="Arial"/>
          <w:sz w:val="18"/>
          <w:szCs w:val="18"/>
          <w:color w:val="auto"/>
        </w:rPr>
        <w:t>Research and development expenses increased by $3.7 million, or 31% for the six months ended June 30, 2021 as compared to the six months ended June 30, 2020. The increase was primarily due to a $3.2 million increase in compensation and personnel costs, which includes a $1.6 million increase in stock-based compensation expense, and a $0.8 million increase in consultant services. The increases were partially offset by a $0.4 million decrease in supplies and materials.</w:t>
      </w:r>
    </w:p>
    <w:p>
      <w:pPr>
        <w:spacing w:after="0" w:line="79" w:lineRule="exact"/>
        <w:rPr>
          <w:sz w:val="20"/>
          <w:szCs w:val="20"/>
          <w:color w:val="auto"/>
        </w:rPr>
      </w:pPr>
    </w:p>
    <w:p>
      <w:pPr>
        <w:ind w:firstLine="427"/>
        <w:spacing w:after="0" w:line="279" w:lineRule="auto"/>
        <w:rPr>
          <w:sz w:val="20"/>
          <w:szCs w:val="20"/>
          <w:color w:val="auto"/>
        </w:rPr>
      </w:pPr>
      <w:r>
        <w:rPr>
          <w:rFonts w:ascii="Arial" w:cs="Arial" w:eastAsia="Arial" w:hAnsi="Arial"/>
          <w:sz w:val="17"/>
          <w:szCs w:val="17"/>
          <w:color w:val="auto"/>
        </w:rPr>
        <w:t>Sales and marketing expenses increased by $4.0 million, or 43% for the three months ended June 30, 2021 as compared to the three months ended June 30, 2020. The increase was primarily due to a $2.3 million increase in compensation and personnel costs, which includes a $1.0 million increase in stock-based compensation expense, a $0.9 million increase in clinical sales consultant services, a $0.5 million increase in travel expenses and a $0.2 million increase in allocated costs for facilities and information technology to support the general expansion of our operations.</w:t>
      </w:r>
    </w:p>
    <w:p>
      <w:pPr>
        <w:spacing w:after="0" w:line="63" w:lineRule="exact"/>
        <w:rPr>
          <w:sz w:val="20"/>
          <w:szCs w:val="20"/>
          <w:color w:val="auto"/>
        </w:rPr>
      </w:pPr>
    </w:p>
    <w:p>
      <w:pPr>
        <w:ind w:right="20" w:firstLine="427"/>
        <w:spacing w:after="0" w:line="301" w:lineRule="auto"/>
        <w:rPr>
          <w:sz w:val="20"/>
          <w:szCs w:val="20"/>
          <w:color w:val="auto"/>
        </w:rPr>
      </w:pPr>
      <w:r>
        <w:rPr>
          <w:rFonts w:ascii="Arial" w:cs="Arial" w:eastAsia="Arial" w:hAnsi="Arial"/>
          <w:sz w:val="16"/>
          <w:szCs w:val="16"/>
          <w:color w:val="auto"/>
        </w:rPr>
        <w:t>Sales and marketing expenses increased by $9.8 million, or 59% for the six months ended June 30, 2021 as compared to the six months ended June 30, 2020. The increase was primarily due to a $6.9 million increase in compensation and personnel costs, which includes a $2.6 million increase in stock-based compensation expense, a $2.0 million increase in clinical sales consultant services, a $0.4 million increase in allocated costs for facilities and information technology to support the general expansion of our operations, a $0.2 million in travel expenses and a $0.2 million increase in freight expenses.</w:t>
      </w:r>
    </w:p>
    <w:p>
      <w:pPr>
        <w:spacing w:after="0" w:line="49" w:lineRule="exact"/>
        <w:rPr>
          <w:sz w:val="20"/>
          <w:szCs w:val="20"/>
          <w:color w:val="auto"/>
        </w:rPr>
      </w:pPr>
    </w:p>
    <w:p>
      <w:pPr>
        <w:ind w:right="60" w:firstLine="427"/>
        <w:spacing w:after="0" w:line="257" w:lineRule="auto"/>
        <w:rPr>
          <w:sz w:val="20"/>
          <w:szCs w:val="20"/>
          <w:color w:val="auto"/>
        </w:rPr>
      </w:pPr>
      <w:r>
        <w:rPr>
          <w:rFonts w:ascii="Arial" w:cs="Arial" w:eastAsia="Arial" w:hAnsi="Arial"/>
          <w:sz w:val="18"/>
          <w:szCs w:val="18"/>
          <w:color w:val="auto"/>
        </w:rPr>
        <w:t>General and administrative expenses increased by $4.9 million, or 101% for the three months ended June 30, 2021 as compared to the three months ended June 30, 2020. The increase was primarily due to a $3.1 million increase in compensation and personnel costs, which includes a $1.8 million increase in stock-based compensation expense, a $0.9 million increase in insurance costs, a $0.6 million increase in outside services costs, and a $0.4 million increase in allocated costs for facilities and information technology to support the general expansion of our operations. The increases were partially offset by a $0.1 million decrease in professional and consultant services.</w:t>
      </w:r>
    </w:p>
    <w:p>
      <w:pPr>
        <w:spacing w:after="0" w:line="80" w:lineRule="exact"/>
        <w:rPr>
          <w:sz w:val="20"/>
          <w:szCs w:val="20"/>
          <w:color w:val="auto"/>
        </w:rPr>
      </w:pPr>
    </w:p>
    <w:p>
      <w:pPr>
        <w:ind w:right="160" w:firstLine="427"/>
        <w:spacing w:after="0" w:line="296" w:lineRule="auto"/>
        <w:rPr>
          <w:sz w:val="20"/>
          <w:szCs w:val="20"/>
          <w:color w:val="auto"/>
        </w:rPr>
      </w:pPr>
      <w:r>
        <w:rPr>
          <w:rFonts w:ascii="Arial" w:cs="Arial" w:eastAsia="Arial" w:hAnsi="Arial"/>
          <w:sz w:val="16"/>
          <w:szCs w:val="16"/>
          <w:color w:val="auto"/>
        </w:rPr>
        <w:t>General and administrative expenses increased by $10.6 million, or 127% for the six months ended June 30, 2021 as compared to the six months ended June 30, 2020. The increase was primarily due to a $6.6 million increase in compensation and personnel costs, which includes a $4.3 million increase in stock-based compensation expense, a $1.8 million increase in insurance costs, a $1.2 million increase in allocated costs for facilities and information technology to support the general expansion of our operations, a $0.6 million increase in outside services costs, and a $0.5 million increase in professional and consultant services. The increases were partially offset by a $0.1 million decrease in depreciation expense.</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230"/>
        </w:trPr>
        <w:tc>
          <w:tcPr>
            <w:tcW w:w="346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Other Income (Expense), Net</w:t>
            </w:r>
          </w:p>
        </w:tc>
        <w:tc>
          <w:tcPr>
            <w:tcW w:w="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3"/>
        </w:trPr>
        <w:tc>
          <w:tcPr>
            <w:tcW w:w="16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980" w:type="dxa"/>
            <w:vAlign w:val="bottom"/>
            <w:gridSpan w:val="7"/>
          </w:tcPr>
          <w:p>
            <w:pPr>
              <w:ind w:left="20"/>
              <w:spacing w:after="0"/>
              <w:rPr>
                <w:sz w:val="20"/>
                <w:szCs w:val="20"/>
                <w:color w:val="auto"/>
              </w:rPr>
            </w:pPr>
            <w:r>
              <w:rPr>
                <w:rFonts w:ascii="Arial" w:cs="Arial" w:eastAsia="Arial" w:hAnsi="Arial"/>
                <w:sz w:val="18"/>
                <w:szCs w:val="18"/>
                <w:b w:val="1"/>
                <w:bCs w:val="1"/>
                <w:color w:val="auto"/>
              </w:rPr>
              <w:t>Three Months Ended</w:t>
            </w: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60" w:type="dxa"/>
            <w:vAlign w:val="bottom"/>
            <w:gridSpan w:val="5"/>
          </w:tcPr>
          <w:p>
            <w:pPr>
              <w:jc w:val="right"/>
              <w:ind w:right="241"/>
              <w:spacing w:after="0"/>
              <w:rPr>
                <w:sz w:val="20"/>
                <w:szCs w:val="20"/>
                <w:color w:val="auto"/>
              </w:rPr>
            </w:pPr>
            <w:r>
              <w:rPr>
                <w:rFonts w:ascii="Arial" w:cs="Arial" w:eastAsia="Arial" w:hAnsi="Arial"/>
                <w:sz w:val="18"/>
                <w:szCs w:val="18"/>
                <w:b w:val="1"/>
                <w:bCs w:val="1"/>
                <w:color w:val="auto"/>
                <w:w w:val="90"/>
              </w:rPr>
              <w:t>Six Months Ended</w:t>
            </w: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60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40" w:type="dxa"/>
            <w:vAlign w:val="bottom"/>
            <w:gridSpan w:val="6"/>
          </w:tcPr>
          <w:p>
            <w:pPr>
              <w:jc w:val="right"/>
              <w:ind w:right="741"/>
              <w:spacing w:after="0"/>
              <w:rPr>
                <w:sz w:val="20"/>
                <w:szCs w:val="20"/>
                <w:color w:val="auto"/>
              </w:rPr>
            </w:pPr>
            <w:r>
              <w:rPr>
                <w:rFonts w:ascii="Arial" w:cs="Arial" w:eastAsia="Arial" w:hAnsi="Arial"/>
                <w:sz w:val="18"/>
                <w:szCs w:val="18"/>
                <w:b w:val="1"/>
                <w:bCs w:val="1"/>
                <w:color w:val="auto"/>
              </w:rPr>
              <w:t>June 30,</w:t>
            </w:r>
          </w:p>
        </w:tc>
        <w:tc>
          <w:tcPr>
            <w:tcW w:w="180" w:type="dxa"/>
            <w:vAlign w:val="bottom"/>
          </w:tcPr>
          <w:p>
            <w:pPr>
              <w:spacing w:after="0"/>
              <w:rPr>
                <w:sz w:val="20"/>
                <w:szCs w:val="20"/>
                <w:color w:val="auto"/>
              </w:rPr>
            </w:pPr>
          </w:p>
        </w:tc>
        <w:tc>
          <w:tcPr>
            <w:tcW w:w="960" w:type="dxa"/>
            <w:vAlign w:val="bottom"/>
            <w:gridSpan w:val="3"/>
          </w:tcPr>
          <w:p>
            <w:pPr>
              <w:ind w:left="340"/>
              <w:spacing w:after="0"/>
              <w:rPr>
                <w:sz w:val="20"/>
                <w:szCs w:val="20"/>
                <w:color w:val="auto"/>
              </w:rPr>
            </w:pPr>
            <w:r>
              <w:rPr>
                <w:rFonts w:ascii="Arial" w:cs="Arial" w:eastAsia="Arial" w:hAnsi="Arial"/>
                <w:sz w:val="18"/>
                <w:szCs w:val="18"/>
                <w:b w:val="1"/>
                <w:bCs w:val="1"/>
                <w:color w:val="auto"/>
                <w:w w:val="90"/>
              </w:rPr>
              <w:t>Change</w:t>
            </w:r>
          </w:p>
        </w:tc>
        <w:tc>
          <w:tcPr>
            <w:tcW w:w="4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60" w:type="dxa"/>
            <w:vAlign w:val="bottom"/>
            <w:gridSpan w:val="5"/>
          </w:tcPr>
          <w:p>
            <w:pPr>
              <w:jc w:val="right"/>
              <w:ind w:right="621"/>
              <w:spacing w:after="0"/>
              <w:rPr>
                <w:sz w:val="20"/>
                <w:szCs w:val="20"/>
                <w:color w:val="auto"/>
              </w:rPr>
            </w:pPr>
            <w:r>
              <w:rPr>
                <w:rFonts w:ascii="Arial" w:cs="Arial" w:eastAsia="Arial" w:hAnsi="Arial"/>
                <w:sz w:val="18"/>
                <w:szCs w:val="18"/>
                <w:b w:val="1"/>
                <w:bCs w:val="1"/>
                <w:color w:val="auto"/>
              </w:rPr>
              <w:t>June 30,</w:t>
            </w:r>
          </w:p>
        </w:tc>
        <w:tc>
          <w:tcPr>
            <w:tcW w:w="120" w:type="dxa"/>
            <w:vAlign w:val="bottom"/>
          </w:tcPr>
          <w:p>
            <w:pPr>
              <w:spacing w:after="0"/>
              <w:rPr>
                <w:sz w:val="20"/>
                <w:szCs w:val="20"/>
                <w:color w:val="auto"/>
              </w:rPr>
            </w:pPr>
          </w:p>
        </w:tc>
        <w:tc>
          <w:tcPr>
            <w:tcW w:w="1120" w:type="dxa"/>
            <w:vAlign w:val="bottom"/>
            <w:gridSpan w:val="3"/>
          </w:tcPr>
          <w:p>
            <w:pPr>
              <w:ind w:left="500"/>
              <w:spacing w:after="0"/>
              <w:rPr>
                <w:sz w:val="20"/>
                <w:szCs w:val="20"/>
                <w:color w:val="auto"/>
              </w:rPr>
            </w:pPr>
            <w:r>
              <w:rPr>
                <w:rFonts w:ascii="Arial" w:cs="Arial" w:eastAsia="Arial" w:hAnsi="Arial"/>
                <w:sz w:val="18"/>
                <w:szCs w:val="18"/>
                <w:b w:val="1"/>
                <w:bCs w:val="1"/>
                <w:color w:val="auto"/>
                <w:w w:val="90"/>
              </w:rPr>
              <w:t>Change</w:t>
            </w:r>
          </w:p>
        </w:tc>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1600" w:type="dxa"/>
            <w:vAlign w:val="bottom"/>
            <w:tcBorders>
              <w:bottom w:val="single" w:sz="8" w:color="auto"/>
            </w:tcBorders>
          </w:tcPr>
          <w:p>
            <w:pPr>
              <w:spacing w:after="0" w:line="182" w:lineRule="exact"/>
              <w:rPr>
                <w:sz w:val="20"/>
                <w:szCs w:val="20"/>
                <w:color w:val="auto"/>
              </w:rPr>
            </w:pPr>
            <w:r>
              <w:rPr>
                <w:rFonts w:ascii="Arial" w:cs="Arial" w:eastAsia="Arial" w:hAnsi="Arial"/>
                <w:sz w:val="18"/>
                <w:szCs w:val="18"/>
                <w:i w:val="1"/>
                <w:iCs w:val="1"/>
                <w:color w:val="auto"/>
                <w:w w:val="91"/>
              </w:rPr>
              <w:t>(dollars in thousands)</w:t>
            </w:r>
          </w:p>
        </w:tc>
        <w:tc>
          <w:tcPr>
            <w:tcW w:w="186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jc w:val="right"/>
              <w:ind w:right="90"/>
              <w:spacing w:after="0" w:line="182" w:lineRule="exact"/>
              <w:rPr>
                <w:sz w:val="20"/>
                <w:szCs w:val="20"/>
                <w:color w:val="auto"/>
              </w:rPr>
            </w:pPr>
            <w:r>
              <w:rPr>
                <w:rFonts w:ascii="Arial" w:cs="Arial" w:eastAsia="Arial" w:hAnsi="Arial"/>
                <w:sz w:val="18"/>
                <w:szCs w:val="18"/>
                <w:b w:val="1"/>
                <w:bCs w:val="1"/>
                <w:color w:val="auto"/>
                <w:w w:val="89"/>
              </w:rPr>
              <w:t>2021</w:t>
            </w:r>
          </w:p>
        </w:tc>
        <w:tc>
          <w:tcPr>
            <w:tcW w:w="18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jc w:val="right"/>
              <w:ind w:right="90"/>
              <w:spacing w:after="0" w:line="182" w:lineRule="exact"/>
              <w:rPr>
                <w:sz w:val="20"/>
                <w:szCs w:val="20"/>
                <w:color w:val="auto"/>
              </w:rPr>
            </w:pPr>
            <w:r>
              <w:rPr>
                <w:rFonts w:ascii="Arial" w:cs="Arial" w:eastAsia="Arial" w:hAnsi="Arial"/>
                <w:sz w:val="18"/>
                <w:szCs w:val="18"/>
                <w:b w:val="1"/>
                <w:bCs w:val="1"/>
                <w:color w:val="auto"/>
                <w:w w:val="94"/>
              </w:rPr>
              <w:t>2020</w:t>
            </w:r>
          </w:p>
        </w:tc>
        <w:tc>
          <w:tcPr>
            <w:tcW w:w="28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520" w:type="dxa"/>
            <w:vAlign w:val="bottom"/>
            <w:tcBorders>
              <w:top w:val="single" w:sz="8" w:color="auto"/>
            </w:tcBorders>
          </w:tcPr>
          <w:p>
            <w:pPr>
              <w:jc w:val="right"/>
              <w:ind w:right="230"/>
              <w:spacing w:after="0" w:line="182" w:lineRule="exact"/>
              <w:rPr>
                <w:sz w:val="20"/>
                <w:szCs w:val="20"/>
                <w:color w:val="auto"/>
              </w:rPr>
            </w:pPr>
            <w:r>
              <w:rPr>
                <w:rFonts w:ascii="Arial" w:cs="Arial" w:eastAsia="Arial" w:hAnsi="Arial"/>
                <w:sz w:val="18"/>
                <w:szCs w:val="18"/>
                <w:b w:val="1"/>
                <w:bCs w:val="1"/>
                <w:color w:val="auto"/>
              </w:rPr>
              <w:t>$</w:t>
            </w:r>
          </w:p>
        </w:tc>
        <w:tc>
          <w:tcPr>
            <w:tcW w:w="22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480" w:type="dxa"/>
            <w:vAlign w:val="bottom"/>
            <w:tcBorders>
              <w:top w:val="single" w:sz="8" w:color="auto"/>
            </w:tcBorders>
          </w:tcPr>
          <w:p>
            <w:pPr>
              <w:jc w:val="right"/>
              <w:ind w:right="170"/>
              <w:spacing w:after="0" w:line="182" w:lineRule="exact"/>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jc w:val="right"/>
              <w:ind w:right="90"/>
              <w:spacing w:after="0" w:line="182" w:lineRule="exact"/>
              <w:rPr>
                <w:sz w:val="20"/>
                <w:szCs w:val="20"/>
                <w:color w:val="auto"/>
              </w:rPr>
            </w:pPr>
            <w:r>
              <w:rPr>
                <w:rFonts w:ascii="Arial" w:cs="Arial" w:eastAsia="Arial" w:hAnsi="Arial"/>
                <w:sz w:val="18"/>
                <w:szCs w:val="18"/>
                <w:b w:val="1"/>
                <w:bCs w:val="1"/>
                <w:color w:val="auto"/>
                <w:w w:val="99"/>
              </w:rPr>
              <w:t>2021</w:t>
            </w:r>
          </w:p>
        </w:tc>
        <w:tc>
          <w:tcPr>
            <w:tcW w:w="28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jc w:val="right"/>
              <w:ind w:right="90"/>
              <w:spacing w:after="0" w:line="182" w:lineRule="exact"/>
              <w:rPr>
                <w:sz w:val="20"/>
                <w:szCs w:val="20"/>
                <w:color w:val="auto"/>
              </w:rPr>
            </w:pPr>
            <w:r>
              <w:rPr>
                <w:rFonts w:ascii="Arial" w:cs="Arial" w:eastAsia="Arial" w:hAnsi="Arial"/>
                <w:sz w:val="18"/>
                <w:szCs w:val="18"/>
                <w:b w:val="1"/>
                <w:bCs w:val="1"/>
                <w:color w:val="auto"/>
                <w:w w:val="89"/>
              </w:rPr>
              <w:t>2020</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Borders>
              <w:top w:val="single" w:sz="8" w:color="auto"/>
            </w:tcBorders>
          </w:tcPr>
          <w:p>
            <w:pPr>
              <w:jc w:val="right"/>
              <w:ind w:right="230"/>
              <w:spacing w:after="0" w:line="182" w:lineRule="exact"/>
              <w:rPr>
                <w:sz w:val="20"/>
                <w:szCs w:val="20"/>
                <w:color w:val="auto"/>
              </w:rPr>
            </w:pPr>
            <w:r>
              <w:rPr>
                <w:rFonts w:ascii="Arial" w:cs="Arial" w:eastAsia="Arial" w:hAnsi="Arial"/>
                <w:sz w:val="18"/>
                <w:szCs w:val="18"/>
                <w:b w:val="1"/>
                <w:bCs w:val="1"/>
                <w:color w:val="auto"/>
              </w:rPr>
              <w:t>$</w:t>
            </w:r>
          </w:p>
        </w:tc>
        <w:tc>
          <w:tcPr>
            <w:tcW w:w="20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500" w:type="dxa"/>
            <w:vAlign w:val="bottom"/>
            <w:tcBorders>
              <w:top w:val="single" w:sz="8" w:color="auto"/>
            </w:tcBorders>
          </w:tcPr>
          <w:p>
            <w:pPr>
              <w:jc w:val="right"/>
              <w:ind w:right="190"/>
              <w:spacing w:after="0" w:line="182" w:lineRule="exact"/>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460" w:type="dxa"/>
            <w:vAlign w:val="bottom"/>
            <w:gridSpan w:val="2"/>
            <w:vMerge w:val="restart"/>
          </w:tcPr>
          <w:p>
            <w:pPr>
              <w:spacing w:after="0"/>
              <w:rPr>
                <w:sz w:val="20"/>
                <w:szCs w:val="20"/>
                <w:color w:val="auto"/>
              </w:rPr>
            </w:pPr>
            <w:r>
              <w:rPr>
                <w:rFonts w:ascii="Arial" w:cs="Arial" w:eastAsia="Arial" w:hAnsi="Arial"/>
                <w:sz w:val="18"/>
                <w:szCs w:val="18"/>
                <w:color w:val="auto"/>
              </w:rPr>
              <w:t>Other Income (Expense), Net:</w:t>
            </w: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346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Interest income and other income, net</w:t>
            </w:r>
          </w:p>
        </w:tc>
        <w:tc>
          <w:tcPr>
            <w:tcW w:w="14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164</w:t>
            </w:r>
          </w:p>
        </w:tc>
        <w:tc>
          <w:tcPr>
            <w:tcW w:w="18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145%</w:t>
            </w: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276</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527</w:t>
            </w:r>
          </w:p>
        </w:tc>
        <w:tc>
          <w:tcPr>
            <w:tcW w:w="180" w:type="dxa"/>
            <w:vAlign w:val="bottom"/>
            <w:shd w:val="clear" w:color="auto" w:fill="CFF0FC"/>
          </w:tcPr>
          <w:p>
            <w:pPr>
              <w:spacing w:after="0"/>
              <w:rPr>
                <w:sz w:val="19"/>
                <w:szCs w:val="19"/>
                <w:color w:val="auto"/>
              </w:rPr>
            </w:pPr>
          </w:p>
        </w:tc>
        <w:tc>
          <w:tcPr>
            <w:tcW w:w="1020" w:type="dxa"/>
            <w:vAlign w:val="bottom"/>
            <w:gridSpan w:val="3"/>
            <w:shd w:val="clear" w:color="auto" w:fill="CFF0FC"/>
          </w:tcPr>
          <w:p>
            <w:pPr>
              <w:jc w:val="right"/>
              <w:ind w:right="140"/>
              <w:spacing w:after="0"/>
              <w:rPr>
                <w:sz w:val="20"/>
                <w:szCs w:val="20"/>
                <w:color w:val="auto"/>
              </w:rPr>
            </w:pPr>
            <w:r>
              <w:rPr>
                <w:rFonts w:ascii="Arial" w:cs="Arial" w:eastAsia="Arial" w:hAnsi="Arial"/>
                <w:sz w:val="18"/>
                <w:szCs w:val="18"/>
                <w:color w:val="auto"/>
              </w:rPr>
              <w:t>$   (251)</w:t>
            </w:r>
          </w:p>
        </w:tc>
        <w:tc>
          <w:tcPr>
            <w:tcW w:w="22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30"/>
        </w:trPr>
        <w:tc>
          <w:tcPr>
            <w:tcW w:w="346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140" w:type="dxa"/>
            <w:vAlign w:val="bottom"/>
          </w:tcPr>
          <w:p>
            <w:pPr>
              <w:spacing w:after="0"/>
              <w:rPr>
                <w:sz w:val="19"/>
                <w:szCs w:val="19"/>
                <w:color w:val="auto"/>
              </w:rPr>
            </w:pPr>
          </w:p>
        </w:tc>
        <w:tc>
          <w:tcPr>
            <w:tcW w:w="740" w:type="dxa"/>
            <w:vAlign w:val="bottom"/>
            <w:gridSpan w:val="2"/>
          </w:tcPr>
          <w:p>
            <w:pPr>
              <w:jc w:val="right"/>
              <w:ind w:right="41"/>
              <w:spacing w:after="0"/>
              <w:rPr>
                <w:sz w:val="20"/>
                <w:szCs w:val="20"/>
                <w:color w:val="auto"/>
              </w:rPr>
            </w:pPr>
            <w:r>
              <w:rPr>
                <w:rFonts w:ascii="Arial" w:cs="Arial" w:eastAsia="Arial" w:hAnsi="Arial"/>
                <w:sz w:val="18"/>
                <w:szCs w:val="18"/>
                <w:color w:val="auto"/>
              </w:rPr>
              <w:t>(431)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gridSpan w:val="2"/>
          </w:tcPr>
          <w:p>
            <w:pPr>
              <w:jc w:val="right"/>
              <w:ind w:right="141"/>
              <w:spacing w:after="0"/>
              <w:rPr>
                <w:sz w:val="20"/>
                <w:szCs w:val="20"/>
                <w:color w:val="auto"/>
              </w:rPr>
            </w:pPr>
            <w:r>
              <w:rPr>
                <w:rFonts w:ascii="Arial" w:cs="Arial" w:eastAsia="Arial" w:hAnsi="Arial"/>
                <w:sz w:val="18"/>
                <w:szCs w:val="18"/>
                <w:color w:val="auto"/>
              </w:rPr>
              <w:t>(1,032)</w:t>
            </w:r>
          </w:p>
        </w:tc>
        <w:tc>
          <w:tcPr>
            <w:tcW w:w="1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601</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(58)%</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141"/>
              <w:spacing w:after="0"/>
              <w:rPr>
                <w:sz w:val="20"/>
                <w:szCs w:val="20"/>
                <w:color w:val="auto"/>
              </w:rPr>
            </w:pPr>
            <w:r>
              <w:rPr>
                <w:rFonts w:ascii="Arial" w:cs="Arial" w:eastAsia="Arial" w:hAnsi="Arial"/>
                <w:sz w:val="18"/>
                <w:szCs w:val="18"/>
                <w:color w:val="auto"/>
              </w:rPr>
              <w:t>(853)</w:t>
            </w:r>
          </w:p>
        </w:tc>
        <w:tc>
          <w:tcPr>
            <w:tcW w:w="140" w:type="dxa"/>
            <w:vAlign w:val="bottom"/>
          </w:tcPr>
          <w:p>
            <w:pPr>
              <w:spacing w:after="0"/>
              <w:rPr>
                <w:sz w:val="19"/>
                <w:szCs w:val="19"/>
                <w:color w:val="auto"/>
              </w:rPr>
            </w:pPr>
          </w:p>
        </w:tc>
        <w:tc>
          <w:tcPr>
            <w:tcW w:w="740" w:type="dxa"/>
            <w:vAlign w:val="bottom"/>
            <w:gridSpan w:val="2"/>
          </w:tcPr>
          <w:p>
            <w:pPr>
              <w:jc w:val="right"/>
              <w:ind w:right="41"/>
              <w:spacing w:after="0"/>
              <w:rPr>
                <w:sz w:val="20"/>
                <w:szCs w:val="20"/>
                <w:color w:val="auto"/>
              </w:rPr>
            </w:pPr>
            <w:r>
              <w:rPr>
                <w:rFonts w:ascii="Arial" w:cs="Arial" w:eastAsia="Arial" w:hAnsi="Arial"/>
                <w:sz w:val="18"/>
                <w:szCs w:val="18"/>
                <w:color w:val="auto"/>
              </w:rPr>
              <w:t>(2,033)</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1,180</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5"/>
        </w:trPr>
        <w:tc>
          <w:tcPr>
            <w:tcW w:w="34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Change in fair value of redeemable</w:t>
            </w:r>
          </w:p>
        </w:tc>
        <w:tc>
          <w:tcPr>
            <w:tcW w:w="14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6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convertible preferred stock</w:t>
            </w:r>
          </w:p>
        </w:tc>
        <w:tc>
          <w:tcPr>
            <w:tcW w:w="14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6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warrant liability</w:t>
            </w:r>
          </w:p>
        </w:tc>
        <w:tc>
          <w:tcPr>
            <w:tcW w:w="140" w:type="dxa"/>
            <w:vAlign w:val="bottom"/>
            <w:shd w:val="clear" w:color="auto" w:fill="CFF0FC"/>
          </w:tcPr>
          <w:p>
            <w:pPr>
              <w:spacing w:after="0"/>
              <w:rPr>
                <w:sz w:val="20"/>
                <w:szCs w:val="20"/>
                <w:color w:val="auto"/>
              </w:rPr>
            </w:pPr>
          </w:p>
        </w:tc>
        <w:tc>
          <w:tcPr>
            <w:tcW w:w="740" w:type="dxa"/>
            <w:vAlign w:val="bottom"/>
            <w:gridSpan w:val="2"/>
            <w:shd w:val="clear" w:color="auto" w:fill="CFF0FC"/>
          </w:tcPr>
          <w:p>
            <w:pPr>
              <w:jc w:val="right"/>
              <w:ind w:right="101"/>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60" w:type="dxa"/>
            <w:vAlign w:val="bottom"/>
            <w:gridSpan w:val="2"/>
            <w:shd w:val="clear" w:color="auto" w:fill="CFF0FC"/>
          </w:tcPr>
          <w:p>
            <w:pPr>
              <w:jc w:val="right"/>
              <w:ind w:right="141"/>
              <w:spacing w:after="0"/>
              <w:rPr>
                <w:sz w:val="20"/>
                <w:szCs w:val="20"/>
                <w:color w:val="auto"/>
              </w:rPr>
            </w:pPr>
            <w:r>
              <w:rPr>
                <w:rFonts w:ascii="Arial" w:cs="Arial" w:eastAsia="Arial" w:hAnsi="Arial"/>
                <w:sz w:val="18"/>
                <w:szCs w:val="18"/>
                <w:color w:val="auto"/>
              </w:rPr>
              <w:t>(631)</w:t>
            </w:r>
          </w:p>
        </w:tc>
        <w:tc>
          <w:tcPr>
            <w:tcW w:w="180" w:type="dxa"/>
            <w:vAlign w:val="bottom"/>
            <w:shd w:val="clear" w:color="auto" w:fill="CFF0FC"/>
          </w:tcPr>
          <w:p>
            <w:pPr>
              <w:spacing w:after="0"/>
              <w:rPr>
                <w:sz w:val="20"/>
                <w:szCs w:val="20"/>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631</w:t>
            </w:r>
          </w:p>
        </w:tc>
        <w:tc>
          <w:tcPr>
            <w:tcW w:w="2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80" w:type="dxa"/>
            <w:vAlign w:val="bottom"/>
            <w:gridSpan w:val="2"/>
            <w:shd w:val="clear" w:color="auto" w:fill="CFF0FC"/>
          </w:tcPr>
          <w:p>
            <w:pPr>
              <w:jc w:val="right"/>
              <w:ind w:right="221"/>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0"/>
                <w:szCs w:val="20"/>
                <w:color w:val="auto"/>
              </w:rPr>
            </w:pPr>
          </w:p>
        </w:tc>
        <w:tc>
          <w:tcPr>
            <w:tcW w:w="740" w:type="dxa"/>
            <w:vAlign w:val="bottom"/>
            <w:gridSpan w:val="2"/>
            <w:shd w:val="clear" w:color="auto" w:fill="CFF0FC"/>
          </w:tcPr>
          <w:p>
            <w:pPr>
              <w:jc w:val="right"/>
              <w:ind w:right="41"/>
              <w:spacing w:after="0"/>
              <w:rPr>
                <w:sz w:val="20"/>
                <w:szCs w:val="20"/>
                <w:color w:val="auto"/>
              </w:rPr>
            </w:pPr>
            <w:r>
              <w:rPr>
                <w:rFonts w:ascii="Arial" w:cs="Arial" w:eastAsia="Arial" w:hAnsi="Arial"/>
                <w:sz w:val="18"/>
                <w:szCs w:val="18"/>
                <w:color w:val="auto"/>
              </w:rPr>
              <w:t>(530)</w:t>
            </w:r>
          </w:p>
        </w:tc>
        <w:tc>
          <w:tcPr>
            <w:tcW w:w="8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530</w:t>
            </w:r>
          </w:p>
        </w:tc>
        <w:tc>
          <w:tcPr>
            <w:tcW w:w="2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460" w:type="dxa"/>
            <w:vAlign w:val="bottom"/>
            <w:gridSpan w:val="2"/>
          </w:tcPr>
          <w:p>
            <w:pPr>
              <w:ind w:left="260"/>
              <w:spacing w:after="0"/>
              <w:rPr>
                <w:sz w:val="20"/>
                <w:szCs w:val="20"/>
                <w:color w:val="auto"/>
              </w:rPr>
            </w:pPr>
            <w:r>
              <w:rPr>
                <w:rFonts w:ascii="Arial" w:cs="Arial" w:eastAsia="Arial" w:hAnsi="Arial"/>
                <w:sz w:val="18"/>
                <w:szCs w:val="18"/>
                <w:color w:val="auto"/>
              </w:rPr>
              <w:t>Total other expense, net</w:t>
            </w: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(267</w:t>
            </w:r>
          </w:p>
        </w:tc>
        <w:tc>
          <w:tcPr>
            <w:tcW w:w="180" w:type="dxa"/>
            <w:vAlign w:val="bottom"/>
          </w:tcPr>
          <w:p>
            <w:pPr>
              <w:jc w:val="right"/>
              <w:ind w:right="41"/>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(1,596</w:t>
            </w:r>
          </w:p>
        </w:tc>
        <w:tc>
          <w:tcPr>
            <w:tcW w:w="280" w:type="dxa"/>
            <w:vAlign w:val="bottom"/>
          </w:tcPr>
          <w:p>
            <w:pPr>
              <w:jc w:val="right"/>
              <w:ind w:right="141"/>
              <w:spacing w:after="0"/>
              <w:rPr>
                <w:sz w:val="20"/>
                <w:szCs w:val="20"/>
                <w:color w:val="auto"/>
              </w:rPr>
            </w:pPr>
            <w:r>
              <w:rPr>
                <w:rFonts w:ascii="Arial" w:cs="Arial" w:eastAsia="Arial" w:hAnsi="Arial"/>
                <w:sz w:val="16"/>
                <w:szCs w:val="16"/>
                <w:color w:val="auto"/>
                <w:w w:val="74"/>
              </w:rPr>
              <w:t>)</w:t>
            </w:r>
          </w:p>
        </w:tc>
        <w:tc>
          <w:tcPr>
            <w:tcW w:w="1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1,329</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(83)%</w:t>
            </w: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(577</w:t>
            </w:r>
          </w:p>
        </w:tc>
        <w:tc>
          <w:tcPr>
            <w:tcW w:w="280" w:type="dxa"/>
            <w:vAlign w:val="bottom"/>
          </w:tcPr>
          <w:p>
            <w:pPr>
              <w:jc w:val="right"/>
              <w:ind w:right="141"/>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(2,036</w:t>
            </w:r>
          </w:p>
        </w:tc>
        <w:tc>
          <w:tcPr>
            <w:tcW w:w="180" w:type="dxa"/>
            <w:vAlign w:val="bottom"/>
          </w:tcPr>
          <w:p>
            <w:pPr>
              <w:jc w:val="right"/>
              <w:ind w:right="41"/>
              <w:spacing w:after="0"/>
              <w:rPr>
                <w:sz w:val="20"/>
                <w:szCs w:val="20"/>
                <w:color w:val="auto"/>
              </w:rPr>
            </w:pPr>
            <w:r>
              <w:rPr>
                <w:rFonts w:ascii="Arial" w:cs="Arial" w:eastAsia="Arial" w:hAnsi="Arial"/>
                <w:sz w:val="16"/>
                <w:szCs w:val="16"/>
                <w:color w:val="auto"/>
                <w:w w:val="74"/>
              </w:rPr>
              <w:t>)</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1,459</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0"/>
        </w:trPr>
        <w:tc>
          <w:tcPr>
            <w:tcW w:w="16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rPr>
          <w:sz w:val="20"/>
          <w:szCs w:val="20"/>
          <w:color w:val="auto"/>
        </w:rPr>
      </w:pPr>
      <w:r>
        <w:rPr>
          <w:rFonts w:ascii="Arial" w:cs="Arial" w:eastAsia="Arial" w:hAnsi="Arial"/>
          <w:sz w:val="18"/>
          <w:szCs w:val="18"/>
          <w:i w:val="1"/>
          <w:iCs w:val="1"/>
          <w:color w:val="auto"/>
        </w:rPr>
        <w:t>* Not meaningful</w:t>
      </w:r>
    </w:p>
    <w:p>
      <w:pPr>
        <w:spacing w:after="0" w:line="116" w:lineRule="exact"/>
        <w:rPr>
          <w:sz w:val="20"/>
          <w:szCs w:val="20"/>
          <w:color w:val="auto"/>
        </w:rPr>
      </w:pPr>
    </w:p>
    <w:p>
      <w:pPr>
        <w:ind w:right="100" w:firstLine="427"/>
        <w:spacing w:after="0" w:line="263" w:lineRule="auto"/>
        <w:rPr>
          <w:sz w:val="20"/>
          <w:szCs w:val="20"/>
          <w:color w:val="auto"/>
        </w:rPr>
      </w:pPr>
      <w:r>
        <w:rPr>
          <w:rFonts w:ascii="Arial" w:cs="Arial" w:eastAsia="Arial" w:hAnsi="Arial"/>
          <w:sz w:val="18"/>
          <w:szCs w:val="18"/>
          <w:color w:val="auto"/>
        </w:rPr>
        <w:t>Interest income and other income, net increased by $0.1 million, or 145% for the three months ended June 30, 2021 as compared to the three months ended June 30, 2020, primarily driven by a value added taxes refund related to startup costs in our new manufacturing facility received in the second quarter of 2021.</w:t>
      </w:r>
    </w:p>
    <w:p>
      <w:pPr>
        <w:spacing w:after="0" w:line="76" w:lineRule="exact"/>
        <w:rPr>
          <w:sz w:val="20"/>
          <w:szCs w:val="20"/>
          <w:color w:val="auto"/>
        </w:rPr>
      </w:pPr>
    </w:p>
    <w:p>
      <w:pPr>
        <w:ind w:right="220" w:firstLine="427"/>
        <w:spacing w:after="0" w:line="259" w:lineRule="auto"/>
        <w:rPr>
          <w:sz w:val="20"/>
          <w:szCs w:val="20"/>
          <w:color w:val="auto"/>
        </w:rPr>
      </w:pPr>
      <w:r>
        <w:rPr>
          <w:rFonts w:ascii="Arial" w:cs="Arial" w:eastAsia="Arial" w:hAnsi="Arial"/>
          <w:sz w:val="18"/>
          <w:szCs w:val="18"/>
          <w:color w:val="auto"/>
        </w:rPr>
        <w:t>Interest income and other income, net decreased by $0.3 million, or 48% for the six months ended June 30, 2021 as compared to the six months ended June 30, 2020. The decrease was primarily due to a $0.6 million decrease in interest income driven by lower interest rates in the first half of 2021. This decrease was partially offset by a $0.3 million value added taxes refund primarily related to startup costs in our new manufacturing facility received during the first half of 2021.</w:t>
      </w:r>
    </w:p>
    <w:p>
      <w:pPr>
        <w:spacing w:after="0" w:line="79" w:lineRule="exact"/>
        <w:rPr>
          <w:sz w:val="20"/>
          <w:szCs w:val="20"/>
          <w:color w:val="auto"/>
        </w:rPr>
      </w:pPr>
    </w:p>
    <w:p>
      <w:pPr>
        <w:jc w:val="both"/>
        <w:ind w:right="480" w:firstLine="427"/>
        <w:spacing w:after="0" w:line="263" w:lineRule="auto"/>
        <w:rPr>
          <w:sz w:val="20"/>
          <w:szCs w:val="20"/>
          <w:color w:val="auto"/>
        </w:rPr>
      </w:pPr>
      <w:r>
        <w:rPr>
          <w:rFonts w:ascii="Arial" w:cs="Arial" w:eastAsia="Arial" w:hAnsi="Arial"/>
          <w:sz w:val="18"/>
          <w:szCs w:val="18"/>
          <w:color w:val="auto"/>
        </w:rPr>
        <w:t>Interest expense decreased for the three and six months ended June 30, 2021 as compared to the three and six months ended June 30, 2020. The decrease was driven primarily by a lower interest rate under the SVB Term Loan as compared to the rate under the Perceptive Term Loan, which we voluntarily repaid in July 2020.</w:t>
      </w:r>
    </w:p>
    <w:p>
      <w:pPr>
        <w:spacing w:after="0" w:line="76" w:lineRule="exact"/>
        <w:rPr>
          <w:sz w:val="20"/>
          <w:szCs w:val="20"/>
          <w:color w:val="auto"/>
        </w:rPr>
      </w:pPr>
    </w:p>
    <w:p>
      <w:pPr>
        <w:ind w:right="60" w:firstLine="427"/>
        <w:spacing w:after="0" w:line="257" w:lineRule="auto"/>
        <w:rPr>
          <w:sz w:val="20"/>
          <w:szCs w:val="20"/>
          <w:color w:val="auto"/>
        </w:rPr>
      </w:pPr>
      <w:r>
        <w:rPr>
          <w:rFonts w:ascii="Arial" w:cs="Arial" w:eastAsia="Arial" w:hAnsi="Arial"/>
          <w:sz w:val="18"/>
          <w:szCs w:val="18"/>
          <w:color w:val="auto"/>
        </w:rPr>
        <w:t>The change in the fair value of redeemable convertible preferred stock warrant liability was driven by the changes in assumptions used to value the warrant liability. Upon the closing of our IPO in September 2020, all shares of our outstanding redeemable convertible preferred stock warrants were either exercised into common stock or automatically converted into warrants to purchase common stock. Accordingly, we have ceased to incur the change in the fair value of redeemable convertible preferred stock warrant liability as the entire redeemable convertible preferred stock warrant liability was reclassified to additional paid-in capital.</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117" w:lineRule="exact"/>
        <w:rPr>
          <w:sz w:val="20"/>
          <w:szCs w:val="20"/>
          <w:color w:val="auto"/>
        </w:rPr>
      </w:pPr>
    </w:p>
    <w:p>
      <w:pPr>
        <w:ind w:right="340" w:firstLine="382"/>
        <w:spacing w:after="0" w:line="342" w:lineRule="auto"/>
        <w:rPr>
          <w:sz w:val="20"/>
          <w:szCs w:val="20"/>
          <w:color w:val="auto"/>
        </w:rPr>
      </w:pPr>
      <w:r>
        <w:rPr>
          <w:rFonts w:ascii="Arial" w:cs="Arial" w:eastAsia="Arial" w:hAnsi="Arial"/>
          <w:sz w:val="16"/>
          <w:szCs w:val="16"/>
          <w:color w:val="auto"/>
        </w:rPr>
        <w:t>As of June 30, 2021, the Company had cash, cash equivalents and short-term investments of $396.2 million, which are available to fund future operations, and restricted cash of $33.3 million, for a total cash, cash equivalents, restricted cash and short-term investments balance of $429.5 million.</w:t>
      </w:r>
    </w:p>
    <w:p>
      <w:pPr>
        <w:spacing w:after="0" w:line="16" w:lineRule="exact"/>
        <w:rPr>
          <w:sz w:val="20"/>
          <w:szCs w:val="20"/>
          <w:color w:val="auto"/>
        </w:rPr>
      </w:pPr>
    </w:p>
    <w:p>
      <w:pPr>
        <w:ind w:right="60" w:firstLine="382"/>
        <w:spacing w:after="0" w:line="255" w:lineRule="auto"/>
        <w:rPr>
          <w:sz w:val="20"/>
          <w:szCs w:val="20"/>
          <w:color w:val="auto"/>
        </w:rPr>
      </w:pPr>
      <w:r>
        <w:rPr>
          <w:rFonts w:ascii="Arial" w:cs="Arial" w:eastAsia="Arial" w:hAnsi="Arial"/>
          <w:sz w:val="18"/>
          <w:szCs w:val="18"/>
          <w:color w:val="auto"/>
        </w:rPr>
        <w:t>Since our inception, we have incurred net losses and negative cash flows from operations. To date, we have financed our operations and capital expenditures primarily through sales of redeemable convertible preferred stock and common stock, revenue from sales and issuances of debt. In September 2020, we completed our IPO for aggregate net proceeds of approximately $254.8 million (inclusive of the full exercise of the underwriters’ option to purchase additional shares), net of offering costs, underwriter discounts and commissions of $23.1 million. In April 2021, we completed a follow-on public offering for aggregate net proceeds of approximately $149.1 million, after deducting offering costs, underwriting discounts and commissions of $8.5 million.</w:t>
      </w:r>
    </w:p>
    <w:p>
      <w:pPr>
        <w:spacing w:after="0" w:line="84" w:lineRule="exact"/>
        <w:rPr>
          <w:sz w:val="20"/>
          <w:szCs w:val="20"/>
          <w:color w:val="auto"/>
        </w:rPr>
      </w:pPr>
    </w:p>
    <w:p>
      <w:pPr>
        <w:ind w:right="60" w:firstLine="382"/>
        <w:spacing w:after="0" w:line="290" w:lineRule="auto"/>
        <w:rPr>
          <w:sz w:val="20"/>
          <w:szCs w:val="20"/>
          <w:color w:val="auto"/>
        </w:rPr>
      </w:pPr>
      <w:r>
        <w:rPr>
          <w:rFonts w:ascii="Arial" w:cs="Arial" w:eastAsia="Arial" w:hAnsi="Arial"/>
          <w:sz w:val="16"/>
          <w:szCs w:val="16"/>
          <w:color w:val="auto"/>
        </w:rPr>
        <w:t>We expect to continue to incur significant expenses for the foreseeable future and to incur operating losses in the near term while we make investments to support our anticipated growth. We may raise additional capital through the issuance of additional equity financing, debt financings or other sources. If this financing is not available to us at adequate levels or on acceptable terms, we may need to reevaluate our operating plans. If we do raise additional capital through public or private equity offerings, the ownership interest of our existing stockholders will be diluted, and the terms of these securities may include liquidation or other preferences that adversely affect our existing stockholders’ rights. If we raise additional capital through debt financing, we may be subject to covenants limiting or restricting our ability to take specific actions, such as incurring additional debt, making capital expenditures or declaring dividends. We believe that our existing cash, cash equivalents and short-term investments, and cash generated from sales of our products, will be sufficient to meet our anticipated needs for at least the next 12 months from the date of this Quarterly Report.</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230"/>
        </w:trPr>
        <w:tc>
          <w:tcPr>
            <w:tcW w:w="7360" w:type="dxa"/>
            <w:vAlign w:val="bottom"/>
          </w:tcPr>
          <w:p>
            <w:pPr>
              <w:spacing w:after="0"/>
              <w:rPr>
                <w:sz w:val="20"/>
                <w:szCs w:val="20"/>
                <w:color w:val="auto"/>
              </w:rPr>
            </w:pPr>
            <w:r>
              <w:rPr>
                <w:rFonts w:ascii="Arial" w:cs="Arial" w:eastAsia="Arial" w:hAnsi="Arial"/>
                <w:sz w:val="18"/>
                <w:szCs w:val="18"/>
                <w:b w:val="1"/>
                <w:bCs w:val="1"/>
                <w:i w:val="1"/>
                <w:iCs w:val="1"/>
                <w:color w:val="auto"/>
              </w:rPr>
              <w:t>Cash Flows Summary</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324"/>
        </w:trPr>
        <w:tc>
          <w:tcPr>
            <w:tcW w:w="7360" w:type="dxa"/>
            <w:vAlign w:val="bottom"/>
          </w:tcPr>
          <w:p>
            <w:pPr>
              <w:ind w:left="380"/>
              <w:spacing w:after="0"/>
              <w:rPr>
                <w:sz w:val="20"/>
                <w:szCs w:val="20"/>
                <w:color w:val="auto"/>
              </w:rPr>
            </w:pPr>
            <w:r>
              <w:rPr>
                <w:rFonts w:ascii="Arial" w:cs="Arial" w:eastAsia="Arial" w:hAnsi="Arial"/>
                <w:sz w:val="18"/>
                <w:szCs w:val="18"/>
                <w:color w:val="auto"/>
                <w:w w:val="92"/>
              </w:rPr>
              <w:t>The following table summarizes the cash flows for each of the periods indicated (in thousands):</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38"/>
        </w:trPr>
        <w:tc>
          <w:tcPr>
            <w:tcW w:w="7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40" w:type="dxa"/>
            <w:vAlign w:val="bottom"/>
            <w:gridSpan w:val="5"/>
          </w:tcPr>
          <w:p>
            <w:pPr>
              <w:jc w:val="right"/>
              <w:ind w:right="920"/>
              <w:spacing w:after="0"/>
              <w:rPr>
                <w:sz w:val="20"/>
                <w:szCs w:val="20"/>
                <w:color w:val="auto"/>
              </w:rPr>
            </w:pPr>
            <w:r>
              <w:rPr>
                <w:rFonts w:ascii="Arial" w:cs="Arial" w:eastAsia="Arial" w:hAnsi="Arial"/>
                <w:sz w:val="18"/>
                <w:szCs w:val="18"/>
                <w:b w:val="1"/>
                <w:bCs w:val="1"/>
                <w:color w:val="auto"/>
              </w:rPr>
              <w:t>Six Months Ended June 30,</w:t>
            </w:r>
          </w:p>
        </w:tc>
      </w:tr>
      <w:tr>
        <w:trPr>
          <w:trHeight w:val="223"/>
        </w:trPr>
        <w:tc>
          <w:tcPr>
            <w:tcW w:w="73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2021</w:t>
            </w:r>
          </w:p>
        </w:tc>
        <w:tc>
          <w:tcPr>
            <w:tcW w:w="480" w:type="dxa"/>
            <w:vAlign w:val="bottom"/>
            <w:tcBorders>
              <w:top w:val="single" w:sz="8" w:color="auto"/>
              <w:bottom w:val="single" w:sz="8" w:color="CFF0FC"/>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CFF0FC"/>
            </w:tcBorders>
          </w:tcPr>
          <w:p>
            <w:pPr>
              <w:spacing w:after="0"/>
              <w:rPr>
                <w:sz w:val="19"/>
                <w:szCs w:val="19"/>
                <w:color w:val="auto"/>
              </w:rPr>
            </w:pPr>
          </w:p>
        </w:tc>
      </w:tr>
      <w:tr>
        <w:trPr>
          <w:trHeight w:val="223"/>
        </w:trPr>
        <w:tc>
          <w:tcPr>
            <w:tcW w:w="7360" w:type="dxa"/>
            <w:vAlign w:val="bottom"/>
            <w:shd w:val="clear" w:color="auto" w:fill="CFF0FC"/>
          </w:tcPr>
          <w:p>
            <w:pPr>
              <w:spacing w:after="0"/>
              <w:rPr>
                <w:sz w:val="20"/>
                <w:szCs w:val="20"/>
                <w:color w:val="auto"/>
              </w:rPr>
            </w:pPr>
            <w:r>
              <w:rPr>
                <w:rFonts w:ascii="Arial" w:cs="Arial" w:eastAsia="Arial" w:hAnsi="Arial"/>
                <w:sz w:val="18"/>
                <w:szCs w:val="18"/>
                <w:color w:val="auto"/>
              </w:rPr>
              <w:t>Net cash (used in) provided by:</w:t>
            </w:r>
          </w:p>
        </w:tc>
        <w:tc>
          <w:tcPr>
            <w:tcW w:w="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7360" w:type="dxa"/>
            <w:vAlign w:val="bottom"/>
          </w:tcPr>
          <w:p>
            <w:pPr>
              <w:ind w:left="260"/>
              <w:spacing w:after="0"/>
              <w:rPr>
                <w:sz w:val="20"/>
                <w:szCs w:val="20"/>
                <w:color w:val="auto"/>
              </w:rPr>
            </w:pPr>
            <w:r>
              <w:rPr>
                <w:rFonts w:ascii="Arial" w:cs="Arial" w:eastAsia="Arial" w:hAnsi="Arial"/>
                <w:sz w:val="18"/>
                <w:szCs w:val="18"/>
                <w:color w:val="auto"/>
              </w:rPr>
              <w:t>Operating activities</w:t>
            </w:r>
          </w:p>
        </w:tc>
        <w:tc>
          <w:tcPr>
            <w:tcW w:w="44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720" w:type="dxa"/>
            <w:vAlign w:val="bottom"/>
            <w:gridSpan w:val="2"/>
          </w:tcPr>
          <w:p>
            <w:pPr>
              <w:jc w:val="right"/>
              <w:ind w:right="420"/>
              <w:spacing w:after="0"/>
              <w:rPr>
                <w:sz w:val="20"/>
                <w:szCs w:val="20"/>
                <w:color w:val="auto"/>
              </w:rPr>
            </w:pPr>
            <w:r>
              <w:rPr>
                <w:rFonts w:ascii="Arial" w:cs="Arial" w:eastAsia="Arial" w:hAnsi="Arial"/>
                <w:sz w:val="18"/>
                <w:szCs w:val="18"/>
                <w:color w:val="auto"/>
              </w:rPr>
              <w:t>(69,457)</w:t>
            </w:r>
          </w:p>
        </w:tc>
        <w:tc>
          <w:tcPr>
            <w:tcW w:w="340" w:type="dxa"/>
            <w:vAlign w:val="bottom"/>
          </w:tcPr>
          <w:p>
            <w:pPr>
              <w:jc w:val="right"/>
              <w:ind w:right="187"/>
              <w:spacing w:after="0"/>
              <w:rPr>
                <w:sz w:val="20"/>
                <w:szCs w:val="20"/>
                <w:color w:val="auto"/>
              </w:rPr>
            </w:pPr>
            <w:r>
              <w:rPr>
                <w:rFonts w:ascii="Arial" w:cs="Arial" w:eastAsia="Arial" w:hAnsi="Arial"/>
                <w:sz w:val="15"/>
                <w:szCs w:val="15"/>
                <w:color w:val="auto"/>
                <w:w w:val="71"/>
              </w:rPr>
              <w:t>$</w:t>
            </w: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(44,059)</w:t>
            </w:r>
          </w:p>
        </w:tc>
      </w:tr>
      <w:tr>
        <w:trPr>
          <w:trHeight w:val="229"/>
        </w:trPr>
        <w:tc>
          <w:tcPr>
            <w:tcW w:w="73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Investing activities</w:t>
            </w:r>
          </w:p>
        </w:tc>
        <w:tc>
          <w:tcPr>
            <w:tcW w:w="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720" w:type="dxa"/>
            <w:vAlign w:val="bottom"/>
            <w:gridSpan w:val="2"/>
            <w:shd w:val="clear" w:color="auto" w:fill="CFF0FC"/>
          </w:tcPr>
          <w:p>
            <w:pPr>
              <w:jc w:val="right"/>
              <w:ind w:right="420"/>
              <w:spacing w:after="0"/>
              <w:rPr>
                <w:sz w:val="20"/>
                <w:szCs w:val="20"/>
                <w:color w:val="auto"/>
              </w:rPr>
            </w:pPr>
            <w:r>
              <w:rPr>
                <w:rFonts w:ascii="Arial" w:cs="Arial" w:eastAsia="Arial" w:hAnsi="Arial"/>
                <w:sz w:val="18"/>
                <w:szCs w:val="18"/>
                <w:color w:val="auto"/>
              </w:rPr>
              <w:t>(104,267)</w:t>
            </w:r>
          </w:p>
        </w:tc>
        <w:tc>
          <w:tcPr>
            <w:tcW w:w="34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25,471</w:t>
            </w:r>
          </w:p>
        </w:tc>
        <w:tc>
          <w:tcPr>
            <w:tcW w:w="120" w:type="dxa"/>
            <w:vAlign w:val="bottom"/>
            <w:shd w:val="clear" w:color="auto" w:fill="CFF0FC"/>
          </w:tcPr>
          <w:p>
            <w:pPr>
              <w:spacing w:after="0"/>
              <w:rPr>
                <w:sz w:val="19"/>
                <w:szCs w:val="19"/>
                <w:color w:val="auto"/>
              </w:rPr>
            </w:pPr>
          </w:p>
        </w:tc>
      </w:tr>
      <w:tr>
        <w:trPr>
          <w:trHeight w:val="229"/>
        </w:trPr>
        <w:tc>
          <w:tcPr>
            <w:tcW w:w="736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Financing activities</w:t>
            </w:r>
          </w:p>
        </w:tc>
        <w:tc>
          <w:tcPr>
            <w:tcW w:w="8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153,026</w:t>
            </w:r>
          </w:p>
        </w:tc>
        <w:tc>
          <w:tcPr>
            <w:tcW w:w="48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126,797</w:t>
            </w:r>
          </w:p>
        </w:tc>
        <w:tc>
          <w:tcPr>
            <w:tcW w:w="120" w:type="dxa"/>
            <w:vAlign w:val="bottom"/>
            <w:tcBorders>
              <w:bottom w:val="single" w:sz="8" w:color="CFF0FC"/>
            </w:tcBorders>
          </w:tcPr>
          <w:p>
            <w:pPr>
              <w:spacing w:after="0"/>
              <w:rPr>
                <w:sz w:val="19"/>
                <w:szCs w:val="19"/>
                <w:color w:val="auto"/>
              </w:rPr>
            </w:pPr>
          </w:p>
        </w:tc>
      </w:tr>
      <w:tr>
        <w:trPr>
          <w:trHeight w:val="223"/>
        </w:trPr>
        <w:tc>
          <w:tcPr>
            <w:tcW w:w="73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(decrease) increase in cash, cash equivalents and restricted cash</w:t>
            </w:r>
          </w:p>
        </w:tc>
        <w:tc>
          <w:tcPr>
            <w:tcW w:w="8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(20,698)</w:t>
            </w:r>
          </w:p>
        </w:tc>
        <w:tc>
          <w:tcPr>
            <w:tcW w:w="48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87"/>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108,209</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7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17" w:lineRule="exact"/>
        <w:rPr>
          <w:sz w:val="20"/>
          <w:szCs w:val="20"/>
          <w:color w:val="auto"/>
        </w:rPr>
      </w:pPr>
    </w:p>
    <w:p>
      <w:pPr>
        <w:ind w:firstLine="427"/>
        <w:spacing w:after="0" w:line="269" w:lineRule="auto"/>
        <w:rPr>
          <w:sz w:val="20"/>
          <w:szCs w:val="20"/>
          <w:color w:val="auto"/>
        </w:rPr>
      </w:pPr>
      <w:r>
        <w:rPr>
          <w:rFonts w:ascii="Arial" w:cs="Arial" w:eastAsia="Arial" w:hAnsi="Arial"/>
          <w:sz w:val="17"/>
          <w:szCs w:val="17"/>
          <w:color w:val="auto"/>
        </w:rPr>
        <w:t>The net cash used in operating activities of $69.5 million for the six months ended June 30, 2021 was due to a net loss of $60.2 million and a net cash outflow from the change in our operating assets and liabilities of $23.1 million, which were partially offset by adjustments for stock-based compensation expense of $9.8 million, depreciation and amortization of $2.6 million, non-cash lease expense of $0.5 million, accretion of discount on investments of $0.4 million, non-cash interest expense of $0.3 million, and provision for inventories of $0.3 million. The net cash outflow from operating assets and liabilities was primarily due to an increase in inventories of $12.1 million due to the timing of inventory purchases including advance purchases of inventory due to the transition to our own manufacturing facility, anticipated demand and to mitigate supply chain disruptions, which partially related to COVID-19, an increase in accounts receivable of $9.9 million due to timing of collections, a net decrease in account payable, accrued expenses and other current liabilities of $1.0 million due to timing of vendor payments and a decrease in accrued payroll and related benefits of $1.5 million, and a decrease in operating lease liabilities of $0.4 million. The net cash outflow from operating assets and liabilities was partially offset by an increase in deferred revenue of $1.1 million due to the growth of our business, an increase in prepaid expenses and other assets of $0.6 million, and an increase in accrued warranty liability of $0.2 million.</w:t>
      </w:r>
    </w:p>
    <w:p>
      <w:pPr>
        <w:spacing w:after="0" w:line="74"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net cash used in operating activities for the six months ended June 30, 2020 was $44.1 million, attributable to a net loss of $47.2 million and a</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net change in our net operating assets and liabilities of $0.3 million, partially offset by non-cash charges of $3.4 million. Non-cash charges primarily</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consisted of $1.3 million in stock-based compensation, $0.7 million in depreciation and amortization, $0.5 million in the change in the fair value of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redeemable convertible preferred stock warrant liability, $0.4 million in non-cash interest expense, $0.2 million in provision for inventory and $0.1 million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 no-cash lease expense. The change in our net operating assets and liabilities was primarily due to a $3.4 million increase in accounts receivable and 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$2.0 million increase in inventories due to growth in our business, a $0.7 million decrease in accounts payable due to timing of payments and a $0.6 million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increase in prepaid expenses and other assets. These changes were partially offset by a $2.5 million increase in accrued expenses and other current</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liabilities due to timing of payments, a $2.2 million increase in deferred revenue mainly due to the growth of our business, a $1.1 million increase in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accrued payroll and related benefits and a $0.6 million increase in accrued warranty liability.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17" w:lineRule="exact"/>
        <w:rPr>
          <w:sz w:val="20"/>
          <w:szCs w:val="20"/>
          <w:color w:val="auto"/>
        </w:rPr>
      </w:pPr>
    </w:p>
    <w:p>
      <w:pPr>
        <w:ind w:firstLine="427"/>
        <w:spacing w:after="0" w:line="263" w:lineRule="auto"/>
        <w:rPr>
          <w:sz w:val="20"/>
          <w:szCs w:val="20"/>
          <w:color w:val="auto"/>
        </w:rPr>
      </w:pPr>
      <w:r>
        <w:rPr>
          <w:rFonts w:ascii="Arial" w:cs="Arial" w:eastAsia="Arial" w:hAnsi="Arial"/>
          <w:sz w:val="18"/>
          <w:szCs w:val="18"/>
          <w:color w:val="auto"/>
        </w:rPr>
        <w:t>The net cash used in investing activities of $104.3 million for the six months ended June 30, 2021 was due primarily to the purchases of investment securities of $122.4 million and the purchases of property and equipment of $1.8 million, partially offset by the sales and maturities of investment securities of $19.9 million.</w:t>
      </w:r>
    </w:p>
    <w:p>
      <w:pPr>
        <w:spacing w:after="0" w:line="76" w:lineRule="exact"/>
        <w:rPr>
          <w:sz w:val="20"/>
          <w:szCs w:val="20"/>
          <w:color w:val="auto"/>
        </w:rPr>
      </w:pPr>
    </w:p>
    <w:p>
      <w:pPr>
        <w:ind w:right="680" w:firstLine="427"/>
        <w:spacing w:after="0" w:line="308" w:lineRule="auto"/>
        <w:rPr>
          <w:sz w:val="20"/>
          <w:szCs w:val="20"/>
          <w:color w:val="auto"/>
        </w:rPr>
      </w:pPr>
      <w:r>
        <w:rPr>
          <w:rFonts w:ascii="Arial" w:cs="Arial" w:eastAsia="Arial" w:hAnsi="Arial"/>
          <w:sz w:val="17"/>
          <w:szCs w:val="17"/>
          <w:color w:val="auto"/>
        </w:rPr>
        <w:t>The net cash provided by investing activities for the six months ended June 30, 2020 was $25.5 million and related primarily to the sales and maturities of investment securities of $30.5 million, partially offset by the purchases of property and equipment of $5.0 million.</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17" w:lineRule="exact"/>
        <w:rPr>
          <w:sz w:val="20"/>
          <w:szCs w:val="20"/>
          <w:color w:val="auto"/>
        </w:rPr>
      </w:pPr>
    </w:p>
    <w:p>
      <w:pPr>
        <w:jc w:val="both"/>
        <w:ind w:right="400" w:firstLine="427"/>
        <w:spacing w:after="0" w:line="263" w:lineRule="auto"/>
        <w:rPr>
          <w:sz w:val="20"/>
          <w:szCs w:val="20"/>
          <w:color w:val="auto"/>
        </w:rPr>
      </w:pPr>
      <w:r>
        <w:rPr>
          <w:rFonts w:ascii="Arial" w:cs="Arial" w:eastAsia="Arial" w:hAnsi="Arial"/>
          <w:sz w:val="18"/>
          <w:szCs w:val="18"/>
          <w:color w:val="auto"/>
        </w:rPr>
        <w:t>The net cash provided by financing activities of $153.0 million for the six months ended June 30, 2021 was due primarily to the net proceeds of $149.1 million from the issuance of our common stock upon the follow-on offering and the proceeds of $3.9 million from employee exercises of stock options and employee stock purchase plan purchases.</w:t>
      </w:r>
    </w:p>
    <w:p>
      <w:pPr>
        <w:spacing w:after="0" w:line="76" w:lineRule="exact"/>
        <w:rPr>
          <w:sz w:val="20"/>
          <w:szCs w:val="20"/>
          <w:color w:val="auto"/>
        </w:rPr>
      </w:pPr>
    </w:p>
    <w:p>
      <w:pPr>
        <w:ind w:right="260" w:firstLine="427"/>
        <w:spacing w:after="0" w:line="277" w:lineRule="auto"/>
        <w:rPr>
          <w:sz w:val="20"/>
          <w:szCs w:val="20"/>
          <w:color w:val="auto"/>
        </w:rPr>
      </w:pPr>
      <w:r>
        <w:rPr>
          <w:rFonts w:ascii="Arial" w:cs="Arial" w:eastAsia="Arial" w:hAnsi="Arial"/>
          <w:sz w:val="18"/>
          <w:szCs w:val="18"/>
          <w:color w:val="auto"/>
        </w:rPr>
        <w:t>The net cash provided by financing activities for the six months ended June 30, 2020 was due primarily to the net proceeds of $126.8 million from the issuance of our Series E redeemable convertible preferred stock.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121" w:lineRule="exact"/>
        <w:rPr>
          <w:sz w:val="20"/>
          <w:szCs w:val="20"/>
          <w:color w:val="auto"/>
        </w:rPr>
      </w:pPr>
    </w:p>
    <w:p>
      <w:pPr>
        <w:ind w:right="380" w:firstLine="427"/>
        <w:spacing w:after="0" w:line="308" w:lineRule="auto"/>
        <w:rPr>
          <w:sz w:val="20"/>
          <w:szCs w:val="20"/>
          <w:color w:val="auto"/>
        </w:rPr>
      </w:pPr>
      <w:r>
        <w:rPr>
          <w:rFonts w:ascii="Arial" w:cs="Arial" w:eastAsia="Arial" w:hAnsi="Arial"/>
          <w:sz w:val="17"/>
          <w:szCs w:val="17"/>
          <w:color w:val="auto"/>
        </w:rPr>
        <w:t>During the three and six months ended June 30, 2021, there have been no material changes to our contractual obligations from those disclosed in “</w:t>
      </w:r>
      <w:r>
        <w:rPr>
          <w:rFonts w:ascii="Arial" w:cs="Arial" w:eastAsia="Arial" w:hAnsi="Arial"/>
          <w:sz w:val="17"/>
          <w:szCs w:val="17"/>
          <w:i w:val="1"/>
          <w:iCs w:val="1"/>
          <w:color w:val="auto"/>
        </w:rPr>
        <w:t>Management’s Discussion and Analysis of Financial Condition and Results of Operations</w:t>
      </w:r>
      <w:r>
        <w:rPr>
          <w:rFonts w:ascii="Arial" w:cs="Arial" w:eastAsia="Arial" w:hAnsi="Arial"/>
          <w:sz w:val="17"/>
          <w:szCs w:val="17"/>
          <w:color w:val="auto"/>
        </w:rPr>
        <w:t>” included in our 2020 Annual Report.</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right="100" w:firstLine="427"/>
        <w:spacing w:after="0" w:line="277" w:lineRule="auto"/>
        <w:rPr>
          <w:sz w:val="20"/>
          <w:szCs w:val="20"/>
          <w:color w:val="auto"/>
        </w:rPr>
      </w:pPr>
      <w:r>
        <w:rPr>
          <w:rFonts w:ascii="Arial" w:cs="Arial" w:eastAsia="Arial" w:hAnsi="Arial"/>
          <w:sz w:val="18"/>
          <w:szCs w:val="18"/>
          <w:color w:val="auto"/>
        </w:rPr>
        <w:t>During the periods presented, we did not have, nor do we currently have, any off-balance sheet arrangements, as defined in the rules and regulations of the SEC.</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ind w:firstLine="427"/>
        <w:spacing w:after="0" w:line="293" w:lineRule="auto"/>
        <w:rPr>
          <w:sz w:val="20"/>
          <w:szCs w:val="20"/>
          <w:color w:val="auto"/>
        </w:rPr>
      </w:pPr>
      <w:r>
        <w:rPr>
          <w:rFonts w:ascii="Arial" w:cs="Arial" w:eastAsia="Arial" w:hAnsi="Arial"/>
          <w:sz w:val="16"/>
          <w:szCs w:val="16"/>
          <w:color w:val="auto"/>
        </w:rPr>
        <w:t>Management’s discussion and analysis of the financial condition and results of operations is based on the financial statements, which have been prepared in accordance with U.S. GAAP. The preparation of these financial statements requires us to make estimates and assumptions that affect the reported amounts of assets and liabilities and the disclosure of contingent assets and liabilities at the date of the financial statements, as well as the reported revenues and expenses incurred during the reporting periods. The estimates are based on historical experience and on various other factors that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spacing w:after="0" w:line="56" w:lineRule="exact"/>
        <w:rPr>
          <w:sz w:val="20"/>
          <w:szCs w:val="20"/>
          <w:color w:val="auto"/>
        </w:rPr>
      </w:pPr>
    </w:p>
    <w:p>
      <w:pPr>
        <w:ind w:right="40" w:firstLine="427"/>
        <w:spacing w:after="0" w:line="286" w:lineRule="auto"/>
        <w:rPr>
          <w:sz w:val="20"/>
          <w:szCs w:val="20"/>
          <w:color w:val="auto"/>
        </w:rPr>
      </w:pPr>
      <w:r>
        <w:rPr>
          <w:rFonts w:ascii="Arial" w:cs="Arial" w:eastAsia="Arial" w:hAnsi="Arial"/>
          <w:sz w:val="17"/>
          <w:szCs w:val="17"/>
          <w:color w:val="auto"/>
        </w:rPr>
        <w:t>There have been no significant changes in our critical accounting policies and estimates as compared to the critical accounting policies and estimates disclosed in the section titled “Management’s Discussion and Analysis of Financial Condition and Results of Operations” included in our 2020 Annual Report. For additional information, please refer to Note 2 to our unaudited condensed financial statements in this Quarterly Report.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Emerging Growth Company Status</w:t>
      </w:r>
    </w:p>
    <w:p>
      <w:pPr>
        <w:spacing w:after="0" w:line="121" w:lineRule="exact"/>
        <w:rPr>
          <w:sz w:val="20"/>
          <w:szCs w:val="20"/>
          <w:color w:val="auto"/>
        </w:rPr>
      </w:pPr>
    </w:p>
    <w:p>
      <w:pPr>
        <w:ind w:right="80" w:firstLine="427"/>
        <w:spacing w:after="0" w:line="293" w:lineRule="auto"/>
        <w:rPr>
          <w:sz w:val="20"/>
          <w:szCs w:val="20"/>
          <w:color w:val="auto"/>
        </w:rPr>
      </w:pPr>
      <w:r>
        <w:rPr>
          <w:rFonts w:ascii="Arial" w:cs="Arial" w:eastAsia="Arial" w:hAnsi="Arial"/>
          <w:sz w:val="16"/>
          <w:szCs w:val="16"/>
          <w:color w:val="auto"/>
        </w:rPr>
        <w:t>We are an emerging growth company, as defined in the Jumpstart Our Business Startups Act (“JOBS Act”). Under the JOBS Act, emerging growth companies can delay adopting new or revised accounting standards issued subsequent to the enactment of the JOBS Act until such time as those standards apply to private companies. We elected to use this extended transition period for complying with new or revised accounting standards that have different effective dates for public and private companies until the earlier of the date that we (i) are no longer an emerging growth company or (ii) affirmatively and irrevocably opt out of the extended transition period provided in the JOBS Act. As a result, our financial statements may not be comparable to companies that comply with the new or revised accounting pronouncements as of public company effective dates.</w:t>
      </w:r>
    </w:p>
    <w:p>
      <w:pPr>
        <w:spacing w:after="0" w:line="56" w:lineRule="exact"/>
        <w:rPr>
          <w:sz w:val="20"/>
          <w:szCs w:val="20"/>
          <w:color w:val="auto"/>
        </w:rPr>
      </w:pPr>
    </w:p>
    <w:p>
      <w:pPr>
        <w:ind w:right="40" w:firstLine="427"/>
        <w:spacing w:after="0" w:line="287" w:lineRule="auto"/>
        <w:rPr>
          <w:sz w:val="20"/>
          <w:szCs w:val="20"/>
          <w:color w:val="auto"/>
        </w:rPr>
      </w:pPr>
      <w:r>
        <w:rPr>
          <w:rFonts w:ascii="Arial" w:cs="Arial" w:eastAsia="Arial" w:hAnsi="Arial"/>
          <w:sz w:val="16"/>
          <w:szCs w:val="16"/>
          <w:color w:val="auto"/>
        </w:rPr>
        <w:t>Because (i) the aggregate worldwide market value of our voting common stock held by non-affiliates (or "public float") exceeded $700 million on June 30, 2021, (ii) we will have been subject to the reporting requirements of Section 13(a) or 15(d) of the Securities Exchange Act of 1934, as amended (“Exchange Act”) for at least twelve calendar months, (iii) we have previously filed an annual report under Section 13(a) or 15(d) of the Exchange Act and</w:t>
      </w:r>
    </w:p>
    <w:p>
      <w:pPr>
        <w:spacing w:after="0" w:line="2" w:lineRule="exact"/>
        <w:rPr>
          <w:sz w:val="20"/>
          <w:szCs w:val="20"/>
          <w:color w:val="auto"/>
        </w:rPr>
      </w:pPr>
    </w:p>
    <w:p>
      <w:pPr>
        <w:ind w:firstLine="8"/>
        <w:spacing w:after="0" w:line="255" w:lineRule="auto"/>
        <w:tabs>
          <w:tab w:leader="none" w:pos="305"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are not eligible for smaller reporting company status because we exceed the public float and revenue threshold for such status, we will qualify as a "large accelerated filer" under Rule 12b-2 of the Exchange Act as of the end of the current fiscal year. As a large accelerated filer, we will no longer qualify as an emerging growth company.</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See Note 2 to our unaudited condensed financial statements included elsewhere in this Quarterly Report for more information.</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53" w:right="37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17" w:lineRule="exact"/>
        <w:rPr>
          <w:sz w:val="20"/>
          <w:szCs w:val="20"/>
          <w:color w:val="auto"/>
        </w:rPr>
      </w:pPr>
    </w:p>
    <w:p>
      <w:pPr>
        <w:ind w:right="60" w:firstLine="427"/>
        <w:spacing w:after="0" w:line="275" w:lineRule="auto"/>
        <w:rPr>
          <w:sz w:val="20"/>
          <w:szCs w:val="20"/>
          <w:color w:val="auto"/>
        </w:rPr>
      </w:pPr>
      <w:r>
        <w:rPr>
          <w:rFonts w:ascii="Arial" w:cs="Arial" w:eastAsia="Arial" w:hAnsi="Arial"/>
          <w:sz w:val="17"/>
          <w:szCs w:val="17"/>
          <w:color w:val="auto"/>
        </w:rPr>
        <w:t>Our cash, cash equivalents, restricted cash and short-term investments are held in bank deposits, money market funds, U.S. Treasury and debt securities. Such interest-earning instruments carry a degree of interest rate risk. The goals of our investment policy are liquidity and capital preservation; we do not enter into investments for trading or speculative purposes and have not used any derivative financial instruments to manage our interest rate exposure. We believe that we do not have any material exposure to changes in the fair value of these assets as a result of changes in interest rates due to the relative short-term nature of our cash, cash equivalents and short-term investments.</w:t>
      </w:r>
    </w:p>
    <w:p>
      <w:pPr>
        <w:spacing w:after="0" w:line="68" w:lineRule="exact"/>
        <w:rPr>
          <w:sz w:val="20"/>
          <w:szCs w:val="20"/>
          <w:color w:val="auto"/>
        </w:rPr>
      </w:pPr>
    </w:p>
    <w:p>
      <w:pPr>
        <w:ind w:right="60" w:firstLine="427"/>
        <w:spacing w:after="0" w:line="257" w:lineRule="auto"/>
        <w:rPr>
          <w:sz w:val="20"/>
          <w:szCs w:val="20"/>
          <w:color w:val="auto"/>
        </w:rPr>
      </w:pPr>
      <w:r>
        <w:rPr>
          <w:rFonts w:ascii="Arial" w:cs="Arial" w:eastAsia="Arial" w:hAnsi="Arial"/>
          <w:sz w:val="18"/>
          <w:szCs w:val="18"/>
          <w:color w:val="auto"/>
        </w:rPr>
        <w:t>As of June 30, 2021, we had $30.0 million in variable rate debt outstanding. The SVB Term Loan matures on November 1, 2025, with interest-only monthly payments until June 2023. The term loan accrues interest at a rate per annum equal to the greater of (A) one-half of one percent (0.50%) above the Prime Rate as reported in the Wall Street Journal then in effect (which shall not be less than zero) and (B) three and three-quarters of one percent (3.75%). An immediate 100 basis point change in the prime rate would not have a material impact on our debt-related obligations, financial position or results of operations.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Exchange Risk</w:t>
      </w:r>
    </w:p>
    <w:p>
      <w:pPr>
        <w:spacing w:after="0" w:line="117" w:lineRule="exact"/>
        <w:rPr>
          <w:sz w:val="20"/>
          <w:szCs w:val="20"/>
          <w:color w:val="auto"/>
        </w:rPr>
      </w:pPr>
    </w:p>
    <w:p>
      <w:pPr>
        <w:ind w:right="100" w:firstLine="427"/>
        <w:spacing w:after="0" w:line="263" w:lineRule="auto"/>
        <w:rPr>
          <w:sz w:val="20"/>
          <w:szCs w:val="20"/>
          <w:color w:val="auto"/>
        </w:rPr>
      </w:pPr>
      <w:r>
        <w:rPr>
          <w:rFonts w:ascii="Arial" w:cs="Arial" w:eastAsia="Arial" w:hAnsi="Arial"/>
          <w:sz w:val="18"/>
          <w:szCs w:val="18"/>
          <w:color w:val="auto"/>
        </w:rPr>
        <w:t>Our expenses are generally denominated in U.S. dollars. However, as certain of our Mexico-based manufacturing operations incur costs that are denominated in Mexican Pesos (“MXN”), we are exposed to the risk of currency fluctuations between the U.S. dollar and MXN. To date, foreign currency transaction gains and losses have not been material to our financial statements.</w:t>
      </w:r>
    </w:p>
    <w:p>
      <w:pPr>
        <w:spacing w:after="0" w:line="76" w:lineRule="exact"/>
        <w:rPr>
          <w:sz w:val="20"/>
          <w:szCs w:val="20"/>
          <w:color w:val="auto"/>
        </w:rPr>
      </w:pPr>
    </w:p>
    <w:p>
      <w:pPr>
        <w:jc w:val="both"/>
        <w:ind w:right="160" w:firstLine="427"/>
        <w:spacing w:after="0" w:line="311" w:lineRule="auto"/>
        <w:rPr>
          <w:sz w:val="20"/>
          <w:szCs w:val="20"/>
          <w:color w:val="auto"/>
        </w:rPr>
      </w:pPr>
      <w:r>
        <w:rPr>
          <w:rFonts w:ascii="Arial" w:cs="Arial" w:eastAsia="Arial" w:hAnsi="Arial"/>
          <w:sz w:val="16"/>
          <w:szCs w:val="16"/>
          <w:color w:val="auto"/>
        </w:rPr>
        <w:t>Unfavorable changes in foreign exchange rates versus the U.S. dollar could increase our product costs, thus reducing our gross profit. We have not engaged in the hedging of foreign currency transactions to date, although we may choose to do so in the future. We do not believe that an immediate 10% increase or decrease in the relative value of the U.S. dollar to other currencies would have a material effect on our operating results or financial condition.</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17" w:lineRule="exact"/>
        <w:rPr>
          <w:sz w:val="20"/>
          <w:szCs w:val="20"/>
          <w:color w:val="auto"/>
        </w:rPr>
      </w:pPr>
    </w:p>
    <w:p>
      <w:pPr>
        <w:ind w:firstLine="427"/>
        <w:spacing w:after="0" w:line="289" w:lineRule="auto"/>
        <w:rPr>
          <w:sz w:val="20"/>
          <w:szCs w:val="20"/>
          <w:color w:val="auto"/>
        </w:rPr>
      </w:pPr>
      <w:r>
        <w:rPr>
          <w:rFonts w:ascii="Arial" w:cs="Arial" w:eastAsia="Arial" w:hAnsi="Arial"/>
          <w:sz w:val="16"/>
          <w:szCs w:val="16"/>
          <w:color w:val="auto"/>
        </w:rPr>
        <w:t>Our management, with the participation and supervision of our Chief Executive Officer and Chief Financial Officer, have evaluated the effectiveness of the design and operation of our disclosure controls and procedures pursuant to Rule 13a-15(e) and 15d-15(e) under the Exchange Act as of the end of the period covered by this Quarterly Report. Our disclosure controls and procedures are designed to ensure that information required to be disclosed in the reports we file or submit under the Exchange Act is recorded, processed, summarized and reported within the time periods specified in the SEC’s rules and forms, and that such information is accumulated and communicated to our management, including our Chief Executive Officer and our Chief Financial Officer, to allow timely decisions regarding required disclosures. Any controls and procedures, no matter how well designed and operated, can provide only reasonable assurance of achieving the desired control objective and management necessarily applies its judgment in evaluating the cost-benefit relationship of possible controls and procedures. Based on that evaluation, our Chief Executive Officer and Chief Financial Officer have concluded that our disclosure controls and procedures were effective at a reasonable assurance level as of the period covered by this Quarterly Report.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17" w:lineRule="exact"/>
        <w:rPr>
          <w:sz w:val="20"/>
          <w:szCs w:val="20"/>
          <w:color w:val="auto"/>
        </w:rPr>
      </w:pPr>
    </w:p>
    <w:p>
      <w:pPr>
        <w:ind w:right="220" w:firstLine="427"/>
        <w:spacing w:after="0" w:line="308" w:lineRule="auto"/>
        <w:rPr>
          <w:sz w:val="20"/>
          <w:szCs w:val="20"/>
          <w:color w:val="auto"/>
        </w:rPr>
      </w:pPr>
      <w:r>
        <w:rPr>
          <w:rFonts w:ascii="Arial" w:cs="Arial" w:eastAsia="Arial" w:hAnsi="Arial"/>
          <w:sz w:val="17"/>
          <w:szCs w:val="17"/>
          <w:color w:val="auto"/>
        </w:rPr>
        <w:t>There were no changes in our internal control over financial reporting (as defined in Exchange Act Rules 13a-15(f) and 15d-15(f)) during our most recent fiscal quarter that have materially affected, or are reasonably likely to materially affect, our internal control over financial reporting.</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25" w:name="page26"/>
    <w:bookmarkEnd w:id="25"/>
    <w:p>
      <w:pPr>
        <w:jc w:val="center"/>
        <w:ind w:right="-79"/>
        <w:spacing w:after="0"/>
        <w:rPr>
          <w:sz w:val="20"/>
          <w:szCs w:val="20"/>
          <w:color w:val="auto"/>
        </w:rPr>
      </w:pPr>
      <w:r>
        <w:rPr>
          <w:rFonts w:ascii="Arial" w:cs="Arial" w:eastAsia="Arial" w:hAnsi="Arial"/>
          <w:sz w:val="18"/>
          <w:szCs w:val="18"/>
          <w:b w:val="1"/>
          <w:bCs w:val="1"/>
          <w:color w:val="auto"/>
        </w:rPr>
        <w:t>PART II—OTHER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ind w:right="120" w:firstLine="427"/>
        <w:spacing w:after="0" w:line="259" w:lineRule="auto"/>
        <w:rPr>
          <w:sz w:val="20"/>
          <w:szCs w:val="20"/>
          <w:color w:val="auto"/>
        </w:rPr>
      </w:pPr>
      <w:r>
        <w:rPr>
          <w:rFonts w:ascii="Arial" w:cs="Arial" w:eastAsia="Arial" w:hAnsi="Arial"/>
          <w:sz w:val="18"/>
          <w:szCs w:val="18"/>
          <w:color w:val="auto"/>
        </w:rPr>
        <w:t>From time to time we may become involved in legal proceedings or investigations, which could have an adverse impact on our reputation, business and financial condition and divert the attention of our management from the operation of our business. We are not presently a party to any legal proceedings that, if determined adversely to us, would individually or taken together have a material adverse effect on our business, results of operations, financial condition or cash flows.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right="80" w:firstLine="427"/>
        <w:spacing w:after="0" w:line="272" w:lineRule="auto"/>
        <w:rPr>
          <w:sz w:val="20"/>
          <w:szCs w:val="20"/>
          <w:color w:val="auto"/>
        </w:rPr>
      </w:pPr>
      <w:r>
        <w:rPr>
          <w:rFonts w:ascii="Arial" w:cs="Arial" w:eastAsia="Arial" w:hAnsi="Arial"/>
          <w:sz w:val="17"/>
          <w:szCs w:val="17"/>
          <w:color w:val="auto"/>
        </w:rPr>
        <w:t>You should carefully consider the risk factors discussed in Part I, “Item 1A. Risk Factors” in our 2020 Annual Report, as updated by the risk factors discussed in Part II, “Item 1A. Risk Factors” in our Quarterly Report on Form 10-Q for the fiscal quarter ended March 31, 2021 (“Q1 2021 Quarterly Report”), which could materially affect our business, financial position, or future results of operations. There have been no material changes to the risk factors described in our 2020 Annual Report, as updated by our Q1 2021 Quarterly Report. The risks described in our 2020 Annual Report and our Q1 2021 Quarterly Report are not the only risks that we face. Additional risks and uncertainties not precisely known to us, or that we currently deem to be immaterial, may also arise and materially impact our business. If any of these risks occur, our business, results of operations and financial condition could be materially and adversely affected and the trading price of our common stock could decline.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17" w:lineRule="exact"/>
        <w:rPr>
          <w:sz w:val="20"/>
          <w:szCs w:val="20"/>
          <w:color w:val="auto"/>
        </w:rPr>
      </w:pPr>
    </w:p>
    <w:p>
      <w:pPr>
        <w:ind w:left="440" w:right="8480" w:hanging="432"/>
        <w:spacing w:after="0" w:line="407" w:lineRule="auto"/>
        <w:tabs>
          <w:tab w:leader="none" w:pos="268"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Sales of Unregistered Securities </w:t>
      </w:r>
      <w:r>
        <w:rPr>
          <w:rFonts w:ascii="Arial" w:cs="Arial" w:eastAsia="Arial" w:hAnsi="Arial"/>
          <w:sz w:val="18"/>
          <w:szCs w:val="18"/>
          <w:color w:val="auto"/>
        </w:rPr>
        <w:t>None.</w:t>
      </w:r>
    </w:p>
    <w:p>
      <w:pPr>
        <w:spacing w:after="0" w:line="53" w:lineRule="exact"/>
        <w:rPr>
          <w:rFonts w:ascii="Arial" w:cs="Arial" w:eastAsia="Arial" w:hAnsi="Arial"/>
          <w:sz w:val="18"/>
          <w:szCs w:val="18"/>
          <w:b w:val="1"/>
          <w:bCs w:val="1"/>
          <w:color w:val="auto"/>
        </w:rPr>
      </w:pPr>
    </w:p>
    <w:p>
      <w:pPr>
        <w:ind w:left="280" w:hanging="272"/>
        <w:spacing w:after="0"/>
        <w:tabs>
          <w:tab w:leader="none" w:pos="28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Use of Proceeds from Public Offering of Common Stock</w:t>
      </w:r>
    </w:p>
    <w:p>
      <w:pPr>
        <w:spacing w:after="0" w:line="121" w:lineRule="exact"/>
        <w:rPr>
          <w:sz w:val="20"/>
          <w:szCs w:val="20"/>
          <w:color w:val="auto"/>
        </w:rPr>
      </w:pPr>
    </w:p>
    <w:p>
      <w:pPr>
        <w:ind w:firstLine="427"/>
        <w:spacing w:after="0" w:line="286" w:lineRule="auto"/>
        <w:rPr>
          <w:sz w:val="20"/>
          <w:szCs w:val="20"/>
          <w:color w:val="auto"/>
        </w:rPr>
      </w:pPr>
      <w:r>
        <w:rPr>
          <w:rFonts w:ascii="Arial" w:cs="Arial" w:eastAsia="Arial" w:hAnsi="Arial"/>
          <w:sz w:val="17"/>
          <w:szCs w:val="17"/>
          <w:color w:val="auto"/>
        </w:rPr>
        <w:t>The offer and sale of shares in our IPO was registered under the Securities Act pursuant to a registration statement on Form S-1 (File No.333-248225), which was declared effective by the SEC on September 17, 2020. The remainder of the information required by this item regarding the use of our IPO proceeds has been omitted pursuant to SEC rules because such information has not changed since our last periodic report was filed.</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337" w:right="41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Item 6. Exhibits.</w:t>
      </w: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80" w:type="dxa"/>
            <w:vAlign w:val="bottom"/>
          </w:tcPr>
          <w:p>
            <w:pPr>
              <w:ind w:left="180"/>
              <w:spacing w:after="0"/>
              <w:rPr>
                <w:sz w:val="20"/>
                <w:szCs w:val="20"/>
                <w:color w:val="auto"/>
              </w:rPr>
            </w:pPr>
            <w:r>
              <w:rPr>
                <w:rFonts w:ascii="Arial" w:cs="Arial" w:eastAsia="Arial" w:hAnsi="Arial"/>
                <w:sz w:val="14"/>
                <w:szCs w:val="14"/>
                <w:b w:val="1"/>
                <w:bCs w:val="1"/>
                <w:color w:val="auto"/>
              </w:rPr>
              <w:t>Exhibit</w:t>
            </w:r>
          </w:p>
        </w:tc>
        <w:tc>
          <w:tcPr>
            <w:tcW w:w="2940" w:type="dxa"/>
            <w:vAlign w:val="bottom"/>
            <w:gridSpan w:val="17"/>
            <w:vMerge w:val="restart"/>
          </w:tcPr>
          <w:p>
            <w:pPr>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86"/>
        </w:trPr>
        <w:tc>
          <w:tcPr>
            <w:tcW w:w="1480" w:type="dxa"/>
            <w:vAlign w:val="bottom"/>
          </w:tcPr>
          <w:p>
            <w:pPr>
              <w:ind w:left="160"/>
              <w:spacing w:after="0"/>
              <w:rPr>
                <w:sz w:val="20"/>
                <w:szCs w:val="20"/>
                <w:color w:val="auto"/>
              </w:rPr>
            </w:pPr>
            <w:r>
              <w:rPr>
                <w:rFonts w:ascii="Arial" w:cs="Arial" w:eastAsia="Arial" w:hAnsi="Arial"/>
                <w:sz w:val="14"/>
                <w:szCs w:val="14"/>
                <w:b w:val="1"/>
                <w:bCs w:val="1"/>
                <w:color w:val="auto"/>
              </w:rPr>
              <w:t>Number</w:t>
            </w:r>
          </w:p>
        </w:tc>
        <w:tc>
          <w:tcPr>
            <w:tcW w:w="2940" w:type="dxa"/>
            <w:vAlign w:val="bottom"/>
            <w:gridSpan w:val="17"/>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23"/>
        </w:trPr>
        <w:tc>
          <w:tcPr>
            <w:tcW w:w="1480" w:type="dxa"/>
            <w:vAlign w:val="bottom"/>
          </w:tcPr>
          <w:p>
            <w:pPr>
              <w:spacing w:after="0"/>
              <w:rPr>
                <w:sz w:val="20"/>
                <w:szCs w:val="20"/>
                <w:color w:val="auto"/>
              </w:rPr>
            </w:pPr>
            <w:r>
              <w:rPr>
                <w:rFonts w:ascii="Arial" w:cs="Arial" w:eastAsia="Arial" w:hAnsi="Arial"/>
                <w:sz w:val="18"/>
                <w:szCs w:val="18"/>
                <w:color w:val="auto"/>
              </w:rPr>
              <w:t>3.1</w:t>
            </w:r>
          </w:p>
        </w:tc>
        <w:tc>
          <w:tcPr>
            <w:tcW w:w="2300" w:type="dxa"/>
            <w:vAlign w:val="bottom"/>
            <w:tcBorders>
              <w:bottom w:val="single" w:sz="8" w:color="0000EE"/>
            </w:tcBorders>
            <w:gridSpan w:val="6"/>
          </w:tcPr>
          <w:p>
            <w:pPr>
              <w:spacing w:after="0"/>
              <w:rPr>
                <w:rFonts w:ascii="Arial" w:cs="Arial" w:eastAsia="Arial" w:hAnsi="Arial"/>
                <w:sz w:val="18"/>
                <w:szCs w:val="18"/>
                <w:color w:val="0000EE"/>
                <w:w w:val="88"/>
              </w:rPr>
            </w:pPr>
            <w:hyperlink r:id="rId44">
              <w:r>
                <w:rPr>
                  <w:rFonts w:ascii="Arial" w:cs="Arial" w:eastAsia="Arial" w:hAnsi="Arial"/>
                  <w:sz w:val="18"/>
                  <w:szCs w:val="18"/>
                  <w:color w:val="0000EE"/>
                  <w:w w:val="88"/>
                </w:rPr>
                <w:t>Form of Amended and Restated</w:t>
              </w:r>
            </w:hyperlink>
          </w:p>
        </w:tc>
        <w:tc>
          <w:tcPr>
            <w:tcW w:w="640" w:type="dxa"/>
            <w:vAlign w:val="bottom"/>
            <w:gridSpan w:val="11"/>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480" w:type="dxa"/>
            <w:vAlign w:val="bottom"/>
          </w:tcPr>
          <w:p>
            <w:pPr>
              <w:spacing w:after="0"/>
              <w:rPr>
                <w:sz w:val="17"/>
                <w:szCs w:val="17"/>
                <w:color w:val="auto"/>
              </w:rPr>
            </w:pPr>
          </w:p>
        </w:tc>
        <w:tc>
          <w:tcPr>
            <w:tcW w:w="2940" w:type="dxa"/>
            <w:vAlign w:val="bottom"/>
            <w:gridSpan w:val="17"/>
          </w:tcPr>
          <w:p>
            <w:pPr>
              <w:spacing w:after="0" w:line="196" w:lineRule="exact"/>
              <w:rPr>
                <w:rFonts w:ascii="Arial" w:cs="Arial" w:eastAsia="Arial" w:hAnsi="Arial"/>
                <w:sz w:val="18"/>
                <w:szCs w:val="18"/>
                <w:color w:val="0000EE"/>
              </w:rPr>
            </w:pPr>
            <w:hyperlink r:id="rId44">
              <w:r>
                <w:rPr>
                  <w:rFonts w:ascii="Arial" w:cs="Arial" w:eastAsia="Arial" w:hAnsi="Arial"/>
                  <w:sz w:val="18"/>
                  <w:szCs w:val="18"/>
                  <w:color w:val="0000EE"/>
                </w:rPr>
                <w:t>Certificate of Incorporation of Outset</w:t>
              </w:r>
            </w:hyperlink>
          </w:p>
        </w:tc>
        <w:tc>
          <w:tcPr>
            <w:tcW w:w="0" w:type="dxa"/>
            <w:vAlign w:val="bottom"/>
          </w:tcPr>
          <w:p>
            <w:pPr>
              <w:spacing w:after="0"/>
              <w:rPr>
                <w:sz w:val="1"/>
                <w:szCs w:val="1"/>
                <w:color w:val="auto"/>
              </w:rPr>
            </w:pPr>
          </w:p>
        </w:tc>
      </w:tr>
      <w:tr>
        <w:trPr>
          <w:trHeight w:val="196"/>
        </w:trPr>
        <w:tc>
          <w:tcPr>
            <w:tcW w:w="1480" w:type="dxa"/>
            <w:vAlign w:val="bottom"/>
          </w:tcPr>
          <w:p>
            <w:pPr>
              <w:spacing w:after="0"/>
              <w:rPr>
                <w:sz w:val="17"/>
                <w:szCs w:val="17"/>
                <w:color w:val="auto"/>
              </w:rPr>
            </w:pPr>
          </w:p>
        </w:tc>
        <w:tc>
          <w:tcPr>
            <w:tcW w:w="96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2"/>
              </w:rPr>
            </w:pPr>
            <w:hyperlink r:id="rId44">
              <w:r>
                <w:rPr>
                  <w:rFonts w:ascii="Arial" w:cs="Arial" w:eastAsia="Arial" w:hAnsi="Arial"/>
                  <w:sz w:val="18"/>
                  <w:szCs w:val="18"/>
                  <w:color w:val="0000EE"/>
                  <w:w w:val="92"/>
                </w:rPr>
                <w:t>Medical, Inc.</w:t>
              </w:r>
            </w:hyperlink>
          </w:p>
        </w:tc>
        <w:tc>
          <w:tcPr>
            <w:tcW w:w="1720" w:type="dxa"/>
            <w:vAlign w:val="bottom"/>
            <w:tcBorders>
              <w:top w:val="single" w:sz="8" w:color="0000EE"/>
            </w:tcBorders>
            <w:gridSpan w:val="8"/>
          </w:tcPr>
          <w:p>
            <w:pPr>
              <w:spacing w:after="0"/>
              <w:rPr>
                <w:sz w:val="17"/>
                <w:szCs w:val="17"/>
                <w:color w:val="auto"/>
              </w:rPr>
            </w:pPr>
          </w:p>
        </w:tc>
        <w:tc>
          <w:tcPr>
            <w:tcW w:w="26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480" w:type="dxa"/>
            <w:vAlign w:val="bottom"/>
          </w:tcPr>
          <w:p>
            <w:pPr>
              <w:spacing w:after="0"/>
              <w:rPr>
                <w:sz w:val="20"/>
                <w:szCs w:val="20"/>
                <w:color w:val="auto"/>
              </w:rPr>
            </w:pPr>
            <w:r>
              <w:rPr>
                <w:rFonts w:ascii="Arial" w:cs="Arial" w:eastAsia="Arial" w:hAnsi="Arial"/>
                <w:sz w:val="18"/>
                <w:szCs w:val="18"/>
                <w:color w:val="auto"/>
              </w:rPr>
              <w:t>3.2</w:t>
            </w:r>
          </w:p>
        </w:tc>
        <w:tc>
          <w:tcPr>
            <w:tcW w:w="2920" w:type="dxa"/>
            <w:vAlign w:val="bottom"/>
            <w:tcBorders>
              <w:bottom w:val="single" w:sz="8" w:color="0000EE"/>
            </w:tcBorders>
            <w:gridSpan w:val="16"/>
          </w:tcPr>
          <w:p>
            <w:pPr>
              <w:spacing w:after="0"/>
              <w:rPr>
                <w:rFonts w:ascii="Arial" w:cs="Arial" w:eastAsia="Arial" w:hAnsi="Arial"/>
                <w:sz w:val="18"/>
                <w:szCs w:val="18"/>
                <w:color w:val="0000EE"/>
                <w:w w:val="91"/>
              </w:rPr>
            </w:pPr>
            <w:hyperlink r:id="rId45">
              <w:r>
                <w:rPr>
                  <w:rFonts w:ascii="Arial" w:cs="Arial" w:eastAsia="Arial" w:hAnsi="Arial"/>
                  <w:sz w:val="18"/>
                  <w:szCs w:val="18"/>
                  <w:color w:val="0000EE"/>
                  <w:w w:val="91"/>
                </w:rPr>
                <w:t>Form of Amended and Restated Bylaws</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480" w:type="dxa"/>
            <w:vAlign w:val="bottom"/>
          </w:tcPr>
          <w:p>
            <w:pPr>
              <w:spacing w:after="0"/>
              <w:rPr>
                <w:sz w:val="17"/>
                <w:szCs w:val="17"/>
                <w:color w:val="auto"/>
              </w:rPr>
            </w:pPr>
          </w:p>
        </w:tc>
        <w:tc>
          <w:tcPr>
            <w:tcW w:w="2940" w:type="dxa"/>
            <w:vAlign w:val="bottom"/>
            <w:gridSpan w:val="17"/>
          </w:tcPr>
          <w:p>
            <w:pPr>
              <w:spacing w:after="0" w:line="196" w:lineRule="exact"/>
              <w:rPr>
                <w:rFonts w:ascii="Arial" w:cs="Arial" w:eastAsia="Arial" w:hAnsi="Arial"/>
                <w:sz w:val="18"/>
                <w:szCs w:val="18"/>
                <w:color w:val="0000EE"/>
              </w:rPr>
            </w:pPr>
            <w:hyperlink r:id="rId45">
              <w:r>
                <w:rPr>
                  <w:rFonts w:ascii="Arial" w:cs="Arial" w:eastAsia="Arial" w:hAnsi="Arial"/>
                  <w:sz w:val="18"/>
                  <w:szCs w:val="18"/>
                  <w:color w:val="0000EE"/>
                </w:rPr>
                <w:t>of Outset Medical, Inc.</w:t>
              </w:r>
            </w:hyperlink>
          </w:p>
        </w:tc>
        <w:tc>
          <w:tcPr>
            <w:tcW w:w="0" w:type="dxa"/>
            <w:vAlign w:val="bottom"/>
          </w:tcPr>
          <w:p>
            <w:pPr>
              <w:spacing w:after="0"/>
              <w:rPr>
                <w:sz w:val="1"/>
                <w:szCs w:val="1"/>
                <w:color w:val="auto"/>
              </w:rPr>
            </w:pPr>
          </w:p>
        </w:tc>
      </w:tr>
      <w:tr>
        <w:trPr>
          <w:trHeight w:val="20"/>
        </w:trPr>
        <w:tc>
          <w:tcPr>
            <w:tcW w:w="148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1480" w:type="dxa"/>
            <w:vAlign w:val="bottom"/>
          </w:tcPr>
          <w:p>
            <w:pPr>
              <w:spacing w:after="0"/>
              <w:rPr>
                <w:sz w:val="20"/>
                <w:szCs w:val="20"/>
                <w:color w:val="auto"/>
              </w:rPr>
            </w:pPr>
            <w:r>
              <w:rPr>
                <w:rFonts w:ascii="Arial" w:cs="Arial" w:eastAsia="Arial" w:hAnsi="Arial"/>
                <w:sz w:val="18"/>
                <w:szCs w:val="18"/>
                <w:color w:val="auto"/>
              </w:rPr>
              <w:t>4.1</w:t>
            </w:r>
          </w:p>
        </w:tc>
        <w:tc>
          <w:tcPr>
            <w:tcW w:w="2560" w:type="dxa"/>
            <w:vAlign w:val="bottom"/>
            <w:tcBorders>
              <w:bottom w:val="single" w:sz="8" w:color="0000EE"/>
            </w:tcBorders>
            <w:gridSpan w:val="8"/>
          </w:tcPr>
          <w:p>
            <w:pPr>
              <w:spacing w:after="0"/>
              <w:rPr>
                <w:rFonts w:ascii="Arial" w:cs="Arial" w:eastAsia="Arial" w:hAnsi="Arial"/>
                <w:sz w:val="18"/>
                <w:szCs w:val="18"/>
                <w:color w:val="0000EE"/>
                <w:w w:val="91"/>
              </w:rPr>
            </w:pPr>
            <w:hyperlink r:id="rId46">
              <w:r>
                <w:rPr>
                  <w:rFonts w:ascii="Arial" w:cs="Arial" w:eastAsia="Arial" w:hAnsi="Arial"/>
                  <w:sz w:val="18"/>
                  <w:szCs w:val="18"/>
                  <w:color w:val="0000EE"/>
                  <w:w w:val="91"/>
                </w:rPr>
                <w:t>Form of Common Stock Certificate</w:t>
              </w:r>
            </w:hyperlink>
          </w:p>
        </w:tc>
        <w:tc>
          <w:tcPr>
            <w:tcW w:w="380" w:type="dxa"/>
            <w:vAlign w:val="bottom"/>
            <w:gridSpan w:val="9"/>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1480" w:type="dxa"/>
            <w:vAlign w:val="bottom"/>
          </w:tcPr>
          <w:p>
            <w:pPr>
              <w:spacing w:after="0"/>
              <w:rPr>
                <w:sz w:val="20"/>
                <w:szCs w:val="20"/>
                <w:color w:val="auto"/>
              </w:rPr>
            </w:pPr>
            <w:r>
              <w:rPr>
                <w:rFonts w:ascii="Arial" w:cs="Arial" w:eastAsia="Arial" w:hAnsi="Arial"/>
                <w:sz w:val="18"/>
                <w:szCs w:val="18"/>
                <w:color w:val="auto"/>
              </w:rPr>
              <w:t>4.2</w:t>
            </w:r>
          </w:p>
        </w:tc>
        <w:tc>
          <w:tcPr>
            <w:tcW w:w="2600" w:type="dxa"/>
            <w:vAlign w:val="bottom"/>
            <w:tcBorders>
              <w:bottom w:val="single" w:sz="8" w:color="0000EE"/>
            </w:tcBorders>
            <w:gridSpan w:val="9"/>
          </w:tcPr>
          <w:p>
            <w:pPr>
              <w:spacing w:after="0"/>
              <w:rPr>
                <w:rFonts w:ascii="Arial" w:cs="Arial" w:eastAsia="Arial" w:hAnsi="Arial"/>
                <w:sz w:val="18"/>
                <w:szCs w:val="18"/>
                <w:color w:val="0000EE"/>
                <w:w w:val="88"/>
              </w:rPr>
            </w:pPr>
            <w:hyperlink r:id="rId47">
              <w:r>
                <w:rPr>
                  <w:rFonts w:ascii="Arial" w:cs="Arial" w:eastAsia="Arial" w:hAnsi="Arial"/>
                  <w:sz w:val="18"/>
                  <w:szCs w:val="18"/>
                  <w:color w:val="0000EE"/>
                  <w:w w:val="88"/>
                </w:rPr>
                <w:t>Amended and Restated Registration</w:t>
              </w:r>
            </w:hyperlink>
          </w:p>
        </w:tc>
        <w:tc>
          <w:tcPr>
            <w:tcW w:w="34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4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300" w:type="dxa"/>
            <w:vAlign w:val="bottom"/>
            <w:gridSpan w:val="16"/>
          </w:tcPr>
          <w:p>
            <w:pPr>
              <w:spacing w:after="0" w:line="196" w:lineRule="exact"/>
              <w:rPr>
                <w:rFonts w:ascii="Arial" w:cs="Arial" w:eastAsia="Arial" w:hAnsi="Arial"/>
                <w:sz w:val="18"/>
                <w:szCs w:val="18"/>
                <w:color w:val="0000EE"/>
              </w:rPr>
            </w:pPr>
            <w:hyperlink r:id="rId47">
              <w:r>
                <w:rPr>
                  <w:rFonts w:ascii="Arial" w:cs="Arial" w:eastAsia="Arial" w:hAnsi="Arial"/>
                  <w:sz w:val="18"/>
                  <w:szCs w:val="18"/>
                  <w:color w:val="0000EE"/>
                </w:rPr>
                <w:t>Rights Agreement</w:t>
              </w:r>
            </w:hyperlink>
          </w:p>
        </w:tc>
        <w:tc>
          <w:tcPr>
            <w:tcW w:w="0" w:type="dxa"/>
            <w:vAlign w:val="bottom"/>
          </w:tcPr>
          <w:p>
            <w:pPr>
              <w:spacing w:after="0"/>
              <w:rPr>
                <w:sz w:val="1"/>
                <w:szCs w:val="1"/>
                <w:color w:val="auto"/>
              </w:rPr>
            </w:pPr>
          </w:p>
        </w:tc>
      </w:tr>
      <w:tr>
        <w:trPr>
          <w:trHeight w:val="20"/>
        </w:trPr>
        <w:tc>
          <w:tcPr>
            <w:tcW w:w="14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320" w:type="dxa"/>
            <w:vAlign w:val="bottom"/>
            <w:gridSpan w:val="3"/>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1480" w:type="dxa"/>
            <w:vAlign w:val="bottom"/>
          </w:tcPr>
          <w:p>
            <w:pPr>
              <w:spacing w:after="0"/>
              <w:rPr>
                <w:sz w:val="20"/>
                <w:szCs w:val="20"/>
                <w:color w:val="auto"/>
              </w:rPr>
            </w:pPr>
            <w:r>
              <w:rPr>
                <w:rFonts w:ascii="Arial" w:cs="Arial" w:eastAsia="Arial" w:hAnsi="Arial"/>
                <w:sz w:val="18"/>
                <w:szCs w:val="18"/>
                <w:color w:val="auto"/>
              </w:rPr>
              <w:t>4.3</w:t>
            </w:r>
          </w:p>
        </w:tc>
        <w:tc>
          <w:tcPr>
            <w:tcW w:w="2940" w:type="dxa"/>
            <w:vAlign w:val="bottom"/>
            <w:tcBorders>
              <w:bottom w:val="single" w:sz="8" w:color="0000EE"/>
            </w:tcBorders>
            <w:gridSpan w:val="17"/>
          </w:tcPr>
          <w:p>
            <w:pPr>
              <w:spacing w:after="0"/>
              <w:rPr>
                <w:rFonts w:ascii="Arial" w:cs="Arial" w:eastAsia="Arial" w:hAnsi="Arial"/>
                <w:sz w:val="18"/>
                <w:szCs w:val="18"/>
                <w:color w:val="0000EE"/>
                <w:w w:val="90"/>
              </w:rPr>
            </w:pPr>
            <w:hyperlink r:id="rId48">
              <w:r>
                <w:rPr>
                  <w:rFonts w:ascii="Arial" w:cs="Arial" w:eastAsia="Arial" w:hAnsi="Arial"/>
                  <w:sz w:val="18"/>
                  <w:szCs w:val="18"/>
                  <w:color w:val="0000EE"/>
                  <w:w w:val="90"/>
                </w:rPr>
                <w:t>Form of Series A Warrant Agreement #1</w:t>
              </w:r>
            </w:hyperlink>
          </w:p>
        </w:tc>
        <w:tc>
          <w:tcPr>
            <w:tcW w:w="0" w:type="dxa"/>
            <w:vAlign w:val="bottom"/>
          </w:tcPr>
          <w:p>
            <w:pPr>
              <w:spacing w:after="0"/>
              <w:rPr>
                <w:sz w:val="1"/>
                <w:szCs w:val="1"/>
                <w:color w:val="auto"/>
              </w:rPr>
            </w:pPr>
          </w:p>
        </w:tc>
      </w:tr>
      <w:tr>
        <w:trPr>
          <w:trHeight w:val="345"/>
        </w:trPr>
        <w:tc>
          <w:tcPr>
            <w:tcW w:w="1480" w:type="dxa"/>
            <w:vAlign w:val="bottom"/>
          </w:tcPr>
          <w:p>
            <w:pPr>
              <w:spacing w:after="0"/>
              <w:rPr>
                <w:sz w:val="20"/>
                <w:szCs w:val="20"/>
                <w:color w:val="auto"/>
              </w:rPr>
            </w:pPr>
            <w:r>
              <w:rPr>
                <w:rFonts w:ascii="Arial" w:cs="Arial" w:eastAsia="Arial" w:hAnsi="Arial"/>
                <w:sz w:val="18"/>
                <w:szCs w:val="18"/>
                <w:color w:val="auto"/>
              </w:rPr>
              <w:t>4.4</w:t>
            </w:r>
          </w:p>
        </w:tc>
        <w:tc>
          <w:tcPr>
            <w:tcW w:w="2940" w:type="dxa"/>
            <w:vAlign w:val="bottom"/>
            <w:tcBorders>
              <w:bottom w:val="single" w:sz="8" w:color="0000EE"/>
            </w:tcBorders>
            <w:gridSpan w:val="17"/>
          </w:tcPr>
          <w:p>
            <w:pPr>
              <w:spacing w:after="0"/>
              <w:rPr>
                <w:rFonts w:ascii="Arial" w:cs="Arial" w:eastAsia="Arial" w:hAnsi="Arial"/>
                <w:sz w:val="18"/>
                <w:szCs w:val="18"/>
                <w:color w:val="0000EE"/>
                <w:w w:val="90"/>
              </w:rPr>
            </w:pPr>
            <w:hyperlink r:id="rId49">
              <w:r>
                <w:rPr>
                  <w:rFonts w:ascii="Arial" w:cs="Arial" w:eastAsia="Arial" w:hAnsi="Arial"/>
                  <w:sz w:val="18"/>
                  <w:szCs w:val="18"/>
                  <w:color w:val="0000EE"/>
                  <w:w w:val="90"/>
                </w:rPr>
                <w:t>Form of Series A Warrant Agreement #2</w:t>
              </w:r>
            </w:hyperlink>
          </w:p>
        </w:tc>
        <w:tc>
          <w:tcPr>
            <w:tcW w:w="0" w:type="dxa"/>
            <w:vAlign w:val="bottom"/>
          </w:tcPr>
          <w:p>
            <w:pPr>
              <w:spacing w:after="0"/>
              <w:rPr>
                <w:sz w:val="1"/>
                <w:szCs w:val="1"/>
                <w:color w:val="auto"/>
              </w:rPr>
            </w:pPr>
          </w:p>
        </w:tc>
      </w:tr>
      <w:tr>
        <w:trPr>
          <w:trHeight w:val="344"/>
        </w:trPr>
        <w:tc>
          <w:tcPr>
            <w:tcW w:w="1480" w:type="dxa"/>
            <w:vAlign w:val="bottom"/>
          </w:tcPr>
          <w:p>
            <w:pPr>
              <w:spacing w:after="0"/>
              <w:rPr>
                <w:sz w:val="20"/>
                <w:szCs w:val="20"/>
                <w:color w:val="auto"/>
              </w:rPr>
            </w:pPr>
            <w:r>
              <w:rPr>
                <w:rFonts w:ascii="Arial" w:cs="Arial" w:eastAsia="Arial" w:hAnsi="Arial"/>
                <w:sz w:val="18"/>
                <w:szCs w:val="18"/>
                <w:color w:val="auto"/>
              </w:rPr>
              <w:t>31.1*</w:t>
            </w:r>
          </w:p>
        </w:tc>
        <w:tc>
          <w:tcPr>
            <w:tcW w:w="2940" w:type="dxa"/>
            <w:vAlign w:val="bottom"/>
            <w:gridSpan w:val="17"/>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Certification of Principal Executive</w:t>
              </w:r>
            </w:hyperlink>
          </w:p>
        </w:tc>
        <w:tc>
          <w:tcPr>
            <w:tcW w:w="0" w:type="dxa"/>
            <w:vAlign w:val="bottom"/>
          </w:tcPr>
          <w:p>
            <w:pPr>
              <w:spacing w:after="0"/>
              <w:rPr>
                <w:sz w:val="1"/>
                <w:szCs w:val="1"/>
                <w:color w:val="auto"/>
              </w:rPr>
            </w:pPr>
          </w:p>
        </w:tc>
      </w:tr>
      <w:tr>
        <w:trPr>
          <w:trHeight w:val="20"/>
        </w:trPr>
        <w:tc>
          <w:tcPr>
            <w:tcW w:w="1480" w:type="dxa"/>
            <w:vAlign w:val="bottom"/>
          </w:tcPr>
          <w:p>
            <w:pPr>
              <w:spacing w:after="0" w:line="20" w:lineRule="exact"/>
              <w:rPr>
                <w:sz w:val="1"/>
                <w:szCs w:val="1"/>
                <w:color w:val="auto"/>
              </w:rPr>
            </w:pPr>
          </w:p>
        </w:tc>
        <w:tc>
          <w:tcPr>
            <w:tcW w:w="2060" w:type="dxa"/>
            <w:vAlign w:val="bottom"/>
            <w:gridSpan w:val="5"/>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80" w:type="dxa"/>
            <w:vAlign w:val="bottom"/>
          </w:tcPr>
          <w:p>
            <w:pPr>
              <w:spacing w:after="0"/>
              <w:rPr>
                <w:sz w:val="17"/>
                <w:szCs w:val="17"/>
                <w:color w:val="auto"/>
              </w:rPr>
            </w:pPr>
          </w:p>
        </w:tc>
        <w:tc>
          <w:tcPr>
            <w:tcW w:w="2900" w:type="dxa"/>
            <w:vAlign w:val="bottom"/>
            <w:tcBorders>
              <w:bottom w:val="single" w:sz="8" w:color="0000EE"/>
            </w:tcBorders>
            <w:gridSpan w:val="15"/>
          </w:tcPr>
          <w:p>
            <w:pPr>
              <w:spacing w:after="0" w:line="196" w:lineRule="exact"/>
              <w:rPr>
                <w:rFonts w:ascii="Arial" w:cs="Arial" w:eastAsia="Arial" w:hAnsi="Arial"/>
                <w:sz w:val="18"/>
                <w:szCs w:val="18"/>
                <w:color w:val="0000EE"/>
                <w:w w:val="90"/>
              </w:rPr>
            </w:pPr>
            <w:hyperlink w:anchor="page29">
              <w:r>
                <w:rPr>
                  <w:rFonts w:ascii="Arial" w:cs="Arial" w:eastAsia="Arial" w:hAnsi="Arial"/>
                  <w:sz w:val="18"/>
                  <w:szCs w:val="18"/>
                  <w:color w:val="0000EE"/>
                  <w:w w:val="90"/>
                </w:rPr>
                <w:t>Officer Pursuant to Rules 13a-14(a) and</w:t>
              </w:r>
            </w:hyperlink>
          </w:p>
        </w:tc>
        <w:tc>
          <w:tcPr>
            <w:tcW w:w="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480" w:type="dxa"/>
            <w:vAlign w:val="bottom"/>
          </w:tcPr>
          <w:p>
            <w:pPr>
              <w:spacing w:after="0"/>
              <w:rPr>
                <w:sz w:val="17"/>
                <w:szCs w:val="17"/>
                <w:color w:val="auto"/>
              </w:rPr>
            </w:pPr>
          </w:p>
        </w:tc>
        <w:tc>
          <w:tcPr>
            <w:tcW w:w="2880" w:type="dxa"/>
            <w:vAlign w:val="bottom"/>
            <w:tcBorders>
              <w:bottom w:val="single" w:sz="8" w:color="0000EE"/>
            </w:tcBorders>
            <w:gridSpan w:val="14"/>
          </w:tcPr>
          <w:p>
            <w:pPr>
              <w:spacing w:after="0" w:line="196" w:lineRule="exact"/>
              <w:rPr>
                <w:rFonts w:ascii="Arial" w:cs="Arial" w:eastAsia="Arial" w:hAnsi="Arial"/>
                <w:sz w:val="18"/>
                <w:szCs w:val="18"/>
                <w:color w:val="0000EE"/>
                <w:w w:val="91"/>
              </w:rPr>
            </w:pPr>
            <w:hyperlink w:anchor="page29">
              <w:r>
                <w:rPr>
                  <w:rFonts w:ascii="Arial" w:cs="Arial" w:eastAsia="Arial" w:hAnsi="Arial"/>
                  <w:sz w:val="18"/>
                  <w:szCs w:val="18"/>
                  <w:color w:val="0000EE"/>
                  <w:w w:val="91"/>
                </w:rPr>
                <w:t>15d-14(a) of the Exchange Act of 1934,</w:t>
              </w:r>
            </w:hyperlink>
          </w:p>
        </w:tc>
        <w:tc>
          <w:tcPr>
            <w:tcW w:w="6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480" w:type="dxa"/>
            <w:vAlign w:val="bottom"/>
          </w:tcPr>
          <w:p>
            <w:pPr>
              <w:spacing w:after="0"/>
              <w:rPr>
                <w:sz w:val="17"/>
                <w:szCs w:val="17"/>
                <w:color w:val="auto"/>
              </w:rPr>
            </w:pPr>
          </w:p>
        </w:tc>
        <w:tc>
          <w:tcPr>
            <w:tcW w:w="2940" w:type="dxa"/>
            <w:vAlign w:val="bottom"/>
            <w:gridSpan w:val="17"/>
          </w:tcPr>
          <w:p>
            <w:pPr>
              <w:spacing w:after="0" w:line="196" w:lineRule="exact"/>
              <w:rPr>
                <w:rFonts w:ascii="Arial" w:cs="Arial" w:eastAsia="Arial" w:hAnsi="Arial"/>
                <w:sz w:val="18"/>
                <w:szCs w:val="18"/>
                <w:color w:val="0000EE"/>
                <w:w w:val="95"/>
              </w:rPr>
            </w:pPr>
            <w:hyperlink w:anchor="page29">
              <w:r>
                <w:rPr>
                  <w:rFonts w:ascii="Arial" w:cs="Arial" w:eastAsia="Arial" w:hAnsi="Arial"/>
                  <w:sz w:val="18"/>
                  <w:szCs w:val="18"/>
                  <w:color w:val="0000EE"/>
                  <w:w w:val="95"/>
                </w:rPr>
                <w:t>as adopted pursuant to Section 302 of</w:t>
              </w:r>
            </w:hyperlink>
          </w:p>
        </w:tc>
        <w:tc>
          <w:tcPr>
            <w:tcW w:w="0" w:type="dxa"/>
            <w:vAlign w:val="bottom"/>
          </w:tcPr>
          <w:p>
            <w:pPr>
              <w:spacing w:after="0"/>
              <w:rPr>
                <w:sz w:val="1"/>
                <w:szCs w:val="1"/>
                <w:color w:val="auto"/>
              </w:rPr>
            </w:pPr>
          </w:p>
        </w:tc>
      </w:tr>
      <w:tr>
        <w:trPr>
          <w:trHeight w:val="196"/>
        </w:trPr>
        <w:tc>
          <w:tcPr>
            <w:tcW w:w="1480" w:type="dxa"/>
            <w:vAlign w:val="bottom"/>
          </w:tcPr>
          <w:p>
            <w:pPr>
              <w:spacing w:after="0"/>
              <w:rPr>
                <w:sz w:val="17"/>
                <w:szCs w:val="17"/>
                <w:color w:val="auto"/>
              </w:rPr>
            </w:pPr>
          </w:p>
        </w:tc>
        <w:tc>
          <w:tcPr>
            <w:tcW w:w="232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0"/>
              </w:rPr>
            </w:pPr>
            <w:hyperlink w:anchor="page29">
              <w:r>
                <w:rPr>
                  <w:rFonts w:ascii="Arial" w:cs="Arial" w:eastAsia="Arial" w:hAnsi="Arial"/>
                  <w:sz w:val="18"/>
                  <w:szCs w:val="18"/>
                  <w:color w:val="0000EE"/>
                  <w:w w:val="90"/>
                </w:rPr>
                <w:t>the Sarbanes-Oxley Act of 2002</w:t>
              </w:r>
            </w:hyperlink>
          </w:p>
        </w:tc>
        <w:tc>
          <w:tcPr>
            <w:tcW w:w="380" w:type="dxa"/>
            <w:vAlign w:val="bottom"/>
            <w:tcBorders>
              <w:top w:val="single" w:sz="8" w:color="0000EE"/>
            </w:tcBorders>
            <w:gridSpan w:val="4"/>
          </w:tcPr>
          <w:p>
            <w:pPr>
              <w:spacing w:after="0"/>
              <w:rPr>
                <w:sz w:val="17"/>
                <w:szCs w:val="17"/>
                <w:color w:val="auto"/>
              </w:rPr>
            </w:pPr>
          </w:p>
        </w:tc>
        <w:tc>
          <w:tcPr>
            <w:tcW w:w="24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344"/>
        </w:trPr>
        <w:tc>
          <w:tcPr>
            <w:tcW w:w="1480" w:type="dxa"/>
            <w:vAlign w:val="bottom"/>
          </w:tcPr>
          <w:p>
            <w:pPr>
              <w:ind w:left="60"/>
              <w:spacing w:after="0"/>
              <w:rPr>
                <w:sz w:val="20"/>
                <w:szCs w:val="20"/>
                <w:color w:val="auto"/>
              </w:rPr>
            </w:pPr>
            <w:r>
              <w:rPr>
                <w:rFonts w:ascii="Arial" w:cs="Arial" w:eastAsia="Arial" w:hAnsi="Arial"/>
                <w:sz w:val="18"/>
                <w:szCs w:val="18"/>
                <w:color w:val="auto"/>
              </w:rPr>
              <w:t>31.2*</w:t>
            </w:r>
          </w:p>
        </w:tc>
        <w:tc>
          <w:tcPr>
            <w:tcW w:w="2560" w:type="dxa"/>
            <w:vAlign w:val="bottom"/>
            <w:tcBorders>
              <w:bottom w:val="single" w:sz="8" w:color="0000EE"/>
            </w:tcBorders>
            <w:gridSpan w:val="8"/>
          </w:tcPr>
          <w:p>
            <w:pPr>
              <w:spacing w:after="0"/>
              <w:rPr>
                <w:rFonts w:ascii="Arial" w:cs="Arial" w:eastAsia="Arial" w:hAnsi="Arial"/>
                <w:sz w:val="18"/>
                <w:szCs w:val="18"/>
                <w:color w:val="0000EE"/>
                <w:w w:val="94"/>
              </w:rPr>
            </w:pPr>
            <w:hyperlink w:anchor="page30">
              <w:r>
                <w:rPr>
                  <w:rFonts w:ascii="Arial" w:cs="Arial" w:eastAsia="Arial" w:hAnsi="Arial"/>
                  <w:sz w:val="18"/>
                  <w:szCs w:val="18"/>
                  <w:color w:val="0000EE"/>
                  <w:w w:val="94"/>
                </w:rPr>
                <w:t>Certification of Principal Financial</w:t>
              </w:r>
            </w:hyperlink>
          </w:p>
        </w:tc>
        <w:tc>
          <w:tcPr>
            <w:tcW w:w="380" w:type="dxa"/>
            <w:vAlign w:val="bottom"/>
            <w:gridSpan w:val="9"/>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480" w:type="dxa"/>
            <w:vAlign w:val="bottom"/>
          </w:tcPr>
          <w:p>
            <w:pPr>
              <w:spacing w:after="0"/>
              <w:rPr>
                <w:sz w:val="17"/>
                <w:szCs w:val="17"/>
                <w:color w:val="auto"/>
              </w:rPr>
            </w:pPr>
          </w:p>
        </w:tc>
        <w:tc>
          <w:tcPr>
            <w:tcW w:w="2900" w:type="dxa"/>
            <w:vAlign w:val="bottom"/>
            <w:tcBorders>
              <w:bottom w:val="single" w:sz="8" w:color="0000EE"/>
            </w:tcBorders>
            <w:gridSpan w:val="15"/>
          </w:tcPr>
          <w:p>
            <w:pPr>
              <w:spacing w:after="0" w:line="196" w:lineRule="exact"/>
              <w:rPr>
                <w:rFonts w:ascii="Arial" w:cs="Arial" w:eastAsia="Arial" w:hAnsi="Arial"/>
                <w:sz w:val="18"/>
                <w:szCs w:val="18"/>
                <w:color w:val="0000EE"/>
                <w:w w:val="90"/>
              </w:rPr>
            </w:pPr>
            <w:hyperlink w:anchor="page30">
              <w:r>
                <w:rPr>
                  <w:rFonts w:ascii="Arial" w:cs="Arial" w:eastAsia="Arial" w:hAnsi="Arial"/>
                  <w:sz w:val="18"/>
                  <w:szCs w:val="18"/>
                  <w:color w:val="0000EE"/>
                  <w:w w:val="90"/>
                </w:rPr>
                <w:t>Officer Pursuant to Rules 13a-14(a) and</w:t>
              </w:r>
            </w:hyperlink>
          </w:p>
        </w:tc>
        <w:tc>
          <w:tcPr>
            <w:tcW w:w="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480" w:type="dxa"/>
            <w:vAlign w:val="bottom"/>
          </w:tcPr>
          <w:p>
            <w:pPr>
              <w:spacing w:after="0"/>
              <w:rPr>
                <w:sz w:val="17"/>
                <w:szCs w:val="17"/>
                <w:color w:val="auto"/>
              </w:rPr>
            </w:pPr>
          </w:p>
        </w:tc>
        <w:tc>
          <w:tcPr>
            <w:tcW w:w="2880" w:type="dxa"/>
            <w:vAlign w:val="bottom"/>
            <w:tcBorders>
              <w:bottom w:val="single" w:sz="8" w:color="0000EE"/>
            </w:tcBorders>
            <w:gridSpan w:val="14"/>
          </w:tcPr>
          <w:p>
            <w:pPr>
              <w:spacing w:after="0" w:line="196" w:lineRule="exact"/>
              <w:rPr>
                <w:rFonts w:ascii="Arial" w:cs="Arial" w:eastAsia="Arial" w:hAnsi="Arial"/>
                <w:sz w:val="18"/>
                <w:szCs w:val="18"/>
                <w:color w:val="0000EE"/>
                <w:w w:val="91"/>
              </w:rPr>
            </w:pPr>
            <w:hyperlink w:anchor="page30">
              <w:r>
                <w:rPr>
                  <w:rFonts w:ascii="Arial" w:cs="Arial" w:eastAsia="Arial" w:hAnsi="Arial"/>
                  <w:sz w:val="18"/>
                  <w:szCs w:val="18"/>
                  <w:color w:val="0000EE"/>
                  <w:w w:val="91"/>
                </w:rPr>
                <w:t>15d-14(a) of the Exchange Act of 1934,</w:t>
              </w:r>
            </w:hyperlink>
          </w:p>
        </w:tc>
        <w:tc>
          <w:tcPr>
            <w:tcW w:w="6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480" w:type="dxa"/>
            <w:vAlign w:val="bottom"/>
          </w:tcPr>
          <w:p>
            <w:pPr>
              <w:spacing w:after="0"/>
              <w:rPr>
                <w:sz w:val="17"/>
                <w:szCs w:val="17"/>
                <w:color w:val="auto"/>
              </w:rPr>
            </w:pPr>
          </w:p>
        </w:tc>
        <w:tc>
          <w:tcPr>
            <w:tcW w:w="2940" w:type="dxa"/>
            <w:vAlign w:val="bottom"/>
            <w:gridSpan w:val="17"/>
          </w:tcPr>
          <w:p>
            <w:pPr>
              <w:spacing w:after="0" w:line="196" w:lineRule="exact"/>
              <w:rPr>
                <w:rFonts w:ascii="Arial" w:cs="Arial" w:eastAsia="Arial" w:hAnsi="Arial"/>
                <w:sz w:val="18"/>
                <w:szCs w:val="18"/>
                <w:color w:val="0000EE"/>
                <w:w w:val="95"/>
              </w:rPr>
            </w:pPr>
            <w:hyperlink w:anchor="page30">
              <w:r>
                <w:rPr>
                  <w:rFonts w:ascii="Arial" w:cs="Arial" w:eastAsia="Arial" w:hAnsi="Arial"/>
                  <w:sz w:val="18"/>
                  <w:szCs w:val="18"/>
                  <w:color w:val="0000EE"/>
                  <w:w w:val="95"/>
                </w:rPr>
                <w:t>as adopted pursuant to Section 302 of</w:t>
              </w:r>
            </w:hyperlink>
          </w:p>
        </w:tc>
        <w:tc>
          <w:tcPr>
            <w:tcW w:w="0" w:type="dxa"/>
            <w:vAlign w:val="bottom"/>
          </w:tcPr>
          <w:p>
            <w:pPr>
              <w:spacing w:after="0"/>
              <w:rPr>
                <w:sz w:val="1"/>
                <w:szCs w:val="1"/>
                <w:color w:val="auto"/>
              </w:rPr>
            </w:pPr>
          </w:p>
        </w:tc>
      </w:tr>
      <w:tr>
        <w:trPr>
          <w:trHeight w:val="196"/>
        </w:trPr>
        <w:tc>
          <w:tcPr>
            <w:tcW w:w="1480" w:type="dxa"/>
            <w:vAlign w:val="bottom"/>
          </w:tcPr>
          <w:p>
            <w:pPr>
              <w:spacing w:after="0"/>
              <w:rPr>
                <w:sz w:val="17"/>
                <w:szCs w:val="17"/>
                <w:color w:val="auto"/>
              </w:rPr>
            </w:pPr>
          </w:p>
        </w:tc>
        <w:tc>
          <w:tcPr>
            <w:tcW w:w="232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0"/>
              </w:rPr>
            </w:pPr>
            <w:hyperlink w:anchor="page30">
              <w:r>
                <w:rPr>
                  <w:rFonts w:ascii="Arial" w:cs="Arial" w:eastAsia="Arial" w:hAnsi="Arial"/>
                  <w:sz w:val="18"/>
                  <w:szCs w:val="18"/>
                  <w:color w:val="0000EE"/>
                  <w:w w:val="90"/>
                </w:rPr>
                <w:t>the Sarbanes-Oxley Act of 2002</w:t>
              </w:r>
            </w:hyperlink>
          </w:p>
        </w:tc>
        <w:tc>
          <w:tcPr>
            <w:tcW w:w="380" w:type="dxa"/>
            <w:vAlign w:val="bottom"/>
            <w:tcBorders>
              <w:top w:val="single" w:sz="8" w:color="0000EE"/>
            </w:tcBorders>
            <w:gridSpan w:val="4"/>
          </w:tcPr>
          <w:p>
            <w:pPr>
              <w:spacing w:after="0"/>
              <w:rPr>
                <w:sz w:val="17"/>
                <w:szCs w:val="17"/>
                <w:color w:val="auto"/>
              </w:rPr>
            </w:pPr>
          </w:p>
        </w:tc>
        <w:tc>
          <w:tcPr>
            <w:tcW w:w="24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345"/>
        </w:trPr>
        <w:tc>
          <w:tcPr>
            <w:tcW w:w="1480" w:type="dxa"/>
            <w:vAlign w:val="bottom"/>
          </w:tcPr>
          <w:p>
            <w:pPr>
              <w:ind w:left="100"/>
              <w:spacing w:after="0"/>
              <w:rPr>
                <w:sz w:val="20"/>
                <w:szCs w:val="20"/>
                <w:color w:val="auto"/>
              </w:rPr>
            </w:pPr>
            <w:r>
              <w:rPr>
                <w:rFonts w:ascii="Arial" w:cs="Arial" w:eastAsia="Arial" w:hAnsi="Arial"/>
                <w:sz w:val="18"/>
                <w:szCs w:val="18"/>
                <w:color w:val="auto"/>
              </w:rPr>
              <w:t>32.1*</w:t>
            </w:r>
          </w:p>
        </w:tc>
        <w:tc>
          <w:tcPr>
            <w:tcW w:w="2940" w:type="dxa"/>
            <w:vAlign w:val="bottom"/>
            <w:gridSpan w:val="17"/>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Certification of Principal Executive</w:t>
              </w:r>
            </w:hyperlink>
          </w:p>
        </w:tc>
        <w:tc>
          <w:tcPr>
            <w:tcW w:w="0" w:type="dxa"/>
            <w:vAlign w:val="bottom"/>
          </w:tcPr>
          <w:p>
            <w:pPr>
              <w:spacing w:after="0"/>
              <w:rPr>
                <w:sz w:val="1"/>
                <w:szCs w:val="1"/>
                <w:color w:val="auto"/>
              </w:rPr>
            </w:pPr>
          </w:p>
        </w:tc>
      </w:tr>
      <w:tr>
        <w:trPr>
          <w:trHeight w:val="20"/>
        </w:trPr>
        <w:tc>
          <w:tcPr>
            <w:tcW w:w="1480" w:type="dxa"/>
            <w:vAlign w:val="bottom"/>
          </w:tcPr>
          <w:p>
            <w:pPr>
              <w:spacing w:after="0" w:line="20" w:lineRule="exact"/>
              <w:rPr>
                <w:sz w:val="1"/>
                <w:szCs w:val="1"/>
                <w:color w:val="auto"/>
              </w:rPr>
            </w:pPr>
          </w:p>
        </w:tc>
        <w:tc>
          <w:tcPr>
            <w:tcW w:w="2060" w:type="dxa"/>
            <w:vAlign w:val="bottom"/>
            <w:gridSpan w:val="5"/>
            <w:shd w:val="clear" w:color="auto" w:fill="0000EE"/>
          </w:tcPr>
          <w:p>
            <w:pPr>
              <w:spacing w:after="0" w:line="20" w:lineRule="exact"/>
              <w:rPr>
                <w:sz w:val="1"/>
                <w:szCs w:val="1"/>
                <w:color w:val="auto"/>
              </w:rPr>
            </w:pPr>
          </w:p>
        </w:tc>
        <w:tc>
          <w:tcPr>
            <w:tcW w:w="500" w:type="dxa"/>
            <w:vAlign w:val="bottom"/>
            <w:tcBorders>
              <w:right w:val="single" w:sz="8" w:color="0000EE"/>
            </w:tcBorders>
            <w:gridSpan w:val="3"/>
            <w:shd w:val="clear" w:color="auto" w:fill="0000EE"/>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80" w:type="dxa"/>
            <w:vAlign w:val="bottom"/>
          </w:tcPr>
          <w:p>
            <w:pPr>
              <w:spacing w:after="0"/>
              <w:rPr>
                <w:sz w:val="17"/>
                <w:szCs w:val="17"/>
                <w:color w:val="auto"/>
              </w:rPr>
            </w:pPr>
          </w:p>
        </w:tc>
        <w:tc>
          <w:tcPr>
            <w:tcW w:w="2800" w:type="dxa"/>
            <w:vAlign w:val="bottom"/>
            <w:tcBorders>
              <w:bottom w:val="single" w:sz="8" w:color="0000EE"/>
            </w:tcBorders>
            <w:gridSpan w:val="12"/>
          </w:tcPr>
          <w:p>
            <w:pPr>
              <w:spacing w:after="0" w:line="196" w:lineRule="exact"/>
              <w:rPr>
                <w:rFonts w:ascii="Arial" w:cs="Arial" w:eastAsia="Arial" w:hAnsi="Arial"/>
                <w:sz w:val="18"/>
                <w:szCs w:val="18"/>
                <w:color w:val="0000EE"/>
                <w:w w:val="93"/>
              </w:rPr>
            </w:pPr>
            <w:hyperlink w:anchor="page31">
              <w:r>
                <w:rPr>
                  <w:rFonts w:ascii="Arial" w:cs="Arial" w:eastAsia="Arial" w:hAnsi="Arial"/>
                  <w:sz w:val="18"/>
                  <w:szCs w:val="18"/>
                  <w:color w:val="0000EE"/>
                  <w:w w:val="93"/>
                </w:rPr>
                <w:t>Officer and Principal Financial Officer</w:t>
              </w:r>
            </w:hyperlink>
          </w:p>
        </w:tc>
        <w:tc>
          <w:tcPr>
            <w:tcW w:w="14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480" w:type="dxa"/>
            <w:vAlign w:val="bottom"/>
          </w:tcPr>
          <w:p>
            <w:pPr>
              <w:spacing w:after="0"/>
              <w:rPr>
                <w:sz w:val="17"/>
                <w:szCs w:val="17"/>
                <w:color w:val="auto"/>
              </w:rPr>
            </w:pPr>
          </w:p>
        </w:tc>
        <w:tc>
          <w:tcPr>
            <w:tcW w:w="2800" w:type="dxa"/>
            <w:vAlign w:val="bottom"/>
            <w:tcBorders>
              <w:bottom w:val="single" w:sz="8" w:color="0000EE"/>
            </w:tcBorders>
            <w:gridSpan w:val="12"/>
          </w:tcPr>
          <w:p>
            <w:pPr>
              <w:spacing w:after="0" w:line="196" w:lineRule="exact"/>
              <w:rPr>
                <w:rFonts w:ascii="Arial" w:cs="Arial" w:eastAsia="Arial" w:hAnsi="Arial"/>
                <w:sz w:val="18"/>
                <w:szCs w:val="18"/>
                <w:color w:val="0000EE"/>
                <w:w w:val="88"/>
              </w:rPr>
            </w:pPr>
            <w:hyperlink w:anchor="page31">
              <w:r>
                <w:rPr>
                  <w:rFonts w:ascii="Arial" w:cs="Arial" w:eastAsia="Arial" w:hAnsi="Arial"/>
                  <w:sz w:val="18"/>
                  <w:szCs w:val="18"/>
                  <w:color w:val="0000EE"/>
                  <w:w w:val="88"/>
                </w:rPr>
                <w:t>Pursuant to 18 U.S.C. Section 1350, as</w:t>
              </w:r>
            </w:hyperlink>
          </w:p>
        </w:tc>
        <w:tc>
          <w:tcPr>
            <w:tcW w:w="14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480" w:type="dxa"/>
            <w:vAlign w:val="bottom"/>
          </w:tcPr>
          <w:p>
            <w:pPr>
              <w:spacing w:after="0"/>
              <w:rPr>
                <w:sz w:val="17"/>
                <w:szCs w:val="17"/>
                <w:color w:val="auto"/>
              </w:rPr>
            </w:pPr>
          </w:p>
        </w:tc>
        <w:tc>
          <w:tcPr>
            <w:tcW w:w="2840" w:type="dxa"/>
            <w:vAlign w:val="bottom"/>
            <w:tcBorders>
              <w:bottom w:val="single" w:sz="8" w:color="0000EE"/>
            </w:tcBorders>
            <w:gridSpan w:val="13"/>
          </w:tcPr>
          <w:p>
            <w:pPr>
              <w:spacing w:after="0" w:line="196" w:lineRule="exact"/>
              <w:rPr>
                <w:rFonts w:ascii="Arial" w:cs="Arial" w:eastAsia="Arial" w:hAnsi="Arial"/>
                <w:sz w:val="18"/>
                <w:szCs w:val="18"/>
                <w:color w:val="0000EE"/>
                <w:w w:val="89"/>
              </w:rPr>
            </w:pPr>
            <w:hyperlink w:anchor="page31">
              <w:r>
                <w:rPr>
                  <w:rFonts w:ascii="Arial" w:cs="Arial" w:eastAsia="Arial" w:hAnsi="Arial"/>
                  <w:sz w:val="18"/>
                  <w:szCs w:val="18"/>
                  <w:color w:val="0000EE"/>
                  <w:w w:val="89"/>
                </w:rPr>
                <w:t>Adopted Pursuant to Section 906 of the</w:t>
              </w:r>
            </w:hyperlink>
          </w:p>
        </w:tc>
        <w:tc>
          <w:tcPr>
            <w:tcW w:w="10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480" w:type="dxa"/>
            <w:vAlign w:val="bottom"/>
          </w:tcPr>
          <w:p>
            <w:pPr>
              <w:spacing w:after="0"/>
              <w:rPr>
                <w:sz w:val="17"/>
                <w:szCs w:val="17"/>
                <w:color w:val="auto"/>
              </w:rPr>
            </w:pPr>
          </w:p>
        </w:tc>
        <w:tc>
          <w:tcPr>
            <w:tcW w:w="2060" w:type="dxa"/>
            <w:vAlign w:val="bottom"/>
            <w:tcBorders>
              <w:bottom w:val="single" w:sz="8" w:color="0000EE"/>
            </w:tcBorders>
            <w:gridSpan w:val="5"/>
          </w:tcPr>
          <w:p>
            <w:pPr>
              <w:spacing w:after="0" w:line="196" w:lineRule="exact"/>
              <w:rPr>
                <w:rFonts w:ascii="Arial" w:cs="Arial" w:eastAsia="Arial" w:hAnsi="Arial"/>
                <w:sz w:val="18"/>
                <w:szCs w:val="18"/>
                <w:color w:val="0000EE"/>
                <w:w w:val="90"/>
              </w:rPr>
            </w:pPr>
            <w:hyperlink w:anchor="page31">
              <w:r>
                <w:rPr>
                  <w:rFonts w:ascii="Arial" w:cs="Arial" w:eastAsia="Arial" w:hAnsi="Arial"/>
                  <w:sz w:val="18"/>
                  <w:szCs w:val="18"/>
                  <w:color w:val="0000EE"/>
                  <w:w w:val="90"/>
                </w:rPr>
                <w:t>Sarbanes-Oxley Act of 2002</w:t>
              </w:r>
            </w:hyperlink>
          </w:p>
        </w:tc>
        <w:tc>
          <w:tcPr>
            <w:tcW w:w="880" w:type="dxa"/>
            <w:vAlign w:val="bottom"/>
            <w:gridSpan w:val="12"/>
          </w:tcPr>
          <w:p>
            <w:pPr>
              <w:spacing w:after="0"/>
              <w:rPr>
                <w:sz w:val="17"/>
                <w:szCs w:val="17"/>
                <w:color w:val="auto"/>
              </w:rPr>
            </w:pPr>
          </w:p>
        </w:tc>
        <w:tc>
          <w:tcPr>
            <w:tcW w:w="0" w:type="dxa"/>
            <w:vAlign w:val="bottom"/>
          </w:tcPr>
          <w:p>
            <w:pPr>
              <w:spacing w:after="0"/>
              <w:rPr>
                <w:sz w:val="1"/>
                <w:szCs w:val="1"/>
                <w:color w:val="auto"/>
              </w:rPr>
            </w:pPr>
          </w:p>
        </w:tc>
      </w:tr>
      <w:tr>
        <w:trPr>
          <w:trHeight w:val="371"/>
        </w:trPr>
        <w:tc>
          <w:tcPr>
            <w:tcW w:w="1480" w:type="dxa"/>
            <w:vAlign w:val="bottom"/>
          </w:tcPr>
          <w:p>
            <w:pPr>
              <w:spacing w:after="0"/>
              <w:rPr>
                <w:sz w:val="20"/>
                <w:szCs w:val="20"/>
                <w:color w:val="auto"/>
              </w:rPr>
            </w:pPr>
            <w:r>
              <w:rPr>
                <w:rFonts w:ascii="Arial" w:cs="Arial" w:eastAsia="Arial" w:hAnsi="Arial"/>
                <w:sz w:val="18"/>
                <w:szCs w:val="18"/>
                <w:color w:val="auto"/>
              </w:rPr>
              <w:t>101.INS*</w:t>
            </w:r>
          </w:p>
        </w:tc>
        <w:tc>
          <w:tcPr>
            <w:tcW w:w="2940" w:type="dxa"/>
            <w:vAlign w:val="bottom"/>
            <w:gridSpan w:val="17"/>
          </w:tcPr>
          <w:p>
            <w:pPr>
              <w:spacing w:after="0"/>
              <w:rPr>
                <w:sz w:val="20"/>
                <w:szCs w:val="20"/>
                <w:color w:val="auto"/>
              </w:rPr>
            </w:pPr>
            <w:r>
              <w:rPr>
                <w:rFonts w:ascii="Arial" w:cs="Arial" w:eastAsia="Arial" w:hAnsi="Arial"/>
                <w:sz w:val="18"/>
                <w:szCs w:val="18"/>
                <w:color w:val="auto"/>
                <w:w w:val="97"/>
              </w:rPr>
              <w:t>Inline XBRL Instance Document – the</w:t>
            </w:r>
          </w:p>
        </w:tc>
        <w:tc>
          <w:tcPr>
            <w:tcW w:w="0" w:type="dxa"/>
            <w:vAlign w:val="bottom"/>
          </w:tcPr>
          <w:p>
            <w:pPr>
              <w:spacing w:after="0"/>
              <w:rPr>
                <w:sz w:val="1"/>
                <w:szCs w:val="1"/>
                <w:color w:val="auto"/>
              </w:rPr>
            </w:pPr>
          </w:p>
        </w:tc>
      </w:tr>
      <w:tr>
        <w:trPr>
          <w:trHeight w:val="216"/>
        </w:trPr>
        <w:tc>
          <w:tcPr>
            <w:tcW w:w="1480" w:type="dxa"/>
            <w:vAlign w:val="bottom"/>
          </w:tcPr>
          <w:p>
            <w:pPr>
              <w:spacing w:after="0"/>
              <w:rPr>
                <w:sz w:val="18"/>
                <w:szCs w:val="18"/>
                <w:color w:val="auto"/>
              </w:rPr>
            </w:pPr>
          </w:p>
        </w:tc>
        <w:tc>
          <w:tcPr>
            <w:tcW w:w="2940" w:type="dxa"/>
            <w:vAlign w:val="bottom"/>
            <w:gridSpan w:val="17"/>
          </w:tcPr>
          <w:p>
            <w:pPr>
              <w:spacing w:after="0"/>
              <w:rPr>
                <w:sz w:val="20"/>
                <w:szCs w:val="20"/>
                <w:color w:val="auto"/>
              </w:rPr>
            </w:pPr>
            <w:r>
              <w:rPr>
                <w:rFonts w:ascii="Arial" w:cs="Arial" w:eastAsia="Arial" w:hAnsi="Arial"/>
                <w:sz w:val="18"/>
                <w:szCs w:val="18"/>
                <w:color w:val="auto"/>
                <w:w w:val="95"/>
              </w:rPr>
              <w:t>instance document does not appear in</w:t>
            </w:r>
          </w:p>
        </w:tc>
        <w:tc>
          <w:tcPr>
            <w:tcW w:w="0" w:type="dxa"/>
            <w:vAlign w:val="bottom"/>
          </w:tcPr>
          <w:p>
            <w:pPr>
              <w:spacing w:after="0"/>
              <w:rPr>
                <w:sz w:val="1"/>
                <w:szCs w:val="1"/>
                <w:color w:val="auto"/>
              </w:rPr>
            </w:pPr>
          </w:p>
        </w:tc>
      </w:tr>
      <w:tr>
        <w:trPr>
          <w:trHeight w:val="216"/>
        </w:trPr>
        <w:tc>
          <w:tcPr>
            <w:tcW w:w="1480" w:type="dxa"/>
            <w:vAlign w:val="bottom"/>
          </w:tcPr>
          <w:p>
            <w:pPr>
              <w:spacing w:after="0"/>
              <w:rPr>
                <w:sz w:val="18"/>
                <w:szCs w:val="18"/>
                <w:color w:val="auto"/>
              </w:rPr>
            </w:pPr>
          </w:p>
        </w:tc>
        <w:tc>
          <w:tcPr>
            <w:tcW w:w="2940" w:type="dxa"/>
            <w:vAlign w:val="bottom"/>
            <w:gridSpan w:val="17"/>
          </w:tcPr>
          <w:p>
            <w:pPr>
              <w:spacing w:after="0"/>
              <w:rPr>
                <w:sz w:val="20"/>
                <w:szCs w:val="20"/>
                <w:color w:val="auto"/>
              </w:rPr>
            </w:pPr>
            <w:r>
              <w:rPr>
                <w:rFonts w:ascii="Arial" w:cs="Arial" w:eastAsia="Arial" w:hAnsi="Arial"/>
                <w:sz w:val="18"/>
                <w:szCs w:val="18"/>
                <w:color w:val="auto"/>
              </w:rPr>
              <w:t>the Interactive Data File because its</w:t>
            </w:r>
          </w:p>
        </w:tc>
        <w:tc>
          <w:tcPr>
            <w:tcW w:w="0" w:type="dxa"/>
            <w:vAlign w:val="bottom"/>
          </w:tcPr>
          <w:p>
            <w:pPr>
              <w:spacing w:after="0"/>
              <w:rPr>
                <w:sz w:val="1"/>
                <w:szCs w:val="1"/>
                <w:color w:val="auto"/>
              </w:rPr>
            </w:pPr>
          </w:p>
        </w:tc>
      </w:tr>
      <w:tr>
        <w:trPr>
          <w:trHeight w:val="216"/>
        </w:trPr>
        <w:tc>
          <w:tcPr>
            <w:tcW w:w="1480" w:type="dxa"/>
            <w:vAlign w:val="bottom"/>
          </w:tcPr>
          <w:p>
            <w:pPr>
              <w:spacing w:after="0"/>
              <w:rPr>
                <w:sz w:val="18"/>
                <w:szCs w:val="18"/>
                <w:color w:val="auto"/>
              </w:rPr>
            </w:pPr>
          </w:p>
        </w:tc>
        <w:tc>
          <w:tcPr>
            <w:tcW w:w="2940" w:type="dxa"/>
            <w:vAlign w:val="bottom"/>
            <w:gridSpan w:val="17"/>
          </w:tcPr>
          <w:p>
            <w:pPr>
              <w:spacing w:after="0"/>
              <w:rPr>
                <w:sz w:val="20"/>
                <w:szCs w:val="20"/>
                <w:color w:val="auto"/>
              </w:rPr>
            </w:pPr>
            <w:r>
              <w:rPr>
                <w:rFonts w:ascii="Arial" w:cs="Arial" w:eastAsia="Arial" w:hAnsi="Arial"/>
                <w:sz w:val="18"/>
                <w:szCs w:val="18"/>
                <w:color w:val="auto"/>
              </w:rPr>
              <w:t>XBRL tags are embedded within the</w:t>
            </w:r>
          </w:p>
        </w:tc>
        <w:tc>
          <w:tcPr>
            <w:tcW w:w="0" w:type="dxa"/>
            <w:vAlign w:val="bottom"/>
          </w:tcPr>
          <w:p>
            <w:pPr>
              <w:spacing w:after="0"/>
              <w:rPr>
                <w:sz w:val="1"/>
                <w:szCs w:val="1"/>
                <w:color w:val="auto"/>
              </w:rPr>
            </w:pPr>
          </w:p>
        </w:tc>
      </w:tr>
      <w:tr>
        <w:trPr>
          <w:trHeight w:val="230"/>
        </w:trPr>
        <w:tc>
          <w:tcPr>
            <w:tcW w:w="1480" w:type="dxa"/>
            <w:vAlign w:val="bottom"/>
          </w:tcPr>
          <w:p>
            <w:pPr>
              <w:spacing w:after="0"/>
              <w:rPr>
                <w:sz w:val="19"/>
                <w:szCs w:val="19"/>
                <w:color w:val="auto"/>
              </w:rPr>
            </w:pPr>
          </w:p>
        </w:tc>
        <w:tc>
          <w:tcPr>
            <w:tcW w:w="2940" w:type="dxa"/>
            <w:vAlign w:val="bottom"/>
            <w:gridSpan w:val="17"/>
          </w:tcPr>
          <w:p>
            <w:pPr>
              <w:spacing w:after="0"/>
              <w:rPr>
                <w:sz w:val="20"/>
                <w:szCs w:val="20"/>
                <w:color w:val="auto"/>
              </w:rPr>
            </w:pPr>
            <w:r>
              <w:rPr>
                <w:rFonts w:ascii="Arial" w:cs="Arial" w:eastAsia="Arial" w:hAnsi="Arial"/>
                <w:sz w:val="18"/>
                <w:szCs w:val="18"/>
                <w:color w:val="auto"/>
              </w:rPr>
              <w:t>Inline XBRL document.</w:t>
            </w:r>
          </w:p>
        </w:tc>
        <w:tc>
          <w:tcPr>
            <w:tcW w:w="0" w:type="dxa"/>
            <w:vAlign w:val="bottom"/>
          </w:tcPr>
          <w:p>
            <w:pPr>
              <w:spacing w:after="0"/>
              <w:rPr>
                <w:sz w:val="1"/>
                <w:szCs w:val="1"/>
                <w:color w:val="auto"/>
              </w:rPr>
            </w:pPr>
          </w:p>
        </w:tc>
      </w:tr>
      <w:tr>
        <w:trPr>
          <w:trHeight w:val="216"/>
        </w:trPr>
        <w:tc>
          <w:tcPr>
            <w:tcW w:w="1480" w:type="dxa"/>
            <w:vAlign w:val="bottom"/>
          </w:tcPr>
          <w:p>
            <w:pPr>
              <w:spacing w:after="0"/>
              <w:rPr>
                <w:sz w:val="20"/>
                <w:szCs w:val="20"/>
                <w:color w:val="auto"/>
              </w:rPr>
            </w:pPr>
            <w:r>
              <w:rPr>
                <w:rFonts w:ascii="Arial" w:cs="Arial" w:eastAsia="Arial" w:hAnsi="Arial"/>
                <w:sz w:val="18"/>
                <w:szCs w:val="18"/>
                <w:color w:val="auto"/>
              </w:rPr>
              <w:t>101.SCH*</w:t>
            </w:r>
          </w:p>
        </w:tc>
        <w:tc>
          <w:tcPr>
            <w:tcW w:w="2940" w:type="dxa"/>
            <w:vAlign w:val="bottom"/>
            <w:gridSpan w:val="17"/>
          </w:tcPr>
          <w:p>
            <w:pPr>
              <w:spacing w:after="0"/>
              <w:rPr>
                <w:sz w:val="20"/>
                <w:szCs w:val="20"/>
                <w:color w:val="auto"/>
              </w:rPr>
            </w:pPr>
            <w:r>
              <w:rPr>
                <w:rFonts w:ascii="Arial" w:cs="Arial" w:eastAsia="Arial" w:hAnsi="Arial"/>
                <w:sz w:val="18"/>
                <w:szCs w:val="18"/>
                <w:color w:val="auto"/>
              </w:rPr>
              <w:t>Inline XBRL Taxonomy Extension</w:t>
            </w:r>
          </w:p>
        </w:tc>
        <w:tc>
          <w:tcPr>
            <w:tcW w:w="0" w:type="dxa"/>
            <w:vAlign w:val="bottom"/>
          </w:tcPr>
          <w:p>
            <w:pPr>
              <w:spacing w:after="0"/>
              <w:rPr>
                <w:sz w:val="1"/>
                <w:szCs w:val="1"/>
                <w:color w:val="auto"/>
              </w:rPr>
            </w:pPr>
          </w:p>
        </w:tc>
      </w:tr>
      <w:tr>
        <w:trPr>
          <w:trHeight w:val="230"/>
        </w:trPr>
        <w:tc>
          <w:tcPr>
            <w:tcW w:w="1480" w:type="dxa"/>
            <w:vAlign w:val="bottom"/>
          </w:tcPr>
          <w:p>
            <w:pPr>
              <w:spacing w:after="0"/>
              <w:rPr>
                <w:sz w:val="19"/>
                <w:szCs w:val="19"/>
                <w:color w:val="auto"/>
              </w:rPr>
            </w:pPr>
          </w:p>
        </w:tc>
        <w:tc>
          <w:tcPr>
            <w:tcW w:w="2940" w:type="dxa"/>
            <w:vAlign w:val="bottom"/>
            <w:gridSpan w:val="17"/>
          </w:tcPr>
          <w:p>
            <w:pPr>
              <w:spacing w:after="0"/>
              <w:rPr>
                <w:sz w:val="20"/>
                <w:szCs w:val="20"/>
                <w:color w:val="auto"/>
              </w:rPr>
            </w:pPr>
            <w:r>
              <w:rPr>
                <w:rFonts w:ascii="Arial" w:cs="Arial" w:eastAsia="Arial" w:hAnsi="Arial"/>
                <w:sz w:val="18"/>
                <w:szCs w:val="18"/>
                <w:color w:val="auto"/>
              </w:rPr>
              <w:t>Schema Document</w:t>
            </w:r>
          </w:p>
        </w:tc>
        <w:tc>
          <w:tcPr>
            <w:tcW w:w="0" w:type="dxa"/>
            <w:vAlign w:val="bottom"/>
          </w:tcPr>
          <w:p>
            <w:pPr>
              <w:spacing w:after="0"/>
              <w:rPr>
                <w:sz w:val="1"/>
                <w:szCs w:val="1"/>
                <w:color w:val="auto"/>
              </w:rPr>
            </w:pPr>
          </w:p>
        </w:tc>
      </w:tr>
      <w:tr>
        <w:trPr>
          <w:trHeight w:val="216"/>
        </w:trPr>
        <w:tc>
          <w:tcPr>
            <w:tcW w:w="1480" w:type="dxa"/>
            <w:vAlign w:val="bottom"/>
          </w:tcPr>
          <w:p>
            <w:pPr>
              <w:spacing w:after="0"/>
              <w:rPr>
                <w:sz w:val="20"/>
                <w:szCs w:val="20"/>
                <w:color w:val="auto"/>
              </w:rPr>
            </w:pPr>
            <w:r>
              <w:rPr>
                <w:rFonts w:ascii="Arial" w:cs="Arial" w:eastAsia="Arial" w:hAnsi="Arial"/>
                <w:sz w:val="18"/>
                <w:szCs w:val="18"/>
                <w:color w:val="auto"/>
              </w:rPr>
              <w:t>101.CAL*</w:t>
            </w:r>
          </w:p>
        </w:tc>
        <w:tc>
          <w:tcPr>
            <w:tcW w:w="2940" w:type="dxa"/>
            <w:vAlign w:val="bottom"/>
            <w:gridSpan w:val="17"/>
          </w:tcPr>
          <w:p>
            <w:pPr>
              <w:spacing w:after="0"/>
              <w:rPr>
                <w:sz w:val="20"/>
                <w:szCs w:val="20"/>
                <w:color w:val="auto"/>
              </w:rPr>
            </w:pPr>
            <w:r>
              <w:rPr>
                <w:rFonts w:ascii="Arial" w:cs="Arial" w:eastAsia="Arial" w:hAnsi="Arial"/>
                <w:sz w:val="18"/>
                <w:szCs w:val="18"/>
                <w:color w:val="auto"/>
              </w:rPr>
              <w:t>Inline XBRL Taxonomy Extension</w:t>
            </w:r>
          </w:p>
        </w:tc>
        <w:tc>
          <w:tcPr>
            <w:tcW w:w="0" w:type="dxa"/>
            <w:vAlign w:val="bottom"/>
          </w:tcPr>
          <w:p>
            <w:pPr>
              <w:spacing w:after="0"/>
              <w:rPr>
                <w:sz w:val="1"/>
                <w:szCs w:val="1"/>
                <w:color w:val="auto"/>
              </w:rPr>
            </w:pPr>
          </w:p>
        </w:tc>
      </w:tr>
      <w:tr>
        <w:trPr>
          <w:trHeight w:val="230"/>
        </w:trPr>
        <w:tc>
          <w:tcPr>
            <w:tcW w:w="1480" w:type="dxa"/>
            <w:vAlign w:val="bottom"/>
          </w:tcPr>
          <w:p>
            <w:pPr>
              <w:spacing w:after="0"/>
              <w:rPr>
                <w:sz w:val="19"/>
                <w:szCs w:val="19"/>
                <w:color w:val="auto"/>
              </w:rPr>
            </w:pPr>
          </w:p>
        </w:tc>
        <w:tc>
          <w:tcPr>
            <w:tcW w:w="2940" w:type="dxa"/>
            <w:vAlign w:val="bottom"/>
            <w:gridSpan w:val="17"/>
          </w:tcPr>
          <w:p>
            <w:pPr>
              <w:spacing w:after="0"/>
              <w:rPr>
                <w:sz w:val="20"/>
                <w:szCs w:val="20"/>
                <w:color w:val="auto"/>
              </w:rPr>
            </w:pPr>
            <w:r>
              <w:rPr>
                <w:rFonts w:ascii="Arial" w:cs="Arial" w:eastAsia="Arial" w:hAnsi="Arial"/>
                <w:sz w:val="18"/>
                <w:szCs w:val="18"/>
                <w:color w:val="auto"/>
              </w:rPr>
              <w:t>Calculation Linkbase Document</w:t>
            </w:r>
          </w:p>
        </w:tc>
        <w:tc>
          <w:tcPr>
            <w:tcW w:w="0" w:type="dxa"/>
            <w:vAlign w:val="bottom"/>
          </w:tcPr>
          <w:p>
            <w:pPr>
              <w:spacing w:after="0"/>
              <w:rPr>
                <w:sz w:val="1"/>
                <w:szCs w:val="1"/>
                <w:color w:val="auto"/>
              </w:rPr>
            </w:pPr>
          </w:p>
        </w:tc>
      </w:tr>
      <w:tr>
        <w:trPr>
          <w:trHeight w:val="216"/>
        </w:trPr>
        <w:tc>
          <w:tcPr>
            <w:tcW w:w="1480" w:type="dxa"/>
            <w:vAlign w:val="bottom"/>
          </w:tcPr>
          <w:p>
            <w:pPr>
              <w:spacing w:after="0"/>
              <w:rPr>
                <w:sz w:val="20"/>
                <w:szCs w:val="20"/>
                <w:color w:val="auto"/>
              </w:rPr>
            </w:pPr>
            <w:r>
              <w:rPr>
                <w:rFonts w:ascii="Arial" w:cs="Arial" w:eastAsia="Arial" w:hAnsi="Arial"/>
                <w:sz w:val="18"/>
                <w:szCs w:val="18"/>
                <w:color w:val="auto"/>
              </w:rPr>
              <w:t>101.DEF*</w:t>
            </w:r>
          </w:p>
        </w:tc>
        <w:tc>
          <w:tcPr>
            <w:tcW w:w="2940" w:type="dxa"/>
            <w:vAlign w:val="bottom"/>
            <w:gridSpan w:val="17"/>
          </w:tcPr>
          <w:p>
            <w:pPr>
              <w:spacing w:after="0"/>
              <w:rPr>
                <w:sz w:val="20"/>
                <w:szCs w:val="20"/>
                <w:color w:val="auto"/>
              </w:rPr>
            </w:pPr>
            <w:r>
              <w:rPr>
                <w:rFonts w:ascii="Arial" w:cs="Arial" w:eastAsia="Arial" w:hAnsi="Arial"/>
                <w:sz w:val="18"/>
                <w:szCs w:val="18"/>
                <w:color w:val="auto"/>
              </w:rPr>
              <w:t>Inline XBRL Taxonomy Extension</w:t>
            </w:r>
          </w:p>
        </w:tc>
        <w:tc>
          <w:tcPr>
            <w:tcW w:w="0" w:type="dxa"/>
            <w:vAlign w:val="bottom"/>
          </w:tcPr>
          <w:p>
            <w:pPr>
              <w:spacing w:after="0"/>
              <w:rPr>
                <w:sz w:val="1"/>
                <w:szCs w:val="1"/>
                <w:color w:val="auto"/>
              </w:rPr>
            </w:pPr>
          </w:p>
        </w:tc>
      </w:tr>
      <w:tr>
        <w:trPr>
          <w:trHeight w:val="230"/>
        </w:trPr>
        <w:tc>
          <w:tcPr>
            <w:tcW w:w="1480" w:type="dxa"/>
            <w:vAlign w:val="bottom"/>
          </w:tcPr>
          <w:p>
            <w:pPr>
              <w:spacing w:after="0"/>
              <w:rPr>
                <w:sz w:val="19"/>
                <w:szCs w:val="19"/>
                <w:color w:val="auto"/>
              </w:rPr>
            </w:pPr>
          </w:p>
        </w:tc>
        <w:tc>
          <w:tcPr>
            <w:tcW w:w="2940" w:type="dxa"/>
            <w:vAlign w:val="bottom"/>
            <w:gridSpan w:val="17"/>
          </w:tcPr>
          <w:p>
            <w:pPr>
              <w:spacing w:after="0"/>
              <w:rPr>
                <w:sz w:val="20"/>
                <w:szCs w:val="20"/>
                <w:color w:val="auto"/>
              </w:rPr>
            </w:pPr>
            <w:r>
              <w:rPr>
                <w:rFonts w:ascii="Arial" w:cs="Arial" w:eastAsia="Arial" w:hAnsi="Arial"/>
                <w:sz w:val="18"/>
                <w:szCs w:val="18"/>
                <w:color w:val="auto"/>
              </w:rPr>
              <w:t>Definition Linkbase Document</w:t>
            </w:r>
          </w:p>
        </w:tc>
        <w:tc>
          <w:tcPr>
            <w:tcW w:w="0" w:type="dxa"/>
            <w:vAlign w:val="bottom"/>
          </w:tcPr>
          <w:p>
            <w:pPr>
              <w:spacing w:after="0"/>
              <w:rPr>
                <w:sz w:val="1"/>
                <w:szCs w:val="1"/>
                <w:color w:val="auto"/>
              </w:rPr>
            </w:pPr>
          </w:p>
        </w:tc>
      </w:tr>
      <w:tr>
        <w:trPr>
          <w:trHeight w:val="216"/>
        </w:trPr>
        <w:tc>
          <w:tcPr>
            <w:tcW w:w="1480" w:type="dxa"/>
            <w:vAlign w:val="bottom"/>
          </w:tcPr>
          <w:p>
            <w:pPr>
              <w:spacing w:after="0"/>
              <w:rPr>
                <w:sz w:val="20"/>
                <w:szCs w:val="20"/>
                <w:color w:val="auto"/>
              </w:rPr>
            </w:pPr>
            <w:r>
              <w:rPr>
                <w:rFonts w:ascii="Arial" w:cs="Arial" w:eastAsia="Arial" w:hAnsi="Arial"/>
                <w:sz w:val="18"/>
                <w:szCs w:val="18"/>
                <w:color w:val="auto"/>
              </w:rPr>
              <w:t>101.LAB*</w:t>
            </w:r>
          </w:p>
        </w:tc>
        <w:tc>
          <w:tcPr>
            <w:tcW w:w="2940" w:type="dxa"/>
            <w:vAlign w:val="bottom"/>
            <w:gridSpan w:val="17"/>
          </w:tcPr>
          <w:p>
            <w:pPr>
              <w:spacing w:after="0"/>
              <w:rPr>
                <w:sz w:val="20"/>
                <w:szCs w:val="20"/>
                <w:color w:val="auto"/>
              </w:rPr>
            </w:pPr>
            <w:r>
              <w:rPr>
                <w:rFonts w:ascii="Arial" w:cs="Arial" w:eastAsia="Arial" w:hAnsi="Arial"/>
                <w:sz w:val="18"/>
                <w:szCs w:val="18"/>
                <w:color w:val="auto"/>
              </w:rPr>
              <w:t>Inline XBRL Taxonomy Extension</w:t>
            </w:r>
          </w:p>
        </w:tc>
        <w:tc>
          <w:tcPr>
            <w:tcW w:w="0" w:type="dxa"/>
            <w:vAlign w:val="bottom"/>
          </w:tcPr>
          <w:p>
            <w:pPr>
              <w:spacing w:after="0"/>
              <w:rPr>
                <w:sz w:val="1"/>
                <w:szCs w:val="1"/>
                <w:color w:val="auto"/>
              </w:rPr>
            </w:pPr>
          </w:p>
        </w:tc>
      </w:tr>
      <w:tr>
        <w:trPr>
          <w:trHeight w:val="230"/>
        </w:trPr>
        <w:tc>
          <w:tcPr>
            <w:tcW w:w="1480" w:type="dxa"/>
            <w:vAlign w:val="bottom"/>
          </w:tcPr>
          <w:p>
            <w:pPr>
              <w:spacing w:after="0"/>
              <w:rPr>
                <w:sz w:val="19"/>
                <w:szCs w:val="19"/>
                <w:color w:val="auto"/>
              </w:rPr>
            </w:pPr>
          </w:p>
        </w:tc>
        <w:tc>
          <w:tcPr>
            <w:tcW w:w="2940" w:type="dxa"/>
            <w:vAlign w:val="bottom"/>
            <w:gridSpan w:val="17"/>
          </w:tcPr>
          <w:p>
            <w:pPr>
              <w:spacing w:after="0"/>
              <w:rPr>
                <w:sz w:val="20"/>
                <w:szCs w:val="20"/>
                <w:color w:val="auto"/>
              </w:rPr>
            </w:pPr>
            <w:r>
              <w:rPr>
                <w:rFonts w:ascii="Arial" w:cs="Arial" w:eastAsia="Arial" w:hAnsi="Arial"/>
                <w:sz w:val="18"/>
                <w:szCs w:val="18"/>
                <w:color w:val="auto"/>
              </w:rPr>
              <w:t>Label Linkbase Document</w:t>
            </w:r>
          </w:p>
        </w:tc>
        <w:tc>
          <w:tcPr>
            <w:tcW w:w="0" w:type="dxa"/>
            <w:vAlign w:val="bottom"/>
          </w:tcPr>
          <w:p>
            <w:pPr>
              <w:spacing w:after="0"/>
              <w:rPr>
                <w:sz w:val="1"/>
                <w:szCs w:val="1"/>
                <w:color w:val="auto"/>
              </w:rPr>
            </w:pPr>
          </w:p>
        </w:tc>
      </w:tr>
      <w:tr>
        <w:trPr>
          <w:trHeight w:val="216"/>
        </w:trPr>
        <w:tc>
          <w:tcPr>
            <w:tcW w:w="1480" w:type="dxa"/>
            <w:vAlign w:val="bottom"/>
          </w:tcPr>
          <w:p>
            <w:pPr>
              <w:spacing w:after="0"/>
              <w:rPr>
                <w:sz w:val="20"/>
                <w:szCs w:val="20"/>
                <w:color w:val="auto"/>
              </w:rPr>
            </w:pPr>
            <w:r>
              <w:rPr>
                <w:rFonts w:ascii="Arial" w:cs="Arial" w:eastAsia="Arial" w:hAnsi="Arial"/>
                <w:sz w:val="18"/>
                <w:szCs w:val="18"/>
                <w:color w:val="auto"/>
              </w:rPr>
              <w:t>101.PRE*</w:t>
            </w:r>
          </w:p>
        </w:tc>
        <w:tc>
          <w:tcPr>
            <w:tcW w:w="2940" w:type="dxa"/>
            <w:vAlign w:val="bottom"/>
            <w:gridSpan w:val="17"/>
          </w:tcPr>
          <w:p>
            <w:pPr>
              <w:spacing w:after="0"/>
              <w:rPr>
                <w:sz w:val="20"/>
                <w:szCs w:val="20"/>
                <w:color w:val="auto"/>
              </w:rPr>
            </w:pPr>
            <w:r>
              <w:rPr>
                <w:rFonts w:ascii="Arial" w:cs="Arial" w:eastAsia="Arial" w:hAnsi="Arial"/>
                <w:sz w:val="18"/>
                <w:szCs w:val="18"/>
                <w:color w:val="auto"/>
              </w:rPr>
              <w:t>Inline XBRL Taxonomy Extension</w:t>
            </w:r>
          </w:p>
        </w:tc>
        <w:tc>
          <w:tcPr>
            <w:tcW w:w="0" w:type="dxa"/>
            <w:vAlign w:val="bottom"/>
          </w:tcPr>
          <w:p>
            <w:pPr>
              <w:spacing w:after="0"/>
              <w:rPr>
                <w:sz w:val="1"/>
                <w:szCs w:val="1"/>
                <w:color w:val="auto"/>
              </w:rPr>
            </w:pPr>
          </w:p>
        </w:tc>
      </w:tr>
      <w:tr>
        <w:trPr>
          <w:trHeight w:val="230"/>
        </w:trPr>
        <w:tc>
          <w:tcPr>
            <w:tcW w:w="1480" w:type="dxa"/>
            <w:vAlign w:val="bottom"/>
          </w:tcPr>
          <w:p>
            <w:pPr>
              <w:spacing w:after="0"/>
              <w:rPr>
                <w:sz w:val="20"/>
                <w:szCs w:val="20"/>
                <w:color w:val="auto"/>
              </w:rPr>
            </w:pPr>
          </w:p>
        </w:tc>
        <w:tc>
          <w:tcPr>
            <w:tcW w:w="2940" w:type="dxa"/>
            <w:vAlign w:val="bottom"/>
            <w:gridSpan w:val="17"/>
          </w:tcPr>
          <w:p>
            <w:pPr>
              <w:spacing w:after="0"/>
              <w:rPr>
                <w:sz w:val="20"/>
                <w:szCs w:val="20"/>
                <w:color w:val="auto"/>
              </w:rPr>
            </w:pPr>
            <w:r>
              <w:rPr>
                <w:rFonts w:ascii="Arial" w:cs="Arial" w:eastAsia="Arial" w:hAnsi="Arial"/>
                <w:sz w:val="18"/>
                <w:szCs w:val="18"/>
                <w:color w:val="auto"/>
              </w:rPr>
              <w:t>Presentation Linkbase Document</w:t>
            </w:r>
          </w:p>
        </w:tc>
        <w:tc>
          <w:tcPr>
            <w:tcW w:w="0" w:type="dxa"/>
            <w:vAlign w:val="bottom"/>
          </w:tcPr>
          <w:p>
            <w:pPr>
              <w:spacing w:after="0"/>
              <w:rPr>
                <w:sz w:val="1"/>
                <w:szCs w:val="1"/>
                <w:color w:val="auto"/>
              </w:rPr>
            </w:pPr>
          </w:p>
        </w:tc>
      </w:tr>
    </w:tbl>
    <w:p>
      <w:pPr>
        <w:ind w:left="1480" w:right="280" w:hanging="1472"/>
        <w:spacing w:after="0" w:line="301" w:lineRule="auto"/>
        <w:tabs>
          <w:tab w:leader="none" w:pos="1480" w:val="left"/>
        </w:tabs>
        <w:numPr>
          <w:ilvl w:val="0"/>
          <w:numId w:val="5"/>
        </w:numPr>
        <w:rPr>
          <w:rFonts w:ascii="Arial" w:cs="Arial" w:eastAsia="Arial" w:hAnsi="Arial"/>
          <w:sz w:val="16"/>
          <w:szCs w:val="16"/>
          <w:color w:val="auto"/>
        </w:rPr>
      </w:pPr>
      <w:r>
        <w:rPr>
          <w:rFonts w:ascii="Arial" w:cs="Arial" w:eastAsia="Arial" w:hAnsi="Arial"/>
          <w:sz w:val="16"/>
          <w:szCs w:val="16"/>
          <w:color w:val="auto"/>
        </w:rPr>
        <w:t>Cover Page Interactive Data File (formatted as inline XBRL with applicable taxonomy extension information contained in Exhibits 101)</w:t>
      </w:r>
    </w:p>
    <w:p>
      <w:pPr>
        <w:spacing w:after="0" w:line="48" w:lineRule="exact"/>
        <w:rPr>
          <w:sz w:val="20"/>
          <w:szCs w:val="20"/>
          <w:color w:val="auto"/>
        </w:rPr>
      </w:pPr>
    </w:p>
    <w:p>
      <w:pPr>
        <w:ind w:left="380" w:hanging="372"/>
        <w:spacing w:after="0"/>
        <w:tabs>
          <w:tab w:leader="none" w:pos="380" w:val="left"/>
        </w:tabs>
        <w:numPr>
          <w:ilvl w:val="0"/>
          <w:numId w:val="6"/>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0" w:lineRule="exact"/>
        <w:rPr>
          <w:sz w:val="20"/>
          <w:szCs w:val="20"/>
          <w:color w:val="auto"/>
        </w:rPr>
      </w:pPr>
      <w:r>
        <w:rPr>
          <w:sz w:val="20"/>
          <w:szCs w:val="20"/>
          <w:color w:val="auto"/>
        </w:rPr>
        <w:br w:type="column"/>
      </w:r>
    </w:p>
    <w:p>
      <w:pPr>
        <w:spacing w:after="0" w:line="313" w:lineRule="exact"/>
        <w:rPr>
          <w:sz w:val="20"/>
          <w:szCs w:val="20"/>
          <w:color w:val="auto"/>
        </w:rPr>
      </w:pPr>
    </w:p>
    <w:p>
      <w:pPr>
        <w:ind w:left="2040"/>
        <w:spacing w:after="0"/>
        <w:rPr>
          <w:sz w:val="20"/>
          <w:szCs w:val="20"/>
          <w:color w:val="auto"/>
        </w:rPr>
      </w:pPr>
      <w:r>
        <w:rPr>
          <w:rFonts w:ascii="Arial" w:cs="Arial" w:eastAsia="Arial" w:hAnsi="Arial"/>
          <w:sz w:val="14"/>
          <w:szCs w:val="14"/>
          <w:b w:val="1"/>
          <w:bCs w:val="1"/>
          <w:color w:val="auto"/>
        </w:rPr>
        <w:t>Incorporation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-123825</wp:posOffset>
            </wp:positionH>
            <wp:positionV relativeFrom="paragraph">
              <wp:posOffset>15240</wp:posOffset>
            </wp:positionV>
            <wp:extent cx="390906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0">
                      <a:extLst>
                        <a:ext uri="{28A0092B-C50C-407E-A947-70E740481C1C}"/>
                      </a:extLst>
                    </a:blip>
                    <a:srcRect/>
                    <a:stretch>
                      <a:fillRect/>
                    </a:stretch>
                  </pic:blipFill>
                  <pic:spPr bwMode="auto">
                    <a:xfrm>
                      <a:off x="0" y="0"/>
                      <a:ext cx="3909060" cy="8890"/>
                    </a:xfrm>
                    <a:prstGeom prst="rect">
                      <a:avLst/>
                    </a:prstGeom>
                    <a:noFill/>
                  </pic:spPr>
                </pic:pic>
              </a:graphicData>
            </a:graphic>
          </wp:anchor>
        </w:drawing>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60" w:type="dxa"/>
            <w:vAlign w:val="bottom"/>
          </w:tcPr>
          <w:p>
            <w:pPr>
              <w:jc w:val="center"/>
              <w:ind w:right="413"/>
              <w:spacing w:after="0"/>
              <w:rPr>
                <w:sz w:val="20"/>
                <w:szCs w:val="20"/>
                <w:color w:val="auto"/>
              </w:rPr>
            </w:pPr>
            <w:r>
              <w:rPr>
                <w:rFonts w:ascii="Arial" w:cs="Arial" w:eastAsia="Arial" w:hAnsi="Arial"/>
                <w:sz w:val="14"/>
                <w:szCs w:val="14"/>
                <w:b w:val="1"/>
                <w:bCs w:val="1"/>
                <w:color w:val="auto"/>
                <w:w w:val="97"/>
              </w:rPr>
              <w:t>Form</w:t>
            </w:r>
          </w:p>
        </w:tc>
        <w:tc>
          <w:tcPr>
            <w:tcW w:w="1880" w:type="dxa"/>
            <w:vAlign w:val="bottom"/>
          </w:tcPr>
          <w:p>
            <w:pPr>
              <w:jc w:val="center"/>
              <w:spacing w:after="0"/>
              <w:rPr>
                <w:sz w:val="20"/>
                <w:szCs w:val="20"/>
                <w:color w:val="auto"/>
              </w:rPr>
            </w:pPr>
            <w:r>
              <w:rPr>
                <w:rFonts w:ascii="Arial" w:cs="Arial" w:eastAsia="Arial" w:hAnsi="Arial"/>
                <w:sz w:val="14"/>
                <w:szCs w:val="14"/>
                <w:b w:val="1"/>
                <w:bCs w:val="1"/>
                <w:color w:val="auto"/>
                <w:w w:val="94"/>
              </w:rPr>
              <w:t>File No.</w:t>
            </w:r>
          </w:p>
        </w:tc>
        <w:tc>
          <w:tcPr>
            <w:tcW w:w="1360" w:type="dxa"/>
            <w:vAlign w:val="bottom"/>
          </w:tcPr>
          <w:p>
            <w:pPr>
              <w:jc w:val="center"/>
              <w:ind w:left="13"/>
              <w:spacing w:after="0"/>
              <w:rPr>
                <w:sz w:val="20"/>
                <w:szCs w:val="20"/>
                <w:color w:val="auto"/>
              </w:rPr>
            </w:pPr>
            <w:r>
              <w:rPr>
                <w:rFonts w:ascii="Arial" w:cs="Arial" w:eastAsia="Arial" w:hAnsi="Arial"/>
                <w:sz w:val="14"/>
                <w:szCs w:val="14"/>
                <w:b w:val="1"/>
                <w:bCs w:val="1"/>
                <w:color w:val="auto"/>
                <w:w w:val="98"/>
              </w:rPr>
              <w:t>Exhibit</w:t>
            </w:r>
          </w:p>
        </w:tc>
        <w:tc>
          <w:tcPr>
            <w:tcW w:w="1740" w:type="dxa"/>
            <w:vAlign w:val="bottom"/>
          </w:tcPr>
          <w:p>
            <w:pPr>
              <w:jc w:val="center"/>
              <w:ind w:left="313"/>
              <w:spacing w:after="0"/>
              <w:rPr>
                <w:sz w:val="20"/>
                <w:szCs w:val="20"/>
                <w:color w:val="auto"/>
              </w:rPr>
            </w:pPr>
            <w:r>
              <w:rPr>
                <w:rFonts w:ascii="Arial" w:cs="Arial" w:eastAsia="Arial" w:hAnsi="Arial"/>
                <w:sz w:val="14"/>
                <w:szCs w:val="14"/>
                <w:b w:val="1"/>
                <w:bCs w:val="1"/>
                <w:color w:val="auto"/>
                <w:w w:val="97"/>
              </w:rPr>
              <w:t>Filing Date</w:t>
            </w:r>
          </w:p>
        </w:tc>
      </w:tr>
      <w:tr>
        <w:trPr>
          <w:trHeight w:val="336"/>
        </w:trPr>
        <w:tc>
          <w:tcPr>
            <w:tcW w:w="960" w:type="dxa"/>
            <w:vAlign w:val="bottom"/>
          </w:tcPr>
          <w:p>
            <w:pPr>
              <w:jc w:val="center"/>
              <w:ind w:right="433"/>
              <w:spacing w:after="0"/>
              <w:rPr>
                <w:sz w:val="20"/>
                <w:szCs w:val="20"/>
                <w:color w:val="auto"/>
              </w:rPr>
            </w:pPr>
            <w:r>
              <w:rPr>
                <w:rFonts w:ascii="Arial" w:cs="Arial" w:eastAsia="Arial" w:hAnsi="Arial"/>
                <w:sz w:val="18"/>
                <w:szCs w:val="18"/>
                <w:color w:val="auto"/>
                <w:w w:val="97"/>
              </w:rPr>
              <w:t>S-1/A</w:t>
            </w:r>
          </w:p>
        </w:tc>
        <w:tc>
          <w:tcPr>
            <w:tcW w:w="1880" w:type="dxa"/>
            <w:vAlign w:val="bottom"/>
          </w:tcPr>
          <w:p>
            <w:pPr>
              <w:jc w:val="center"/>
              <w:spacing w:after="0"/>
              <w:rPr>
                <w:sz w:val="20"/>
                <w:szCs w:val="20"/>
                <w:color w:val="auto"/>
              </w:rPr>
            </w:pPr>
            <w:r>
              <w:rPr>
                <w:rFonts w:ascii="Arial" w:cs="Arial" w:eastAsia="Arial" w:hAnsi="Arial"/>
                <w:sz w:val="18"/>
                <w:szCs w:val="18"/>
                <w:color w:val="auto"/>
                <w:w w:val="91"/>
              </w:rPr>
              <w:t>333-248225</w:t>
            </w:r>
          </w:p>
        </w:tc>
        <w:tc>
          <w:tcPr>
            <w:tcW w:w="1360" w:type="dxa"/>
            <w:vAlign w:val="bottom"/>
          </w:tcPr>
          <w:p>
            <w:pPr>
              <w:jc w:val="center"/>
              <w:ind w:left="13"/>
              <w:spacing w:after="0"/>
              <w:rPr>
                <w:sz w:val="20"/>
                <w:szCs w:val="20"/>
                <w:color w:val="auto"/>
              </w:rPr>
            </w:pPr>
            <w:r>
              <w:rPr>
                <w:rFonts w:ascii="Arial" w:cs="Arial" w:eastAsia="Arial" w:hAnsi="Arial"/>
                <w:sz w:val="18"/>
                <w:szCs w:val="18"/>
                <w:color w:val="auto"/>
                <w:w w:val="87"/>
              </w:rPr>
              <w:t>3.1</w:t>
            </w:r>
          </w:p>
        </w:tc>
        <w:tc>
          <w:tcPr>
            <w:tcW w:w="1740" w:type="dxa"/>
            <w:vAlign w:val="bottom"/>
          </w:tcPr>
          <w:p>
            <w:pPr>
              <w:jc w:val="center"/>
              <w:ind w:left="313"/>
              <w:spacing w:after="0"/>
              <w:rPr>
                <w:sz w:val="20"/>
                <w:szCs w:val="20"/>
                <w:color w:val="auto"/>
              </w:rPr>
            </w:pPr>
            <w:r>
              <w:rPr>
                <w:rFonts w:ascii="Arial" w:cs="Arial" w:eastAsia="Arial" w:hAnsi="Arial"/>
                <w:sz w:val="18"/>
                <w:szCs w:val="18"/>
                <w:color w:val="auto"/>
                <w:w w:val="87"/>
              </w:rPr>
              <w:t>September 9, 2020</w:t>
            </w:r>
          </w:p>
        </w:tc>
      </w:tr>
      <w:tr>
        <w:trPr>
          <w:trHeight w:val="878"/>
        </w:trPr>
        <w:tc>
          <w:tcPr>
            <w:tcW w:w="960" w:type="dxa"/>
            <w:vAlign w:val="bottom"/>
          </w:tcPr>
          <w:p>
            <w:pPr>
              <w:jc w:val="center"/>
              <w:ind w:right="433"/>
              <w:spacing w:after="0"/>
              <w:rPr>
                <w:sz w:val="20"/>
                <w:szCs w:val="20"/>
                <w:color w:val="auto"/>
              </w:rPr>
            </w:pPr>
            <w:r>
              <w:rPr>
                <w:rFonts w:ascii="Arial" w:cs="Arial" w:eastAsia="Arial" w:hAnsi="Arial"/>
                <w:sz w:val="18"/>
                <w:szCs w:val="18"/>
                <w:color w:val="auto"/>
                <w:w w:val="97"/>
              </w:rPr>
              <w:t>S-1/A</w:t>
            </w:r>
          </w:p>
        </w:tc>
        <w:tc>
          <w:tcPr>
            <w:tcW w:w="1880" w:type="dxa"/>
            <w:vAlign w:val="bottom"/>
          </w:tcPr>
          <w:p>
            <w:pPr>
              <w:jc w:val="center"/>
              <w:spacing w:after="0"/>
              <w:rPr>
                <w:sz w:val="20"/>
                <w:szCs w:val="20"/>
                <w:color w:val="auto"/>
              </w:rPr>
            </w:pPr>
            <w:r>
              <w:rPr>
                <w:rFonts w:ascii="Arial" w:cs="Arial" w:eastAsia="Arial" w:hAnsi="Arial"/>
                <w:sz w:val="18"/>
                <w:szCs w:val="18"/>
                <w:color w:val="auto"/>
                <w:w w:val="91"/>
              </w:rPr>
              <w:t>333-248225</w:t>
            </w:r>
          </w:p>
        </w:tc>
        <w:tc>
          <w:tcPr>
            <w:tcW w:w="1360" w:type="dxa"/>
            <w:vAlign w:val="bottom"/>
          </w:tcPr>
          <w:p>
            <w:pPr>
              <w:jc w:val="center"/>
              <w:ind w:left="13"/>
              <w:spacing w:after="0"/>
              <w:rPr>
                <w:sz w:val="20"/>
                <w:szCs w:val="20"/>
                <w:color w:val="auto"/>
              </w:rPr>
            </w:pPr>
            <w:r>
              <w:rPr>
                <w:rFonts w:ascii="Arial" w:cs="Arial" w:eastAsia="Arial" w:hAnsi="Arial"/>
                <w:sz w:val="18"/>
                <w:szCs w:val="18"/>
                <w:color w:val="auto"/>
                <w:w w:val="87"/>
              </w:rPr>
              <w:t>3.2</w:t>
            </w:r>
          </w:p>
        </w:tc>
        <w:tc>
          <w:tcPr>
            <w:tcW w:w="1740" w:type="dxa"/>
            <w:vAlign w:val="bottom"/>
          </w:tcPr>
          <w:p>
            <w:pPr>
              <w:jc w:val="center"/>
              <w:ind w:left="313"/>
              <w:spacing w:after="0"/>
              <w:rPr>
                <w:sz w:val="20"/>
                <w:szCs w:val="20"/>
                <w:color w:val="auto"/>
              </w:rPr>
            </w:pPr>
            <w:r>
              <w:rPr>
                <w:rFonts w:ascii="Arial" w:cs="Arial" w:eastAsia="Arial" w:hAnsi="Arial"/>
                <w:sz w:val="18"/>
                <w:szCs w:val="18"/>
                <w:color w:val="auto"/>
                <w:w w:val="87"/>
              </w:rPr>
              <w:t>September 9, 2020</w:t>
            </w:r>
          </w:p>
        </w:tc>
      </w:tr>
      <w:tr>
        <w:trPr>
          <w:trHeight w:val="580"/>
        </w:trPr>
        <w:tc>
          <w:tcPr>
            <w:tcW w:w="960" w:type="dxa"/>
            <w:vAlign w:val="bottom"/>
          </w:tcPr>
          <w:p>
            <w:pPr>
              <w:jc w:val="center"/>
              <w:ind w:right="433"/>
              <w:spacing w:after="0"/>
              <w:rPr>
                <w:sz w:val="20"/>
                <w:szCs w:val="20"/>
                <w:color w:val="auto"/>
              </w:rPr>
            </w:pPr>
            <w:r>
              <w:rPr>
                <w:rFonts w:ascii="Arial" w:cs="Arial" w:eastAsia="Arial" w:hAnsi="Arial"/>
                <w:sz w:val="18"/>
                <w:szCs w:val="18"/>
                <w:color w:val="auto"/>
                <w:w w:val="97"/>
              </w:rPr>
              <w:t>S-1/A</w:t>
            </w:r>
          </w:p>
        </w:tc>
        <w:tc>
          <w:tcPr>
            <w:tcW w:w="1880" w:type="dxa"/>
            <w:vAlign w:val="bottom"/>
          </w:tcPr>
          <w:p>
            <w:pPr>
              <w:jc w:val="center"/>
              <w:spacing w:after="0"/>
              <w:rPr>
                <w:sz w:val="20"/>
                <w:szCs w:val="20"/>
                <w:color w:val="auto"/>
              </w:rPr>
            </w:pPr>
            <w:r>
              <w:rPr>
                <w:rFonts w:ascii="Arial" w:cs="Arial" w:eastAsia="Arial" w:hAnsi="Arial"/>
                <w:sz w:val="18"/>
                <w:szCs w:val="18"/>
                <w:color w:val="auto"/>
                <w:w w:val="91"/>
              </w:rPr>
              <w:t>333-248225</w:t>
            </w:r>
          </w:p>
        </w:tc>
        <w:tc>
          <w:tcPr>
            <w:tcW w:w="1360" w:type="dxa"/>
            <w:vAlign w:val="bottom"/>
          </w:tcPr>
          <w:p>
            <w:pPr>
              <w:jc w:val="center"/>
              <w:ind w:left="13"/>
              <w:spacing w:after="0"/>
              <w:rPr>
                <w:sz w:val="20"/>
                <w:szCs w:val="20"/>
                <w:color w:val="auto"/>
              </w:rPr>
            </w:pPr>
            <w:r>
              <w:rPr>
                <w:rFonts w:ascii="Arial" w:cs="Arial" w:eastAsia="Arial" w:hAnsi="Arial"/>
                <w:sz w:val="18"/>
                <w:szCs w:val="18"/>
                <w:color w:val="auto"/>
                <w:w w:val="87"/>
              </w:rPr>
              <w:t>4.1</w:t>
            </w:r>
          </w:p>
        </w:tc>
        <w:tc>
          <w:tcPr>
            <w:tcW w:w="1740" w:type="dxa"/>
            <w:vAlign w:val="bottom"/>
          </w:tcPr>
          <w:p>
            <w:pPr>
              <w:jc w:val="center"/>
              <w:ind w:left="313"/>
              <w:spacing w:after="0"/>
              <w:rPr>
                <w:sz w:val="20"/>
                <w:szCs w:val="20"/>
                <w:color w:val="auto"/>
              </w:rPr>
            </w:pPr>
            <w:r>
              <w:rPr>
                <w:rFonts w:ascii="Arial" w:cs="Arial" w:eastAsia="Arial" w:hAnsi="Arial"/>
                <w:sz w:val="18"/>
                <w:szCs w:val="18"/>
                <w:color w:val="auto"/>
                <w:w w:val="87"/>
              </w:rPr>
              <w:t>September 9, 2020</w:t>
            </w:r>
          </w:p>
        </w:tc>
      </w:tr>
      <w:tr>
        <w:trPr>
          <w:trHeight w:val="364"/>
        </w:trPr>
        <w:tc>
          <w:tcPr>
            <w:tcW w:w="960" w:type="dxa"/>
            <w:vAlign w:val="bottom"/>
          </w:tcPr>
          <w:p>
            <w:pPr>
              <w:jc w:val="center"/>
              <w:ind w:right="433"/>
              <w:spacing w:after="0"/>
              <w:rPr>
                <w:sz w:val="20"/>
                <w:szCs w:val="20"/>
                <w:color w:val="auto"/>
              </w:rPr>
            </w:pPr>
            <w:r>
              <w:rPr>
                <w:rFonts w:ascii="Arial" w:cs="Arial" w:eastAsia="Arial" w:hAnsi="Arial"/>
                <w:sz w:val="18"/>
                <w:szCs w:val="18"/>
                <w:color w:val="auto"/>
                <w:w w:val="85"/>
              </w:rPr>
              <w:t>S-1</w:t>
            </w:r>
          </w:p>
        </w:tc>
        <w:tc>
          <w:tcPr>
            <w:tcW w:w="1880" w:type="dxa"/>
            <w:vAlign w:val="bottom"/>
          </w:tcPr>
          <w:p>
            <w:pPr>
              <w:jc w:val="center"/>
              <w:spacing w:after="0"/>
              <w:rPr>
                <w:sz w:val="20"/>
                <w:szCs w:val="20"/>
                <w:color w:val="auto"/>
              </w:rPr>
            </w:pPr>
            <w:r>
              <w:rPr>
                <w:rFonts w:ascii="Arial" w:cs="Arial" w:eastAsia="Arial" w:hAnsi="Arial"/>
                <w:sz w:val="18"/>
                <w:szCs w:val="18"/>
                <w:color w:val="auto"/>
                <w:w w:val="91"/>
              </w:rPr>
              <w:t>333-248225</w:t>
            </w:r>
          </w:p>
        </w:tc>
        <w:tc>
          <w:tcPr>
            <w:tcW w:w="1360" w:type="dxa"/>
            <w:vAlign w:val="bottom"/>
          </w:tcPr>
          <w:p>
            <w:pPr>
              <w:jc w:val="center"/>
              <w:ind w:left="13"/>
              <w:spacing w:after="0"/>
              <w:rPr>
                <w:sz w:val="20"/>
                <w:szCs w:val="20"/>
                <w:color w:val="auto"/>
              </w:rPr>
            </w:pPr>
            <w:r>
              <w:rPr>
                <w:rFonts w:ascii="Arial" w:cs="Arial" w:eastAsia="Arial" w:hAnsi="Arial"/>
                <w:sz w:val="18"/>
                <w:szCs w:val="18"/>
                <w:color w:val="auto"/>
                <w:w w:val="87"/>
              </w:rPr>
              <w:t>4.2</w:t>
            </w:r>
          </w:p>
        </w:tc>
        <w:tc>
          <w:tcPr>
            <w:tcW w:w="1740" w:type="dxa"/>
            <w:vAlign w:val="bottom"/>
          </w:tcPr>
          <w:p>
            <w:pPr>
              <w:jc w:val="center"/>
              <w:ind w:left="313"/>
              <w:spacing w:after="0"/>
              <w:rPr>
                <w:sz w:val="20"/>
                <w:szCs w:val="20"/>
                <w:color w:val="auto"/>
              </w:rPr>
            </w:pPr>
            <w:r>
              <w:rPr>
                <w:rFonts w:ascii="Arial" w:cs="Arial" w:eastAsia="Arial" w:hAnsi="Arial"/>
                <w:sz w:val="18"/>
                <w:szCs w:val="18"/>
                <w:color w:val="auto"/>
                <w:w w:val="89"/>
              </w:rPr>
              <w:t>August 21, 2020</w:t>
            </w:r>
          </w:p>
        </w:tc>
      </w:tr>
      <w:tr>
        <w:trPr>
          <w:trHeight w:val="581"/>
        </w:trPr>
        <w:tc>
          <w:tcPr>
            <w:tcW w:w="960" w:type="dxa"/>
            <w:vAlign w:val="bottom"/>
          </w:tcPr>
          <w:p>
            <w:pPr>
              <w:jc w:val="center"/>
              <w:ind w:right="433"/>
              <w:spacing w:after="0"/>
              <w:rPr>
                <w:sz w:val="20"/>
                <w:szCs w:val="20"/>
                <w:color w:val="auto"/>
              </w:rPr>
            </w:pPr>
            <w:r>
              <w:rPr>
                <w:rFonts w:ascii="Arial" w:cs="Arial" w:eastAsia="Arial" w:hAnsi="Arial"/>
                <w:sz w:val="18"/>
                <w:szCs w:val="18"/>
                <w:color w:val="auto"/>
                <w:w w:val="85"/>
              </w:rPr>
              <w:t>S-1</w:t>
            </w:r>
          </w:p>
        </w:tc>
        <w:tc>
          <w:tcPr>
            <w:tcW w:w="1880" w:type="dxa"/>
            <w:vAlign w:val="bottom"/>
          </w:tcPr>
          <w:p>
            <w:pPr>
              <w:jc w:val="center"/>
              <w:spacing w:after="0"/>
              <w:rPr>
                <w:sz w:val="20"/>
                <w:szCs w:val="20"/>
                <w:color w:val="auto"/>
              </w:rPr>
            </w:pPr>
            <w:r>
              <w:rPr>
                <w:rFonts w:ascii="Arial" w:cs="Arial" w:eastAsia="Arial" w:hAnsi="Arial"/>
                <w:sz w:val="18"/>
                <w:szCs w:val="18"/>
                <w:color w:val="auto"/>
                <w:w w:val="91"/>
              </w:rPr>
              <w:t>333-248225</w:t>
            </w:r>
          </w:p>
        </w:tc>
        <w:tc>
          <w:tcPr>
            <w:tcW w:w="1360" w:type="dxa"/>
            <w:vAlign w:val="bottom"/>
          </w:tcPr>
          <w:p>
            <w:pPr>
              <w:jc w:val="center"/>
              <w:ind w:left="13"/>
              <w:spacing w:after="0"/>
              <w:rPr>
                <w:sz w:val="20"/>
                <w:szCs w:val="20"/>
                <w:color w:val="auto"/>
              </w:rPr>
            </w:pPr>
            <w:r>
              <w:rPr>
                <w:rFonts w:ascii="Arial" w:cs="Arial" w:eastAsia="Arial" w:hAnsi="Arial"/>
                <w:sz w:val="18"/>
                <w:szCs w:val="18"/>
                <w:color w:val="auto"/>
                <w:w w:val="87"/>
              </w:rPr>
              <w:t>4.3</w:t>
            </w:r>
          </w:p>
        </w:tc>
        <w:tc>
          <w:tcPr>
            <w:tcW w:w="1740" w:type="dxa"/>
            <w:vAlign w:val="bottom"/>
          </w:tcPr>
          <w:p>
            <w:pPr>
              <w:jc w:val="center"/>
              <w:ind w:left="313"/>
              <w:spacing w:after="0"/>
              <w:rPr>
                <w:sz w:val="20"/>
                <w:szCs w:val="20"/>
                <w:color w:val="auto"/>
              </w:rPr>
            </w:pPr>
            <w:r>
              <w:rPr>
                <w:rFonts w:ascii="Arial" w:cs="Arial" w:eastAsia="Arial" w:hAnsi="Arial"/>
                <w:sz w:val="18"/>
                <w:szCs w:val="18"/>
                <w:color w:val="auto"/>
                <w:w w:val="89"/>
              </w:rPr>
              <w:t>August 21, 2020</w:t>
            </w:r>
          </w:p>
        </w:tc>
      </w:tr>
      <w:tr>
        <w:trPr>
          <w:trHeight w:val="364"/>
        </w:trPr>
        <w:tc>
          <w:tcPr>
            <w:tcW w:w="960" w:type="dxa"/>
            <w:vAlign w:val="bottom"/>
          </w:tcPr>
          <w:p>
            <w:pPr>
              <w:jc w:val="center"/>
              <w:ind w:right="433"/>
              <w:spacing w:after="0"/>
              <w:rPr>
                <w:sz w:val="20"/>
                <w:szCs w:val="20"/>
                <w:color w:val="auto"/>
              </w:rPr>
            </w:pPr>
            <w:r>
              <w:rPr>
                <w:rFonts w:ascii="Arial" w:cs="Arial" w:eastAsia="Arial" w:hAnsi="Arial"/>
                <w:sz w:val="18"/>
                <w:szCs w:val="18"/>
                <w:color w:val="auto"/>
                <w:w w:val="85"/>
              </w:rPr>
              <w:t>S-1</w:t>
            </w:r>
          </w:p>
        </w:tc>
        <w:tc>
          <w:tcPr>
            <w:tcW w:w="1880" w:type="dxa"/>
            <w:vAlign w:val="bottom"/>
          </w:tcPr>
          <w:p>
            <w:pPr>
              <w:jc w:val="center"/>
              <w:spacing w:after="0"/>
              <w:rPr>
                <w:sz w:val="20"/>
                <w:szCs w:val="20"/>
                <w:color w:val="auto"/>
              </w:rPr>
            </w:pPr>
            <w:r>
              <w:rPr>
                <w:rFonts w:ascii="Arial" w:cs="Arial" w:eastAsia="Arial" w:hAnsi="Arial"/>
                <w:sz w:val="18"/>
                <w:szCs w:val="18"/>
                <w:color w:val="auto"/>
                <w:w w:val="91"/>
              </w:rPr>
              <w:t>333-248225</w:t>
            </w:r>
          </w:p>
        </w:tc>
        <w:tc>
          <w:tcPr>
            <w:tcW w:w="1360" w:type="dxa"/>
            <w:vAlign w:val="bottom"/>
          </w:tcPr>
          <w:p>
            <w:pPr>
              <w:jc w:val="center"/>
              <w:ind w:left="13"/>
              <w:spacing w:after="0"/>
              <w:rPr>
                <w:sz w:val="20"/>
                <w:szCs w:val="20"/>
                <w:color w:val="auto"/>
              </w:rPr>
            </w:pPr>
            <w:r>
              <w:rPr>
                <w:rFonts w:ascii="Arial" w:cs="Arial" w:eastAsia="Arial" w:hAnsi="Arial"/>
                <w:sz w:val="18"/>
                <w:szCs w:val="18"/>
                <w:color w:val="auto"/>
                <w:w w:val="87"/>
              </w:rPr>
              <w:t>4.4</w:t>
            </w:r>
          </w:p>
        </w:tc>
        <w:tc>
          <w:tcPr>
            <w:tcW w:w="1740" w:type="dxa"/>
            <w:vAlign w:val="bottom"/>
          </w:tcPr>
          <w:p>
            <w:pPr>
              <w:jc w:val="center"/>
              <w:ind w:left="313"/>
              <w:spacing w:after="0"/>
              <w:rPr>
                <w:sz w:val="20"/>
                <w:szCs w:val="20"/>
                <w:color w:val="auto"/>
              </w:rPr>
            </w:pPr>
            <w:r>
              <w:rPr>
                <w:rFonts w:ascii="Arial" w:cs="Arial" w:eastAsia="Arial" w:hAnsi="Arial"/>
                <w:sz w:val="18"/>
                <w:szCs w:val="18"/>
                <w:color w:val="auto"/>
                <w:w w:val="89"/>
              </w:rPr>
              <w:t>August 21, 2020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26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-3359785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4560" w:space="720"/>
            <w:col w:w="5940"/>
          </w:cols>
          <w:pgMar w:left="320" w:top="337" w:right="359" w:bottom="1440" w:gutter="0" w:footer="0" w:header="0"/>
        </w:sectPr>
      </w:pPr>
    </w:p>
    <w:bookmarkStart w:id="27" w:name="page28"/>
    <w:bookmarkEnd w:id="27"/>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580" w:firstLine="38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00" w:type="dxa"/>
            <w:vAlign w:val="bottom"/>
          </w:tcPr>
          <w:p>
            <w:pPr>
              <w:spacing w:after="0"/>
              <w:rPr>
                <w:sz w:val="20"/>
                <w:szCs w:val="20"/>
                <w:color w:val="auto"/>
              </w:rPr>
            </w:pPr>
          </w:p>
        </w:tc>
        <w:tc>
          <w:tcPr>
            <w:tcW w:w="3520" w:type="dxa"/>
            <w:vAlign w:val="bottom"/>
            <w:gridSpan w:val="2"/>
          </w:tcPr>
          <w:p>
            <w:pPr>
              <w:ind w:left="1940"/>
              <w:spacing w:after="0"/>
              <w:rPr>
                <w:sz w:val="20"/>
                <w:szCs w:val="20"/>
                <w:color w:val="auto"/>
              </w:rPr>
            </w:pPr>
            <w:r>
              <w:rPr>
                <w:rFonts w:ascii="Arial" w:cs="Arial" w:eastAsia="Arial" w:hAnsi="Arial"/>
                <w:sz w:val="18"/>
                <w:szCs w:val="18"/>
                <w:color w:val="auto"/>
                <w:w w:val="98"/>
              </w:rPr>
              <w:t>Outset Medical, Inc.</w:t>
            </w:r>
          </w:p>
        </w:tc>
        <w:tc>
          <w:tcPr>
            <w:tcW w:w="4220" w:type="dxa"/>
            <w:vAlign w:val="bottom"/>
          </w:tcPr>
          <w:p>
            <w:pPr>
              <w:spacing w:after="0"/>
              <w:rPr>
                <w:sz w:val="20"/>
                <w:szCs w:val="20"/>
                <w:color w:val="auto"/>
              </w:rPr>
            </w:pPr>
          </w:p>
        </w:tc>
      </w:tr>
      <w:tr>
        <w:trPr>
          <w:trHeight w:val="459"/>
        </w:trPr>
        <w:tc>
          <w:tcPr>
            <w:tcW w:w="3500" w:type="dxa"/>
            <w:vAlign w:val="bottom"/>
          </w:tcPr>
          <w:p>
            <w:pPr>
              <w:spacing w:after="0"/>
              <w:rPr>
                <w:sz w:val="20"/>
                <w:szCs w:val="20"/>
                <w:color w:val="auto"/>
              </w:rPr>
            </w:pPr>
            <w:r>
              <w:rPr>
                <w:rFonts w:ascii="Arial" w:cs="Arial" w:eastAsia="Arial" w:hAnsi="Arial"/>
                <w:sz w:val="18"/>
                <w:szCs w:val="18"/>
                <w:color w:val="auto"/>
              </w:rPr>
              <w:t>Date: August 5, 2021</w:t>
            </w:r>
          </w:p>
        </w:tc>
        <w:tc>
          <w:tcPr>
            <w:tcW w:w="3520" w:type="dxa"/>
            <w:vAlign w:val="bottom"/>
            <w:gridSpan w:val="2"/>
          </w:tcPr>
          <w:p>
            <w:pPr>
              <w:ind w:left="1940"/>
              <w:spacing w:after="0"/>
              <w:rPr>
                <w:sz w:val="20"/>
                <w:szCs w:val="20"/>
                <w:color w:val="auto"/>
              </w:rPr>
            </w:pPr>
            <w:r>
              <w:rPr>
                <w:rFonts w:ascii="Arial" w:cs="Arial" w:eastAsia="Arial" w:hAnsi="Arial"/>
                <w:sz w:val="18"/>
                <w:szCs w:val="18"/>
                <w:color w:val="auto"/>
              </w:rPr>
              <w:t>By:</w:t>
            </w:r>
          </w:p>
        </w:tc>
        <w:tc>
          <w:tcPr>
            <w:tcW w:w="4220" w:type="dxa"/>
            <w:vAlign w:val="bottom"/>
          </w:tcPr>
          <w:p>
            <w:pPr>
              <w:jc w:val="center"/>
              <w:ind w:right="1190"/>
              <w:spacing w:after="0"/>
              <w:rPr>
                <w:sz w:val="20"/>
                <w:szCs w:val="20"/>
                <w:color w:val="auto"/>
              </w:rPr>
            </w:pPr>
            <w:r>
              <w:rPr>
                <w:rFonts w:ascii="Arial" w:cs="Arial" w:eastAsia="Arial" w:hAnsi="Arial"/>
                <w:sz w:val="18"/>
                <w:szCs w:val="18"/>
                <w:color w:val="auto"/>
                <w:w w:val="93"/>
              </w:rPr>
              <w:t>/s/ Leslie Trigg</w:t>
            </w:r>
          </w:p>
        </w:tc>
      </w:tr>
      <w:tr>
        <w:trPr>
          <w:trHeight w:val="222"/>
        </w:trPr>
        <w:tc>
          <w:tcPr>
            <w:tcW w:w="350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1260" w:type="dxa"/>
            <w:vAlign w:val="bottom"/>
            <w:tcBorders>
              <w:top w:val="single" w:sz="8" w:color="auto"/>
            </w:tcBorders>
          </w:tcPr>
          <w:p>
            <w:pPr>
              <w:spacing w:after="0"/>
              <w:rPr>
                <w:sz w:val="19"/>
                <w:szCs w:val="19"/>
                <w:color w:val="auto"/>
              </w:rPr>
            </w:pPr>
          </w:p>
        </w:tc>
        <w:tc>
          <w:tcPr>
            <w:tcW w:w="4220" w:type="dxa"/>
            <w:vAlign w:val="bottom"/>
            <w:tcBorders>
              <w:top w:val="single" w:sz="8" w:color="auto"/>
            </w:tcBorders>
          </w:tcPr>
          <w:p>
            <w:pPr>
              <w:jc w:val="center"/>
              <w:ind w:right="1170"/>
              <w:spacing w:after="0"/>
              <w:rPr>
                <w:sz w:val="20"/>
                <w:szCs w:val="20"/>
                <w:color w:val="auto"/>
              </w:rPr>
            </w:pPr>
            <w:r>
              <w:rPr>
                <w:rFonts w:ascii="Arial" w:cs="Arial" w:eastAsia="Arial" w:hAnsi="Arial"/>
                <w:sz w:val="18"/>
                <w:szCs w:val="18"/>
                <w:color w:val="auto"/>
                <w:w w:val="94"/>
              </w:rPr>
              <w:t>Leslie Trigg</w:t>
            </w:r>
          </w:p>
        </w:tc>
      </w:tr>
      <w:tr>
        <w:trPr>
          <w:trHeight w:val="216"/>
        </w:trPr>
        <w:tc>
          <w:tcPr>
            <w:tcW w:w="350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220" w:type="dxa"/>
            <w:vAlign w:val="bottom"/>
          </w:tcPr>
          <w:p>
            <w:pPr>
              <w:jc w:val="center"/>
              <w:ind w:right="1190"/>
              <w:spacing w:after="0"/>
              <w:rPr>
                <w:sz w:val="20"/>
                <w:szCs w:val="20"/>
                <w:color w:val="auto"/>
              </w:rPr>
            </w:pPr>
            <w:r>
              <w:rPr>
                <w:rFonts w:ascii="Arial" w:cs="Arial" w:eastAsia="Arial" w:hAnsi="Arial"/>
                <w:sz w:val="18"/>
                <w:szCs w:val="18"/>
                <w:color w:val="auto"/>
                <w:w w:val="91"/>
              </w:rPr>
              <w:t>President and Chief Executive Officer</w:t>
            </w:r>
          </w:p>
        </w:tc>
      </w:tr>
      <w:tr>
        <w:trPr>
          <w:trHeight w:val="230"/>
        </w:trPr>
        <w:tc>
          <w:tcPr>
            <w:tcW w:w="350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4220" w:type="dxa"/>
            <w:vAlign w:val="bottom"/>
          </w:tcPr>
          <w:p>
            <w:pPr>
              <w:jc w:val="center"/>
              <w:ind w:right="1190"/>
              <w:spacing w:after="0"/>
              <w:rPr>
                <w:sz w:val="20"/>
                <w:szCs w:val="20"/>
                <w:color w:val="auto"/>
              </w:rPr>
            </w:pPr>
            <w:r>
              <w:rPr>
                <w:rFonts w:ascii="Arial" w:cs="Arial" w:eastAsia="Arial" w:hAnsi="Arial"/>
                <w:sz w:val="18"/>
                <w:szCs w:val="18"/>
                <w:color w:val="auto"/>
                <w:w w:val="94"/>
              </w:rPr>
              <w:t>(</w:t>
            </w:r>
            <w:r>
              <w:rPr>
                <w:rFonts w:ascii="Arial" w:cs="Arial" w:eastAsia="Arial" w:hAnsi="Arial"/>
                <w:sz w:val="18"/>
                <w:szCs w:val="18"/>
                <w:i w:val="1"/>
                <w:iCs w:val="1"/>
                <w:color w:val="auto"/>
                <w:w w:val="94"/>
              </w:rPr>
              <w:t>Principal Executive Officer</w:t>
            </w:r>
            <w:r>
              <w:rPr>
                <w:rFonts w:ascii="Arial" w:cs="Arial" w:eastAsia="Arial" w:hAnsi="Arial"/>
                <w:sz w:val="18"/>
                <w:szCs w:val="18"/>
                <w:color w:val="auto"/>
                <w:w w:val="94"/>
              </w:rPr>
              <w:t>)</w:t>
            </w:r>
          </w:p>
        </w:tc>
      </w:tr>
      <w:tr>
        <w:trPr>
          <w:trHeight w:val="459"/>
        </w:trPr>
        <w:tc>
          <w:tcPr>
            <w:tcW w:w="3500" w:type="dxa"/>
            <w:vAlign w:val="bottom"/>
          </w:tcPr>
          <w:p>
            <w:pPr>
              <w:spacing w:after="0"/>
              <w:rPr>
                <w:sz w:val="20"/>
                <w:szCs w:val="20"/>
                <w:color w:val="auto"/>
              </w:rPr>
            </w:pPr>
            <w:r>
              <w:rPr>
                <w:rFonts w:ascii="Arial" w:cs="Arial" w:eastAsia="Arial" w:hAnsi="Arial"/>
                <w:sz w:val="18"/>
                <w:szCs w:val="18"/>
                <w:color w:val="auto"/>
              </w:rPr>
              <w:t>Date: August 5, 2021</w:t>
            </w:r>
          </w:p>
        </w:tc>
        <w:tc>
          <w:tcPr>
            <w:tcW w:w="3520" w:type="dxa"/>
            <w:vAlign w:val="bottom"/>
            <w:gridSpan w:val="2"/>
          </w:tcPr>
          <w:p>
            <w:pPr>
              <w:ind w:left="1940"/>
              <w:spacing w:after="0"/>
              <w:rPr>
                <w:sz w:val="20"/>
                <w:szCs w:val="20"/>
                <w:color w:val="auto"/>
              </w:rPr>
            </w:pPr>
            <w:r>
              <w:rPr>
                <w:rFonts w:ascii="Arial" w:cs="Arial" w:eastAsia="Arial" w:hAnsi="Arial"/>
                <w:sz w:val="18"/>
                <w:szCs w:val="18"/>
                <w:color w:val="auto"/>
              </w:rPr>
              <w:t>By:</w:t>
            </w:r>
          </w:p>
        </w:tc>
        <w:tc>
          <w:tcPr>
            <w:tcW w:w="4220" w:type="dxa"/>
            <w:vAlign w:val="bottom"/>
          </w:tcPr>
          <w:p>
            <w:pPr>
              <w:jc w:val="center"/>
              <w:ind w:right="1190"/>
              <w:spacing w:after="0"/>
              <w:rPr>
                <w:sz w:val="20"/>
                <w:szCs w:val="20"/>
                <w:color w:val="auto"/>
              </w:rPr>
            </w:pPr>
            <w:r>
              <w:rPr>
                <w:rFonts w:ascii="Arial" w:cs="Arial" w:eastAsia="Arial" w:hAnsi="Arial"/>
                <w:sz w:val="18"/>
                <w:szCs w:val="18"/>
                <w:color w:val="auto"/>
                <w:w w:val="90"/>
              </w:rPr>
              <w:t>/s/ Nabeel Ahmed</w:t>
            </w:r>
          </w:p>
        </w:tc>
      </w:tr>
      <w:tr>
        <w:trPr>
          <w:trHeight w:val="222"/>
        </w:trPr>
        <w:tc>
          <w:tcPr>
            <w:tcW w:w="350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1260" w:type="dxa"/>
            <w:vAlign w:val="bottom"/>
            <w:tcBorders>
              <w:top w:val="single" w:sz="8" w:color="auto"/>
            </w:tcBorders>
          </w:tcPr>
          <w:p>
            <w:pPr>
              <w:spacing w:after="0"/>
              <w:rPr>
                <w:sz w:val="19"/>
                <w:szCs w:val="19"/>
                <w:color w:val="auto"/>
              </w:rPr>
            </w:pPr>
          </w:p>
        </w:tc>
        <w:tc>
          <w:tcPr>
            <w:tcW w:w="4220" w:type="dxa"/>
            <w:vAlign w:val="bottom"/>
            <w:tcBorders>
              <w:top w:val="single" w:sz="8" w:color="auto"/>
            </w:tcBorders>
          </w:tcPr>
          <w:p>
            <w:pPr>
              <w:jc w:val="center"/>
              <w:ind w:right="1170"/>
              <w:spacing w:after="0"/>
              <w:rPr>
                <w:sz w:val="20"/>
                <w:szCs w:val="20"/>
                <w:color w:val="auto"/>
              </w:rPr>
            </w:pPr>
            <w:r>
              <w:rPr>
                <w:rFonts w:ascii="Arial" w:cs="Arial" w:eastAsia="Arial" w:hAnsi="Arial"/>
                <w:sz w:val="18"/>
                <w:szCs w:val="18"/>
                <w:color w:val="auto"/>
                <w:w w:val="90"/>
              </w:rPr>
              <w:t>Nabeel Ahmed</w:t>
            </w:r>
          </w:p>
        </w:tc>
      </w:tr>
      <w:tr>
        <w:trPr>
          <w:trHeight w:val="230"/>
        </w:trPr>
        <w:tc>
          <w:tcPr>
            <w:tcW w:w="350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4220" w:type="dxa"/>
            <w:vAlign w:val="bottom"/>
          </w:tcPr>
          <w:p>
            <w:pPr>
              <w:jc w:val="center"/>
              <w:ind w:right="1170"/>
              <w:spacing w:after="0"/>
              <w:rPr>
                <w:sz w:val="20"/>
                <w:szCs w:val="20"/>
                <w:color w:val="auto"/>
              </w:rPr>
            </w:pPr>
            <w:r>
              <w:rPr>
                <w:rFonts w:ascii="Arial" w:cs="Arial" w:eastAsia="Arial" w:hAnsi="Arial"/>
                <w:sz w:val="18"/>
                <w:szCs w:val="18"/>
                <w:color w:val="auto"/>
                <w:w w:val="94"/>
              </w:rPr>
              <w:t>Chief Financial Officer</w:t>
            </w:r>
          </w:p>
        </w:tc>
      </w:tr>
    </w:tbl>
    <w:p>
      <w:pPr>
        <w:ind w:left="68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Financial and Accounting Officer</w:t>
      </w:r>
      <w:r>
        <w:rPr>
          <w:rFonts w:ascii="Arial" w:cs="Arial" w:eastAsia="Arial" w:hAnsi="Arial"/>
          <w:sz w:val="18"/>
          <w:szCs w:val="18"/>
          <w:color w:val="auto"/>
        </w:rPr>
        <w:t>)</w:t>
      </w: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40"/>
          </w:cols>
          <w:pgMar w:left="320" w:top="553" w:right="339" w:bottom="1440" w:gutter="0" w:footer="0" w:header="0"/>
        </w:sectPr>
      </w:pPr>
    </w:p>
    <w:bookmarkStart w:id="28" w:name="page29"/>
    <w:bookmarkEnd w:id="28"/>
    <w:p>
      <w:pPr>
        <w:jc w:val="right"/>
        <w:spacing w:after="0"/>
        <w:rPr>
          <w:sz w:val="20"/>
          <w:szCs w:val="20"/>
          <w:color w:val="auto"/>
        </w:rPr>
      </w:pPr>
      <w:r>
        <w:rPr>
          <w:rFonts w:ascii="Arial" w:cs="Arial" w:eastAsia="Arial" w:hAnsi="Arial"/>
          <w:sz w:val="18"/>
          <w:szCs w:val="18"/>
          <w:b w:val="1"/>
          <w:bCs w:val="1"/>
          <w:color w:val="auto"/>
        </w:rPr>
        <w:t>Exhibit 31.1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 Leslie Trigg, certify that:</w:t>
      </w:r>
    </w:p>
    <w:p>
      <w:pPr>
        <w:spacing w:after="0" w:line="198" w:lineRule="exact"/>
        <w:rPr>
          <w:sz w:val="20"/>
          <w:szCs w:val="20"/>
          <w:color w:val="auto"/>
        </w:rPr>
      </w:pPr>
    </w:p>
    <w:p>
      <w:pPr>
        <w:ind w:left="1420" w:hanging="854"/>
        <w:spacing w:after="0"/>
        <w:tabs>
          <w:tab w:leader="none" w:pos="1420" w:val="left"/>
        </w:tabs>
        <w:numPr>
          <w:ilvl w:val="0"/>
          <w:numId w:val="7"/>
        </w:numPr>
        <w:rPr>
          <w:rFonts w:ascii="Arial" w:cs="Arial" w:eastAsia="Arial" w:hAnsi="Arial"/>
          <w:sz w:val="20"/>
          <w:szCs w:val="20"/>
          <w:color w:val="auto"/>
        </w:rPr>
      </w:pPr>
      <w:r>
        <w:rPr>
          <w:rFonts w:ascii="Arial" w:cs="Arial" w:eastAsia="Arial" w:hAnsi="Arial"/>
          <w:sz w:val="18"/>
          <w:szCs w:val="18"/>
          <w:color w:val="auto"/>
        </w:rPr>
        <w:t>I have reviewed this Quarterly Report on Form 10-Q of Outset Medical, Inc.;</w:t>
      </w:r>
    </w:p>
    <w:p>
      <w:pPr>
        <w:spacing w:after="0" w:line="175" w:lineRule="exact"/>
        <w:rPr>
          <w:rFonts w:ascii="Arial" w:cs="Arial" w:eastAsia="Arial" w:hAnsi="Arial"/>
          <w:sz w:val="20"/>
          <w:szCs w:val="20"/>
          <w:color w:val="auto"/>
        </w:rPr>
      </w:pPr>
    </w:p>
    <w:p>
      <w:pPr>
        <w:jc w:val="both"/>
        <w:ind w:left="1420" w:hanging="854"/>
        <w:spacing w:after="0" w:line="250" w:lineRule="auto"/>
        <w:tabs>
          <w:tab w:leader="none" w:pos="1420" w:val="left"/>
        </w:tabs>
        <w:numPr>
          <w:ilvl w:val="0"/>
          <w:numId w:val="7"/>
        </w:numPr>
        <w:rPr>
          <w:rFonts w:ascii="Arial" w:cs="Arial" w:eastAsia="Arial" w:hAnsi="Arial"/>
          <w:sz w:val="20"/>
          <w:szCs w:val="20"/>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2" w:lineRule="exact"/>
        <w:rPr>
          <w:rFonts w:ascii="Arial" w:cs="Arial" w:eastAsia="Arial" w:hAnsi="Arial"/>
          <w:sz w:val="20"/>
          <w:szCs w:val="20"/>
          <w:color w:val="auto"/>
        </w:rPr>
      </w:pPr>
    </w:p>
    <w:p>
      <w:pPr>
        <w:ind w:left="1420" w:hanging="854"/>
        <w:spacing w:after="0" w:line="312" w:lineRule="auto"/>
        <w:tabs>
          <w:tab w:leader="none" w:pos="1420" w:val="left"/>
        </w:tabs>
        <w:numPr>
          <w:ilvl w:val="0"/>
          <w:numId w:val="7"/>
        </w:numPr>
        <w:rPr>
          <w:rFonts w:ascii="Arial" w:cs="Arial" w:eastAsia="Arial" w:hAnsi="Arial"/>
          <w:sz w:val="18"/>
          <w:szCs w:val="18"/>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9" w:lineRule="exact"/>
        <w:rPr>
          <w:rFonts w:ascii="Arial" w:cs="Arial" w:eastAsia="Arial" w:hAnsi="Arial"/>
          <w:sz w:val="18"/>
          <w:szCs w:val="18"/>
          <w:color w:val="auto"/>
        </w:rPr>
      </w:pPr>
    </w:p>
    <w:p>
      <w:pPr>
        <w:jc w:val="both"/>
        <w:ind w:left="1420" w:hanging="854"/>
        <w:spacing w:after="0" w:line="250" w:lineRule="auto"/>
        <w:tabs>
          <w:tab w:leader="none" w:pos="1420" w:val="left"/>
        </w:tabs>
        <w:numPr>
          <w:ilvl w:val="0"/>
          <w:numId w:val="7"/>
        </w:numPr>
        <w:rPr>
          <w:rFonts w:ascii="Arial" w:cs="Arial" w:eastAsia="Arial" w:hAnsi="Arial"/>
          <w:sz w:val="20"/>
          <w:szCs w:val="20"/>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2" w:lineRule="exact"/>
        <w:rPr>
          <w:rFonts w:ascii="Arial" w:cs="Arial" w:eastAsia="Arial" w:hAnsi="Arial"/>
          <w:sz w:val="20"/>
          <w:szCs w:val="20"/>
          <w:color w:val="auto"/>
        </w:rPr>
      </w:pPr>
    </w:p>
    <w:p>
      <w:pPr>
        <w:jc w:val="both"/>
        <w:ind w:left="2260" w:hanging="844"/>
        <w:spacing w:after="0" w:line="293" w:lineRule="auto"/>
        <w:tabs>
          <w:tab w:leader="none" w:pos="2260" w:val="left"/>
        </w:tabs>
        <w:numPr>
          <w:ilvl w:val="1"/>
          <w:numId w:val="7"/>
        </w:numPr>
        <w:rPr>
          <w:rFonts w:ascii="Arial" w:cs="Arial" w:eastAsia="Arial" w:hAnsi="Arial"/>
          <w:sz w:val="18"/>
          <w:szCs w:val="18"/>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1" w:lineRule="exact"/>
        <w:rPr>
          <w:rFonts w:ascii="Arial" w:cs="Arial" w:eastAsia="Arial" w:hAnsi="Arial"/>
          <w:sz w:val="18"/>
          <w:szCs w:val="18"/>
          <w:color w:val="auto"/>
        </w:rPr>
      </w:pPr>
    </w:p>
    <w:p>
      <w:pPr>
        <w:jc w:val="both"/>
        <w:ind w:left="2260" w:hanging="844"/>
        <w:spacing w:after="0" w:line="270" w:lineRule="auto"/>
        <w:tabs>
          <w:tab w:leader="none" w:pos="2260" w:val="left"/>
        </w:tabs>
        <w:numPr>
          <w:ilvl w:val="1"/>
          <w:numId w:val="7"/>
        </w:numPr>
        <w:rPr>
          <w:rFonts w:ascii="Arial" w:cs="Arial" w:eastAsia="Arial" w:hAnsi="Arial"/>
          <w:sz w:val="19"/>
          <w:szCs w:val="19"/>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7" w:lineRule="exact"/>
        <w:rPr>
          <w:rFonts w:ascii="Arial" w:cs="Arial" w:eastAsia="Arial" w:hAnsi="Arial"/>
          <w:sz w:val="19"/>
          <w:szCs w:val="19"/>
          <w:color w:val="auto"/>
        </w:rPr>
      </w:pPr>
    </w:p>
    <w:p>
      <w:pPr>
        <w:jc w:val="both"/>
        <w:ind w:left="2260" w:hanging="844"/>
        <w:spacing w:after="0" w:line="250" w:lineRule="auto"/>
        <w:tabs>
          <w:tab w:leader="none" w:pos="2260" w:val="left"/>
        </w:tabs>
        <w:numPr>
          <w:ilvl w:val="1"/>
          <w:numId w:val="7"/>
        </w:numPr>
        <w:rPr>
          <w:rFonts w:ascii="Arial" w:cs="Arial" w:eastAsia="Arial" w:hAnsi="Arial"/>
          <w:sz w:val="20"/>
          <w:szCs w:val="20"/>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2" w:lineRule="exact"/>
        <w:rPr>
          <w:rFonts w:ascii="Arial" w:cs="Arial" w:eastAsia="Arial" w:hAnsi="Arial"/>
          <w:sz w:val="20"/>
          <w:szCs w:val="20"/>
          <w:color w:val="auto"/>
        </w:rPr>
      </w:pPr>
    </w:p>
    <w:p>
      <w:pPr>
        <w:jc w:val="both"/>
        <w:ind w:left="2260" w:hanging="844"/>
        <w:spacing w:after="0" w:line="293" w:lineRule="auto"/>
        <w:tabs>
          <w:tab w:leader="none" w:pos="2260" w:val="left"/>
        </w:tabs>
        <w:numPr>
          <w:ilvl w:val="1"/>
          <w:numId w:val="7"/>
        </w:numPr>
        <w:rPr>
          <w:rFonts w:ascii="Arial" w:cs="Arial" w:eastAsia="Arial" w:hAnsi="Arial"/>
          <w:sz w:val="18"/>
          <w:szCs w:val="18"/>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1" w:lineRule="exact"/>
        <w:rPr>
          <w:rFonts w:ascii="Arial" w:cs="Arial" w:eastAsia="Arial" w:hAnsi="Arial"/>
          <w:sz w:val="18"/>
          <w:szCs w:val="18"/>
          <w:color w:val="auto"/>
        </w:rPr>
      </w:pPr>
    </w:p>
    <w:p>
      <w:pPr>
        <w:jc w:val="both"/>
        <w:ind w:left="1420" w:hanging="854"/>
        <w:spacing w:after="0" w:line="250" w:lineRule="auto"/>
        <w:tabs>
          <w:tab w:leader="none" w:pos="1420" w:val="left"/>
        </w:tabs>
        <w:numPr>
          <w:ilvl w:val="0"/>
          <w:numId w:val="7"/>
        </w:numPr>
        <w:rPr>
          <w:rFonts w:ascii="Arial" w:cs="Arial" w:eastAsia="Arial" w:hAnsi="Arial"/>
          <w:sz w:val="20"/>
          <w:szCs w:val="20"/>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2" w:lineRule="exact"/>
        <w:rPr>
          <w:rFonts w:ascii="Arial" w:cs="Arial" w:eastAsia="Arial" w:hAnsi="Arial"/>
          <w:sz w:val="20"/>
          <w:szCs w:val="20"/>
          <w:color w:val="auto"/>
        </w:rPr>
      </w:pPr>
    </w:p>
    <w:p>
      <w:pPr>
        <w:jc w:val="both"/>
        <w:ind w:left="2260" w:hanging="844"/>
        <w:spacing w:after="0" w:line="250" w:lineRule="auto"/>
        <w:tabs>
          <w:tab w:leader="none" w:pos="2260" w:val="left"/>
        </w:tabs>
        <w:numPr>
          <w:ilvl w:val="1"/>
          <w:numId w:val="7"/>
        </w:numPr>
        <w:rPr>
          <w:rFonts w:ascii="Arial" w:cs="Arial" w:eastAsia="Arial" w:hAnsi="Arial"/>
          <w:sz w:val="20"/>
          <w:szCs w:val="20"/>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2" w:lineRule="exact"/>
        <w:rPr>
          <w:rFonts w:ascii="Arial" w:cs="Arial" w:eastAsia="Arial" w:hAnsi="Arial"/>
          <w:sz w:val="20"/>
          <w:szCs w:val="20"/>
          <w:color w:val="auto"/>
        </w:rPr>
      </w:pPr>
    </w:p>
    <w:p>
      <w:pPr>
        <w:ind w:left="2260" w:hanging="844"/>
        <w:spacing w:after="0" w:line="250" w:lineRule="auto"/>
        <w:tabs>
          <w:tab w:leader="none" w:pos="2260" w:val="left"/>
        </w:tabs>
        <w:numPr>
          <w:ilvl w:val="1"/>
          <w:numId w:val="7"/>
        </w:numPr>
        <w:rPr>
          <w:rFonts w:ascii="Arial" w:cs="Arial" w:eastAsia="Arial" w:hAnsi="Arial"/>
          <w:sz w:val="20"/>
          <w:szCs w:val="20"/>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160" w:type="dxa"/>
            <w:vAlign w:val="bottom"/>
          </w:tcPr>
          <w:p>
            <w:pPr>
              <w:spacing w:after="0"/>
              <w:rPr>
                <w:sz w:val="20"/>
                <w:szCs w:val="20"/>
                <w:color w:val="auto"/>
              </w:rPr>
            </w:pPr>
            <w:r>
              <w:rPr>
                <w:rFonts w:ascii="Arial" w:cs="Arial" w:eastAsia="Arial" w:hAnsi="Arial"/>
                <w:sz w:val="18"/>
                <w:szCs w:val="18"/>
                <w:color w:val="auto"/>
              </w:rPr>
              <w:t>Date: August 5, 2021</w:t>
            </w:r>
          </w:p>
        </w:tc>
        <w:tc>
          <w:tcPr>
            <w:tcW w:w="3060" w:type="dxa"/>
            <w:vAlign w:val="bottom"/>
          </w:tcPr>
          <w:p>
            <w:pPr>
              <w:ind w:left="2620"/>
              <w:spacing w:after="0"/>
              <w:rPr>
                <w:sz w:val="20"/>
                <w:szCs w:val="20"/>
                <w:color w:val="auto"/>
              </w:rPr>
            </w:pPr>
            <w:r>
              <w:rPr>
                <w:rFonts w:ascii="Arial" w:cs="Arial" w:eastAsia="Arial" w:hAnsi="Arial"/>
                <w:sz w:val="18"/>
                <w:szCs w:val="18"/>
                <w:color w:val="auto"/>
              </w:rPr>
              <w:t>By:</w:t>
            </w:r>
          </w:p>
        </w:tc>
        <w:tc>
          <w:tcPr>
            <w:tcW w:w="40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/s/ Leslie Trigg</w:t>
            </w:r>
          </w:p>
        </w:tc>
      </w:tr>
      <w:tr>
        <w:trPr>
          <w:trHeight w:val="195"/>
        </w:trPr>
        <w:tc>
          <w:tcPr>
            <w:tcW w:w="4160" w:type="dxa"/>
            <w:vAlign w:val="bottom"/>
          </w:tcPr>
          <w:p>
            <w:pPr>
              <w:spacing w:after="0"/>
              <w:rPr>
                <w:sz w:val="16"/>
                <w:szCs w:val="16"/>
                <w:color w:val="auto"/>
              </w:rPr>
            </w:pPr>
          </w:p>
        </w:tc>
        <w:tc>
          <w:tcPr>
            <w:tcW w:w="3060" w:type="dxa"/>
            <w:vAlign w:val="bottom"/>
          </w:tcPr>
          <w:p>
            <w:pPr>
              <w:spacing w:after="0"/>
              <w:rPr>
                <w:sz w:val="16"/>
                <w:szCs w:val="16"/>
                <w:color w:val="auto"/>
              </w:rPr>
            </w:pPr>
          </w:p>
        </w:tc>
        <w:tc>
          <w:tcPr>
            <w:tcW w:w="4020" w:type="dxa"/>
            <w:vAlign w:val="bottom"/>
          </w:tcPr>
          <w:p>
            <w:pPr>
              <w:jc w:val="center"/>
              <w:spacing w:after="0" w:line="195" w:lineRule="exact"/>
              <w:rPr>
                <w:sz w:val="20"/>
                <w:szCs w:val="20"/>
                <w:color w:val="auto"/>
              </w:rPr>
            </w:pPr>
            <w:r>
              <w:rPr>
                <w:rFonts w:ascii="Arial" w:cs="Arial" w:eastAsia="Arial" w:hAnsi="Arial"/>
                <w:sz w:val="18"/>
                <w:szCs w:val="18"/>
                <w:color w:val="auto"/>
                <w:w w:val="94"/>
              </w:rPr>
              <w:t>Leslie Trigg</w:t>
            </w:r>
          </w:p>
        </w:tc>
      </w:tr>
      <w:tr>
        <w:trPr>
          <w:trHeight w:val="216"/>
        </w:trPr>
        <w:tc>
          <w:tcPr>
            <w:tcW w:w="416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4020" w:type="dxa"/>
            <w:vAlign w:val="bottom"/>
          </w:tcPr>
          <w:p>
            <w:pPr>
              <w:jc w:val="center"/>
              <w:spacing w:after="0"/>
              <w:rPr>
                <w:sz w:val="20"/>
                <w:szCs w:val="20"/>
                <w:color w:val="auto"/>
              </w:rPr>
            </w:pPr>
            <w:r>
              <w:rPr>
                <w:rFonts w:ascii="Arial" w:cs="Arial" w:eastAsia="Arial" w:hAnsi="Arial"/>
                <w:sz w:val="18"/>
                <w:szCs w:val="18"/>
                <w:color w:val="auto"/>
                <w:w w:val="95"/>
              </w:rPr>
              <w:t>Chief Executive Officer</w:t>
            </w:r>
          </w:p>
        </w:tc>
      </w:tr>
      <w:tr>
        <w:trPr>
          <w:trHeight w:val="230"/>
        </w:trPr>
        <w:tc>
          <w:tcPr>
            <w:tcW w:w="416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4020" w:type="dxa"/>
            <w:vAlign w:val="bottom"/>
          </w:tcPr>
          <w:p>
            <w:pPr>
              <w:jc w:val="center"/>
              <w:spacing w:after="0"/>
              <w:rPr>
                <w:sz w:val="20"/>
                <w:szCs w:val="20"/>
                <w:color w:val="auto"/>
              </w:rPr>
            </w:pPr>
            <w:r>
              <w:rPr>
                <w:rFonts w:ascii="Arial" w:cs="Arial" w:eastAsia="Arial" w:hAnsi="Arial"/>
                <w:sz w:val="18"/>
                <w:szCs w:val="18"/>
                <w:color w:val="auto"/>
                <w:w w:val="94"/>
              </w:rPr>
              <w:t>(</w:t>
            </w:r>
            <w:r>
              <w:rPr>
                <w:rFonts w:ascii="Arial" w:cs="Arial" w:eastAsia="Arial" w:hAnsi="Arial"/>
                <w:sz w:val="18"/>
                <w:szCs w:val="18"/>
                <w:i w:val="1"/>
                <w:iCs w:val="1"/>
                <w:color w:val="auto"/>
                <w:w w:val="94"/>
              </w:rPr>
              <w:t>Principal Executive Officer</w:t>
            </w:r>
            <w:r>
              <w:rPr>
                <w:rFonts w:ascii="Arial" w:cs="Arial" w:eastAsia="Arial" w:hAnsi="Arial"/>
                <w:sz w:val="18"/>
                <w:szCs w:val="18"/>
                <w:color w:val="auto"/>
                <w:w w:val="94"/>
              </w:rPr>
              <w:t>)</w:t>
            </w:r>
          </w:p>
        </w:tc>
      </w:tr>
    </w:tbl>
    <w:p>
      <w:pPr>
        <w:sectPr>
          <w:pgSz w:w="11900" w:h="16838" w:orient="portrait"/>
          <w:cols w:equalWidth="0" w:num="1">
            <w:col w:w="11240"/>
          </w:cols>
          <w:pgMar w:left="320" w:top="121" w:right="339" w:bottom="1440" w:gutter="0" w:footer="0" w:header="0"/>
        </w:sectPr>
      </w:pPr>
    </w:p>
    <w:bookmarkStart w:id="29" w:name="page30"/>
    <w:bookmarkEnd w:id="29"/>
    <w:p>
      <w:pPr>
        <w:jc w:val="right"/>
        <w:spacing w:after="0"/>
        <w:rPr>
          <w:sz w:val="20"/>
          <w:szCs w:val="20"/>
          <w:color w:val="auto"/>
        </w:rPr>
      </w:pPr>
      <w:r>
        <w:rPr>
          <w:rFonts w:ascii="Arial" w:cs="Arial" w:eastAsia="Arial" w:hAnsi="Arial"/>
          <w:sz w:val="18"/>
          <w:szCs w:val="18"/>
          <w:b w:val="1"/>
          <w:bCs w:val="1"/>
          <w:color w:val="auto"/>
        </w:rPr>
        <w:t>Exhibit 31.2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 Nabeel Ahmed, certify that:</w:t>
      </w:r>
    </w:p>
    <w:p>
      <w:pPr>
        <w:spacing w:after="0" w:line="198" w:lineRule="exact"/>
        <w:rPr>
          <w:sz w:val="20"/>
          <w:szCs w:val="20"/>
          <w:color w:val="auto"/>
        </w:rPr>
      </w:pPr>
    </w:p>
    <w:p>
      <w:pPr>
        <w:ind w:left="1420" w:hanging="854"/>
        <w:spacing w:after="0"/>
        <w:tabs>
          <w:tab w:leader="none" w:pos="1420" w:val="left"/>
        </w:tabs>
        <w:numPr>
          <w:ilvl w:val="0"/>
          <w:numId w:val="8"/>
        </w:numPr>
        <w:rPr>
          <w:rFonts w:ascii="Arial" w:cs="Arial" w:eastAsia="Arial" w:hAnsi="Arial"/>
          <w:sz w:val="20"/>
          <w:szCs w:val="20"/>
          <w:color w:val="auto"/>
        </w:rPr>
      </w:pPr>
      <w:r>
        <w:rPr>
          <w:rFonts w:ascii="Arial" w:cs="Arial" w:eastAsia="Arial" w:hAnsi="Arial"/>
          <w:sz w:val="18"/>
          <w:szCs w:val="18"/>
          <w:color w:val="auto"/>
        </w:rPr>
        <w:t>I have reviewed this Quarterly Report on Form 10-Q of Outset Medical, Inc.;</w:t>
      </w:r>
    </w:p>
    <w:p>
      <w:pPr>
        <w:spacing w:after="0" w:line="175" w:lineRule="exact"/>
        <w:rPr>
          <w:rFonts w:ascii="Arial" w:cs="Arial" w:eastAsia="Arial" w:hAnsi="Arial"/>
          <w:sz w:val="20"/>
          <w:szCs w:val="20"/>
          <w:color w:val="auto"/>
        </w:rPr>
      </w:pPr>
    </w:p>
    <w:p>
      <w:pPr>
        <w:jc w:val="both"/>
        <w:ind w:left="1420" w:hanging="854"/>
        <w:spacing w:after="0" w:line="250" w:lineRule="auto"/>
        <w:tabs>
          <w:tab w:leader="none" w:pos="1420" w:val="left"/>
        </w:tabs>
        <w:numPr>
          <w:ilvl w:val="0"/>
          <w:numId w:val="8"/>
        </w:numPr>
        <w:rPr>
          <w:rFonts w:ascii="Arial" w:cs="Arial" w:eastAsia="Arial" w:hAnsi="Arial"/>
          <w:sz w:val="20"/>
          <w:szCs w:val="20"/>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2" w:lineRule="exact"/>
        <w:rPr>
          <w:rFonts w:ascii="Arial" w:cs="Arial" w:eastAsia="Arial" w:hAnsi="Arial"/>
          <w:sz w:val="20"/>
          <w:szCs w:val="20"/>
          <w:color w:val="auto"/>
        </w:rPr>
      </w:pPr>
    </w:p>
    <w:p>
      <w:pPr>
        <w:ind w:left="1420" w:hanging="854"/>
        <w:spacing w:after="0" w:line="312" w:lineRule="auto"/>
        <w:tabs>
          <w:tab w:leader="none" w:pos="1420" w:val="left"/>
        </w:tabs>
        <w:numPr>
          <w:ilvl w:val="0"/>
          <w:numId w:val="8"/>
        </w:numPr>
        <w:rPr>
          <w:rFonts w:ascii="Arial" w:cs="Arial" w:eastAsia="Arial" w:hAnsi="Arial"/>
          <w:sz w:val="18"/>
          <w:szCs w:val="18"/>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9" w:lineRule="exact"/>
        <w:rPr>
          <w:rFonts w:ascii="Arial" w:cs="Arial" w:eastAsia="Arial" w:hAnsi="Arial"/>
          <w:sz w:val="18"/>
          <w:szCs w:val="18"/>
          <w:color w:val="auto"/>
        </w:rPr>
      </w:pPr>
    </w:p>
    <w:p>
      <w:pPr>
        <w:jc w:val="both"/>
        <w:ind w:left="1420" w:hanging="854"/>
        <w:spacing w:after="0" w:line="250" w:lineRule="auto"/>
        <w:tabs>
          <w:tab w:leader="none" w:pos="1420" w:val="left"/>
        </w:tabs>
        <w:numPr>
          <w:ilvl w:val="0"/>
          <w:numId w:val="8"/>
        </w:numPr>
        <w:rPr>
          <w:rFonts w:ascii="Arial" w:cs="Arial" w:eastAsia="Arial" w:hAnsi="Arial"/>
          <w:sz w:val="20"/>
          <w:szCs w:val="20"/>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2" w:lineRule="exact"/>
        <w:rPr>
          <w:rFonts w:ascii="Arial" w:cs="Arial" w:eastAsia="Arial" w:hAnsi="Arial"/>
          <w:sz w:val="20"/>
          <w:szCs w:val="20"/>
          <w:color w:val="auto"/>
        </w:rPr>
      </w:pPr>
    </w:p>
    <w:p>
      <w:pPr>
        <w:jc w:val="both"/>
        <w:ind w:left="2260" w:hanging="844"/>
        <w:spacing w:after="0" w:line="293" w:lineRule="auto"/>
        <w:tabs>
          <w:tab w:leader="none" w:pos="2260" w:val="left"/>
        </w:tabs>
        <w:numPr>
          <w:ilvl w:val="1"/>
          <w:numId w:val="8"/>
        </w:numPr>
        <w:rPr>
          <w:rFonts w:ascii="Arial" w:cs="Arial" w:eastAsia="Arial" w:hAnsi="Arial"/>
          <w:sz w:val="18"/>
          <w:szCs w:val="18"/>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1" w:lineRule="exact"/>
        <w:rPr>
          <w:rFonts w:ascii="Arial" w:cs="Arial" w:eastAsia="Arial" w:hAnsi="Arial"/>
          <w:sz w:val="18"/>
          <w:szCs w:val="18"/>
          <w:color w:val="auto"/>
        </w:rPr>
      </w:pPr>
    </w:p>
    <w:p>
      <w:pPr>
        <w:jc w:val="both"/>
        <w:ind w:left="2260" w:hanging="844"/>
        <w:spacing w:after="0" w:line="270" w:lineRule="auto"/>
        <w:tabs>
          <w:tab w:leader="none" w:pos="2260" w:val="left"/>
        </w:tabs>
        <w:numPr>
          <w:ilvl w:val="1"/>
          <w:numId w:val="8"/>
        </w:numPr>
        <w:rPr>
          <w:rFonts w:ascii="Arial" w:cs="Arial" w:eastAsia="Arial" w:hAnsi="Arial"/>
          <w:sz w:val="19"/>
          <w:szCs w:val="19"/>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7" w:lineRule="exact"/>
        <w:rPr>
          <w:rFonts w:ascii="Arial" w:cs="Arial" w:eastAsia="Arial" w:hAnsi="Arial"/>
          <w:sz w:val="19"/>
          <w:szCs w:val="19"/>
          <w:color w:val="auto"/>
        </w:rPr>
      </w:pPr>
    </w:p>
    <w:p>
      <w:pPr>
        <w:jc w:val="both"/>
        <w:ind w:left="2260" w:hanging="844"/>
        <w:spacing w:after="0" w:line="250" w:lineRule="auto"/>
        <w:tabs>
          <w:tab w:leader="none" w:pos="2260" w:val="left"/>
        </w:tabs>
        <w:numPr>
          <w:ilvl w:val="1"/>
          <w:numId w:val="8"/>
        </w:numPr>
        <w:rPr>
          <w:rFonts w:ascii="Arial" w:cs="Arial" w:eastAsia="Arial" w:hAnsi="Arial"/>
          <w:sz w:val="20"/>
          <w:szCs w:val="20"/>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2" w:lineRule="exact"/>
        <w:rPr>
          <w:rFonts w:ascii="Arial" w:cs="Arial" w:eastAsia="Arial" w:hAnsi="Arial"/>
          <w:sz w:val="20"/>
          <w:szCs w:val="20"/>
          <w:color w:val="auto"/>
        </w:rPr>
      </w:pPr>
    </w:p>
    <w:p>
      <w:pPr>
        <w:jc w:val="both"/>
        <w:ind w:left="2260" w:hanging="844"/>
        <w:spacing w:after="0" w:line="293" w:lineRule="auto"/>
        <w:tabs>
          <w:tab w:leader="none" w:pos="2260" w:val="left"/>
        </w:tabs>
        <w:numPr>
          <w:ilvl w:val="1"/>
          <w:numId w:val="8"/>
        </w:numPr>
        <w:rPr>
          <w:rFonts w:ascii="Arial" w:cs="Arial" w:eastAsia="Arial" w:hAnsi="Arial"/>
          <w:sz w:val="18"/>
          <w:szCs w:val="18"/>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1" w:lineRule="exact"/>
        <w:rPr>
          <w:rFonts w:ascii="Arial" w:cs="Arial" w:eastAsia="Arial" w:hAnsi="Arial"/>
          <w:sz w:val="18"/>
          <w:szCs w:val="18"/>
          <w:color w:val="auto"/>
        </w:rPr>
      </w:pPr>
    </w:p>
    <w:p>
      <w:pPr>
        <w:jc w:val="both"/>
        <w:ind w:left="1420" w:hanging="854"/>
        <w:spacing w:after="0" w:line="250" w:lineRule="auto"/>
        <w:tabs>
          <w:tab w:leader="none" w:pos="1420" w:val="left"/>
        </w:tabs>
        <w:numPr>
          <w:ilvl w:val="0"/>
          <w:numId w:val="8"/>
        </w:numPr>
        <w:rPr>
          <w:rFonts w:ascii="Arial" w:cs="Arial" w:eastAsia="Arial" w:hAnsi="Arial"/>
          <w:sz w:val="20"/>
          <w:szCs w:val="20"/>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2" w:lineRule="exact"/>
        <w:rPr>
          <w:rFonts w:ascii="Arial" w:cs="Arial" w:eastAsia="Arial" w:hAnsi="Arial"/>
          <w:sz w:val="20"/>
          <w:szCs w:val="20"/>
          <w:color w:val="auto"/>
        </w:rPr>
      </w:pPr>
    </w:p>
    <w:p>
      <w:pPr>
        <w:jc w:val="both"/>
        <w:ind w:left="2260" w:hanging="844"/>
        <w:spacing w:after="0" w:line="250" w:lineRule="auto"/>
        <w:tabs>
          <w:tab w:leader="none" w:pos="2260" w:val="left"/>
        </w:tabs>
        <w:numPr>
          <w:ilvl w:val="1"/>
          <w:numId w:val="8"/>
        </w:numPr>
        <w:rPr>
          <w:rFonts w:ascii="Arial" w:cs="Arial" w:eastAsia="Arial" w:hAnsi="Arial"/>
          <w:sz w:val="20"/>
          <w:szCs w:val="20"/>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2" w:lineRule="exact"/>
        <w:rPr>
          <w:rFonts w:ascii="Arial" w:cs="Arial" w:eastAsia="Arial" w:hAnsi="Arial"/>
          <w:sz w:val="20"/>
          <w:szCs w:val="20"/>
          <w:color w:val="auto"/>
        </w:rPr>
      </w:pPr>
    </w:p>
    <w:p>
      <w:pPr>
        <w:ind w:left="2260" w:hanging="844"/>
        <w:spacing w:after="0" w:line="250" w:lineRule="auto"/>
        <w:tabs>
          <w:tab w:leader="none" w:pos="2260" w:val="left"/>
        </w:tabs>
        <w:numPr>
          <w:ilvl w:val="1"/>
          <w:numId w:val="8"/>
        </w:numPr>
        <w:rPr>
          <w:rFonts w:ascii="Arial" w:cs="Arial" w:eastAsia="Arial" w:hAnsi="Arial"/>
          <w:sz w:val="20"/>
          <w:szCs w:val="20"/>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160" w:type="dxa"/>
            <w:vAlign w:val="bottom"/>
          </w:tcPr>
          <w:p>
            <w:pPr>
              <w:spacing w:after="0"/>
              <w:rPr>
                <w:sz w:val="20"/>
                <w:szCs w:val="20"/>
                <w:color w:val="auto"/>
              </w:rPr>
            </w:pPr>
            <w:r>
              <w:rPr>
                <w:rFonts w:ascii="Arial" w:cs="Arial" w:eastAsia="Arial" w:hAnsi="Arial"/>
                <w:sz w:val="18"/>
                <w:szCs w:val="18"/>
                <w:color w:val="auto"/>
              </w:rPr>
              <w:t>Date: August 5, 2021</w:t>
            </w:r>
          </w:p>
        </w:tc>
        <w:tc>
          <w:tcPr>
            <w:tcW w:w="3060" w:type="dxa"/>
            <w:vAlign w:val="bottom"/>
          </w:tcPr>
          <w:p>
            <w:pPr>
              <w:ind w:left="2620"/>
              <w:spacing w:after="0"/>
              <w:rPr>
                <w:sz w:val="20"/>
                <w:szCs w:val="20"/>
                <w:color w:val="auto"/>
              </w:rPr>
            </w:pPr>
            <w:r>
              <w:rPr>
                <w:rFonts w:ascii="Arial" w:cs="Arial" w:eastAsia="Arial" w:hAnsi="Arial"/>
                <w:sz w:val="18"/>
                <w:szCs w:val="18"/>
                <w:color w:val="auto"/>
              </w:rPr>
              <w:t>By:</w:t>
            </w:r>
          </w:p>
        </w:tc>
        <w:tc>
          <w:tcPr>
            <w:tcW w:w="40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Nabeel Ahmed</w:t>
            </w:r>
          </w:p>
        </w:tc>
      </w:tr>
      <w:tr>
        <w:trPr>
          <w:trHeight w:val="195"/>
        </w:trPr>
        <w:tc>
          <w:tcPr>
            <w:tcW w:w="4160" w:type="dxa"/>
            <w:vAlign w:val="bottom"/>
          </w:tcPr>
          <w:p>
            <w:pPr>
              <w:spacing w:after="0"/>
              <w:rPr>
                <w:sz w:val="16"/>
                <w:szCs w:val="16"/>
                <w:color w:val="auto"/>
              </w:rPr>
            </w:pPr>
          </w:p>
        </w:tc>
        <w:tc>
          <w:tcPr>
            <w:tcW w:w="3060" w:type="dxa"/>
            <w:vAlign w:val="bottom"/>
          </w:tcPr>
          <w:p>
            <w:pPr>
              <w:spacing w:after="0"/>
              <w:rPr>
                <w:sz w:val="16"/>
                <w:szCs w:val="16"/>
                <w:color w:val="auto"/>
              </w:rPr>
            </w:pPr>
          </w:p>
        </w:tc>
        <w:tc>
          <w:tcPr>
            <w:tcW w:w="4020" w:type="dxa"/>
            <w:vAlign w:val="bottom"/>
          </w:tcPr>
          <w:p>
            <w:pPr>
              <w:jc w:val="center"/>
              <w:spacing w:after="0" w:line="195" w:lineRule="exact"/>
              <w:rPr>
                <w:sz w:val="20"/>
                <w:szCs w:val="20"/>
                <w:color w:val="auto"/>
              </w:rPr>
            </w:pPr>
            <w:r>
              <w:rPr>
                <w:rFonts w:ascii="Arial" w:cs="Arial" w:eastAsia="Arial" w:hAnsi="Arial"/>
                <w:sz w:val="18"/>
                <w:szCs w:val="18"/>
                <w:color w:val="auto"/>
                <w:w w:val="92"/>
              </w:rPr>
              <w:t>Nabeel Ahmed</w:t>
            </w:r>
          </w:p>
        </w:tc>
      </w:tr>
      <w:tr>
        <w:trPr>
          <w:trHeight w:val="216"/>
        </w:trPr>
        <w:tc>
          <w:tcPr>
            <w:tcW w:w="416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4020" w:type="dxa"/>
            <w:vAlign w:val="bottom"/>
          </w:tcPr>
          <w:p>
            <w:pPr>
              <w:jc w:val="center"/>
              <w:spacing w:after="0"/>
              <w:rPr>
                <w:sz w:val="20"/>
                <w:szCs w:val="20"/>
                <w:color w:val="auto"/>
              </w:rPr>
            </w:pPr>
            <w:r>
              <w:rPr>
                <w:rFonts w:ascii="Arial" w:cs="Arial" w:eastAsia="Arial" w:hAnsi="Arial"/>
                <w:sz w:val="18"/>
                <w:szCs w:val="18"/>
                <w:color w:val="auto"/>
                <w:w w:val="93"/>
              </w:rPr>
              <w:t>Chief Financial Officer</w:t>
            </w:r>
          </w:p>
        </w:tc>
      </w:tr>
      <w:tr>
        <w:trPr>
          <w:trHeight w:val="230"/>
        </w:trPr>
        <w:tc>
          <w:tcPr>
            <w:tcW w:w="416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4020" w:type="dxa"/>
            <w:vAlign w:val="bottom"/>
          </w:tcPr>
          <w:p>
            <w:pPr>
              <w:jc w:val="center"/>
              <w:spacing w:after="0"/>
              <w:rPr>
                <w:sz w:val="20"/>
                <w:szCs w:val="20"/>
                <w:color w:val="auto"/>
              </w:rPr>
            </w:pPr>
            <w:r>
              <w:rPr>
                <w:rFonts w:ascii="Arial" w:cs="Arial" w:eastAsia="Arial" w:hAnsi="Arial"/>
                <w:sz w:val="18"/>
                <w:szCs w:val="18"/>
                <w:color w:val="auto"/>
                <w:w w:val="97"/>
              </w:rPr>
              <w:t>(</w:t>
            </w:r>
            <w:r>
              <w:rPr>
                <w:rFonts w:ascii="Arial" w:cs="Arial" w:eastAsia="Arial" w:hAnsi="Arial"/>
                <w:sz w:val="18"/>
                <w:szCs w:val="18"/>
                <w:i w:val="1"/>
                <w:iCs w:val="1"/>
                <w:color w:val="auto"/>
                <w:w w:val="97"/>
              </w:rPr>
              <w:t>Principal Financial Officer</w:t>
            </w:r>
            <w:r>
              <w:rPr>
                <w:rFonts w:ascii="Arial" w:cs="Arial" w:eastAsia="Arial" w:hAnsi="Arial"/>
                <w:sz w:val="18"/>
                <w:szCs w:val="18"/>
                <w:color w:val="auto"/>
                <w:w w:val="97"/>
              </w:rPr>
              <w:t>)</w:t>
            </w:r>
          </w:p>
        </w:tc>
      </w:tr>
    </w:tbl>
    <w:p>
      <w:pPr>
        <w:sectPr>
          <w:pgSz w:w="11900" w:h="16838" w:orient="portrait"/>
          <w:cols w:equalWidth="0" w:num="1">
            <w:col w:w="11240"/>
          </w:cols>
          <w:pgMar w:left="320" w:top="121" w:right="339" w:bottom="1440" w:gutter="0" w:footer="0" w:header="0"/>
        </w:sectPr>
      </w:pPr>
    </w:p>
    <w:bookmarkStart w:id="30" w:name="page31"/>
    <w:bookmarkEnd w:id="30"/>
    <w:p>
      <w:pPr>
        <w:jc w:val="right"/>
        <w:spacing w:after="0"/>
        <w:rPr>
          <w:sz w:val="20"/>
          <w:szCs w:val="20"/>
          <w:color w:val="auto"/>
        </w:rPr>
      </w:pPr>
      <w:r>
        <w:rPr>
          <w:rFonts w:ascii="Arial" w:cs="Arial" w:eastAsia="Arial" w:hAnsi="Arial"/>
          <w:sz w:val="20"/>
          <w:szCs w:val="20"/>
          <w:b w:val="1"/>
          <w:bCs w:val="1"/>
          <w:color w:val="auto"/>
        </w:rPr>
        <w:t>Exhibit 32.1</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420"/>
        <w:spacing w:after="0" w:line="263" w:lineRule="auto"/>
        <w:rPr>
          <w:sz w:val="20"/>
          <w:szCs w:val="20"/>
          <w:color w:val="auto"/>
        </w:rPr>
      </w:pPr>
      <w:r>
        <w:rPr>
          <w:rFonts w:ascii="Arial" w:cs="Arial" w:eastAsia="Arial" w:hAnsi="Arial"/>
          <w:sz w:val="18"/>
          <w:szCs w:val="18"/>
          <w:color w:val="auto"/>
        </w:rPr>
        <w:t>In connection with the Quarterly Report of Outset Medical, Inc. (the “Company”) on Form 10-Q for the period ending June 30, 2021, as filed with the Securities and Exchange Commission on the date hereof (the “Report”), each of the undersigned certifies, pursuant to 18 U.S.C. §1350, as adopted pursuant to §906 of the Sarbanes-Oxley Act of 2002, that, to her/his knowledge:</w:t>
      </w:r>
    </w:p>
    <w:p>
      <w:pPr>
        <w:spacing w:after="0" w:line="143" w:lineRule="exact"/>
        <w:rPr>
          <w:sz w:val="20"/>
          <w:szCs w:val="20"/>
          <w:color w:val="auto"/>
        </w:rPr>
      </w:pPr>
    </w:p>
    <w:p>
      <w:pPr>
        <w:ind w:left="880" w:hanging="440"/>
        <w:spacing w:after="0"/>
        <w:tabs>
          <w:tab w:leader="none" w:pos="88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Section 15(d) of the Securities Exchange Act of 1934, as amended; and</w:t>
      </w:r>
    </w:p>
    <w:p>
      <w:pPr>
        <w:spacing w:after="0" w:line="234" w:lineRule="exact"/>
        <w:rPr>
          <w:rFonts w:ascii="Arial" w:cs="Arial" w:eastAsia="Arial" w:hAnsi="Arial"/>
          <w:sz w:val="16"/>
          <w:szCs w:val="16"/>
          <w:color w:val="auto"/>
        </w:rPr>
      </w:pPr>
    </w:p>
    <w:p>
      <w:pPr>
        <w:ind w:left="880" w:hanging="440"/>
        <w:spacing w:after="0"/>
        <w:tabs>
          <w:tab w:leader="none" w:pos="88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the Company.</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820" w:type="dxa"/>
            <w:vAlign w:val="bottom"/>
          </w:tcPr>
          <w:p>
            <w:pPr>
              <w:spacing w:after="0"/>
              <w:rPr>
                <w:sz w:val="20"/>
                <w:szCs w:val="20"/>
                <w:color w:val="auto"/>
              </w:rPr>
            </w:pPr>
            <w:r>
              <w:rPr>
                <w:rFonts w:ascii="Arial" w:cs="Arial" w:eastAsia="Arial" w:hAnsi="Arial"/>
                <w:sz w:val="18"/>
                <w:szCs w:val="18"/>
                <w:color w:val="auto"/>
              </w:rPr>
              <w:t>August 5, 2021</w:t>
            </w:r>
          </w:p>
        </w:tc>
        <w:tc>
          <w:tcPr>
            <w:tcW w:w="2380" w:type="dxa"/>
            <w:vAlign w:val="bottom"/>
          </w:tcPr>
          <w:p>
            <w:pPr>
              <w:ind w:left="1740"/>
              <w:spacing w:after="0"/>
              <w:rPr>
                <w:sz w:val="20"/>
                <w:szCs w:val="20"/>
                <w:color w:val="auto"/>
              </w:rPr>
            </w:pPr>
            <w:r>
              <w:rPr>
                <w:rFonts w:ascii="Arial" w:cs="Arial" w:eastAsia="Arial" w:hAnsi="Arial"/>
                <w:sz w:val="18"/>
                <w:szCs w:val="18"/>
                <w:color w:val="auto"/>
              </w:rPr>
              <w:t>By:</w:t>
            </w:r>
          </w:p>
        </w:tc>
        <w:tc>
          <w:tcPr>
            <w:tcW w:w="6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Leslie Trigg</w:t>
            </w:r>
          </w:p>
        </w:tc>
      </w:tr>
      <w:tr>
        <w:trPr>
          <w:trHeight w:val="195"/>
        </w:trPr>
        <w:tc>
          <w:tcPr>
            <w:tcW w:w="282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6040" w:type="dxa"/>
            <w:vAlign w:val="bottom"/>
          </w:tcPr>
          <w:p>
            <w:pPr>
              <w:spacing w:after="0" w:line="195" w:lineRule="exact"/>
              <w:rPr>
                <w:sz w:val="20"/>
                <w:szCs w:val="20"/>
                <w:color w:val="auto"/>
              </w:rPr>
            </w:pPr>
            <w:r>
              <w:rPr>
                <w:rFonts w:ascii="Arial" w:cs="Arial" w:eastAsia="Arial" w:hAnsi="Arial"/>
                <w:sz w:val="18"/>
                <w:szCs w:val="18"/>
                <w:color w:val="auto"/>
              </w:rPr>
              <w:t>Leslie Trigg</w:t>
            </w:r>
          </w:p>
        </w:tc>
      </w:tr>
      <w:tr>
        <w:trPr>
          <w:trHeight w:val="216"/>
        </w:trPr>
        <w:tc>
          <w:tcPr>
            <w:tcW w:w="282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230"/>
        </w:trPr>
        <w:tc>
          <w:tcPr>
            <w:tcW w:w="282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Executive Officer</w:t>
            </w:r>
            <w:r>
              <w:rPr>
                <w:rFonts w:ascii="Arial" w:cs="Arial" w:eastAsia="Arial" w:hAnsi="Arial"/>
                <w:sz w:val="18"/>
                <w:szCs w:val="18"/>
                <w:color w:val="auto"/>
              </w:rPr>
              <w:t>)</w:t>
            </w:r>
          </w:p>
        </w:tc>
      </w:tr>
      <w:tr>
        <w:trPr>
          <w:trHeight w:val="432"/>
        </w:trPr>
        <w:tc>
          <w:tcPr>
            <w:tcW w:w="2820" w:type="dxa"/>
            <w:vAlign w:val="bottom"/>
          </w:tcPr>
          <w:p>
            <w:pPr>
              <w:spacing w:after="0"/>
              <w:rPr>
                <w:sz w:val="20"/>
                <w:szCs w:val="20"/>
                <w:color w:val="auto"/>
              </w:rPr>
            </w:pPr>
            <w:r>
              <w:rPr>
                <w:rFonts w:ascii="Arial" w:cs="Arial" w:eastAsia="Arial" w:hAnsi="Arial"/>
                <w:sz w:val="18"/>
                <w:szCs w:val="18"/>
                <w:color w:val="auto"/>
              </w:rPr>
              <w:t>August 5, 2021</w:t>
            </w:r>
          </w:p>
        </w:tc>
        <w:tc>
          <w:tcPr>
            <w:tcW w:w="2380" w:type="dxa"/>
            <w:vAlign w:val="bottom"/>
          </w:tcPr>
          <w:p>
            <w:pPr>
              <w:ind w:left="1720"/>
              <w:spacing w:after="0"/>
              <w:rPr>
                <w:sz w:val="20"/>
                <w:szCs w:val="20"/>
                <w:color w:val="auto"/>
              </w:rPr>
            </w:pPr>
            <w:r>
              <w:rPr>
                <w:rFonts w:ascii="Arial" w:cs="Arial" w:eastAsia="Arial" w:hAnsi="Arial"/>
                <w:sz w:val="18"/>
                <w:szCs w:val="18"/>
                <w:color w:val="auto"/>
              </w:rPr>
              <w:t>By:</w:t>
            </w:r>
          </w:p>
        </w:tc>
        <w:tc>
          <w:tcPr>
            <w:tcW w:w="6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Nabeel Ahmed</w:t>
            </w:r>
          </w:p>
        </w:tc>
      </w:tr>
      <w:tr>
        <w:trPr>
          <w:trHeight w:val="195"/>
        </w:trPr>
        <w:tc>
          <w:tcPr>
            <w:tcW w:w="282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6040" w:type="dxa"/>
            <w:vAlign w:val="bottom"/>
          </w:tcPr>
          <w:p>
            <w:pPr>
              <w:spacing w:after="0" w:line="195" w:lineRule="exact"/>
              <w:rPr>
                <w:sz w:val="20"/>
                <w:szCs w:val="20"/>
                <w:color w:val="auto"/>
              </w:rPr>
            </w:pPr>
            <w:r>
              <w:rPr>
                <w:rFonts w:ascii="Arial" w:cs="Arial" w:eastAsia="Arial" w:hAnsi="Arial"/>
                <w:sz w:val="18"/>
                <w:szCs w:val="18"/>
                <w:color w:val="auto"/>
              </w:rPr>
              <w:t>Nabeel Ahmed</w:t>
            </w:r>
          </w:p>
        </w:tc>
      </w:tr>
      <w:tr>
        <w:trPr>
          <w:trHeight w:val="216"/>
        </w:trPr>
        <w:tc>
          <w:tcPr>
            <w:tcW w:w="282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30"/>
        </w:trPr>
        <w:tc>
          <w:tcPr>
            <w:tcW w:w="282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Financial Officer</w:t>
            </w:r>
            <w:r>
              <w:rPr>
                <w:rFonts w:ascii="Arial" w:cs="Arial" w:eastAsia="Arial" w:hAnsi="Arial"/>
                <w:sz w:val="18"/>
                <w:szCs w:val="18"/>
                <w:color w:val="auto"/>
              </w:rPr>
              <w:t>)</w:t>
            </w:r>
          </w:p>
        </w:tc>
      </w:tr>
    </w:tbl>
    <w:p>
      <w:pPr>
        <w:spacing w:after="0" w:line="202"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The foregoing certification is being furnished to the Securities and Exchange Commission as an exhibit to the Report and shall not be deemed filed by the Company for purposes of Section 18 of the Securities Exchange Act of 1934, as amended, and it is not to be incorporated by reference into any filing of the Company, whether made before or after the date hereof, regardless of any general incorporation language in such filing.</w:t>
      </w:r>
    </w:p>
    <w:sectPr>
      <w:pgSz w:w="11900" w:h="16838" w:orient="portrait"/>
      <w:cols w:equalWidth="0" w:num="1">
        <w:col w:w="11240"/>
      </w:cols>
      <w:pgMar w:left="320" w:top="11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1)"/>
      <w:numFmt w:val="lowerRoman"/>
      <w:start w:val="4"/>
    </w:lvl>
  </w:abstractNum>
  <w:abstractNum w:abstractNumId="3">
    <w:nsid w:val="2EB141F2"/>
    <w:multiLevelType w:val="hybridMultilevel"/>
    <w:lvl w:ilvl="0">
      <w:lvlJc w:val="left"/>
      <w:lvlText w:val="(%1)"/>
      <w:numFmt w:val="lowerLetter"/>
      <w:start w:val="1"/>
    </w:lvl>
  </w:abstractNum>
  <w:abstractNum w:abstractNumId="4">
    <w:nsid w:val="41B71EFB"/>
    <w:multiLevelType w:val="hybridMultilevel"/>
    <w:lvl w:ilvl="0">
      <w:lvlJc w:val="left"/>
      <w:lvlText w:val="%1"/>
      <w:numFmt w:val="decimal"/>
      <w:start w:val="104"/>
    </w:lvl>
  </w:abstractNum>
  <w:abstractNum w:abstractNumId="5">
    <w:nsid w:val="79E2A9E3"/>
    <w:multiLevelType w:val="hybridMultilevel"/>
    <w:lvl w:ilvl="0">
      <w:lvlJc w:val="left"/>
      <w:lvlText w:val="*"/>
      <w:numFmt w:val="bullet"/>
      <w:start w:val="1"/>
    </w:lvl>
  </w:abstractNum>
  <w:abstractNum w:abstractNumId="6">
    <w:nsid w:val="7545E146"/>
    <w:multiLevelType w:val="hybridMultilevel"/>
    <w:lvl w:ilvl="0">
      <w:lvlJc w:val="left"/>
      <w:lvlText w:val="%1."/>
      <w:numFmt w:val="decimal"/>
      <w:start w:val="1"/>
    </w:lvl>
    <w:lvl w:ilvl="1">
      <w:lvlJc w:val="left"/>
      <w:lvlText w:val="(%2)"/>
      <w:numFmt w:val="lowerLetter"/>
      <w:start w:val="1"/>
    </w:lvl>
  </w:abstractNum>
  <w:abstractNum w:abstractNumId="7">
    <w:nsid w:val="515F007C"/>
    <w:multiLevelType w:val="hybridMultilevel"/>
    <w:lvl w:ilvl="0">
      <w:lvlJc w:val="left"/>
      <w:lvlText w:val="%1."/>
      <w:numFmt w:val="decimal"/>
      <w:start w:val="1"/>
    </w:lvl>
    <w:lvl w:ilvl="1">
      <w:lvlJc w:val="left"/>
      <w:lvlText w:val="(%2)"/>
      <w:numFmt w:val="lowerLetter"/>
      <w:start w:val="1"/>
    </w:lvl>
  </w:abstractNum>
  <w:abstractNum w:abstractNumId="8">
    <w:nsid w:val="5BD062C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50" Type="http://schemas.openxmlformats.org/officeDocument/2006/relationships/image" Target="media/image37.png"/><Relationship Id="rId51" Type="http://schemas.openxmlformats.org/officeDocument/2006/relationships/image" Target="media/image38.png"/><Relationship Id="rId44" Type="http://schemas.openxmlformats.org/officeDocument/2006/relationships/hyperlink" Target="http://www.sec.gov/Archives/edgar/data/1484612/000119312520241516/d941853dex31.htm" TargetMode="External"/><Relationship Id="rId45" Type="http://schemas.openxmlformats.org/officeDocument/2006/relationships/hyperlink" Target="http://www.sec.gov/Archives/edgar/data/1484612/000119312520241516/d941853dex32.htm" TargetMode="External"/><Relationship Id="rId46" Type="http://schemas.openxmlformats.org/officeDocument/2006/relationships/hyperlink" Target="http://www.sec.gov/Archives/edgar/data/1484612/000119312520241516/d941853dex41.htm" TargetMode="External"/><Relationship Id="rId47" Type="http://schemas.openxmlformats.org/officeDocument/2006/relationships/hyperlink" Target="http://www.sec.gov/Archives/edgar/data/1484612/000119312520226746/d941853dex42.htm" TargetMode="External"/><Relationship Id="rId48" Type="http://schemas.openxmlformats.org/officeDocument/2006/relationships/hyperlink" Target="http://www.sec.gov/Archives/edgar/data/1484612/000119312520226746/d941853dex43.htm" TargetMode="External"/><Relationship Id="rId49" Type="http://schemas.openxmlformats.org/officeDocument/2006/relationships/hyperlink" Target="http://www.sec.gov/Archives/edgar/data/1484612/000119312520226746/d941853dex4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2021-08-06T05:57:57Z</dcterms:created>
  <dcterms:modified xsi:type="dcterms:W3CDTF">2021-08-06T05:57:57Z</dcterms:modified>
</cp:coreProperties>
</file>