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00" w:hanging="3912"/>
        <w:spacing w:after="0" w:line="303"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-444500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20-0514392</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120" w:type="dxa"/>
            <w:vAlign w:val="bottom"/>
          </w:tcPr>
          <w:p>
            <w:pPr>
              <w:jc w:val="center"/>
              <w:ind w:right="196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3052 Orchard Dr.</w:t>
            </w:r>
          </w:p>
        </w:tc>
        <w:tc>
          <w:tcPr>
            <w:tcW w:w="3020" w:type="dxa"/>
            <w:vAlign w:val="bottom"/>
          </w:tcPr>
          <w:p>
            <w:pPr>
              <w:spacing w:after="0"/>
              <w:rPr>
                <w:sz w:val="18"/>
                <w:szCs w:val="18"/>
                <w:color w:val="auto"/>
              </w:rPr>
            </w:pPr>
          </w:p>
        </w:tc>
      </w:t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OM</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90"/>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354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304" w:right="339" w:bottom="1440" w:gutter="0" w:footer="0" w:header="0"/>
        </w:sectPr>
      </w:pPr>
    </w:p>
    <w:p>
      <w:pPr>
        <w:spacing w:after="0" w:line="1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840"/>
              <w:spacing w:after="0"/>
              <w:rPr>
                <w:sz w:val="20"/>
                <w:szCs w:val="20"/>
                <w:color w:val="auto"/>
              </w:rPr>
            </w:pPr>
            <w:r>
              <w:rPr>
                <w:rFonts w:ascii="Times New Roman" w:cs="Times New Roman" w:eastAsia="Times New Roman" w:hAnsi="Times New Roman"/>
                <w:sz w:val="15"/>
                <w:szCs w:val="15"/>
                <w:color w:val="auto"/>
              </w:rPr>
              <w:t>Accelerated filer</w:t>
            </w:r>
          </w:p>
        </w:tc>
      </w:tr>
      <w:tr>
        <w:trPr>
          <w:trHeight w:val="22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840"/>
              <w:spacing w:after="0"/>
              <w:rPr>
                <w:sz w:val="20"/>
                <w:szCs w:val="20"/>
                <w:color w:val="auto"/>
              </w:rPr>
            </w:pPr>
            <w:r>
              <w:rPr>
                <w:rFonts w:ascii="Times New Roman" w:cs="Times New Roman" w:eastAsia="Times New Roman" w:hAnsi="Times New Roman"/>
                <w:sz w:val="15"/>
                <w:szCs w:val="15"/>
                <w:color w:val="auto"/>
                <w:w w:val="99"/>
              </w:rPr>
              <w:t>Smaller reporting company</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28" w:lineRule="exact"/>
        <w:rPr>
          <w:sz w:val="24"/>
          <w:szCs w:val="24"/>
          <w:color w:val="auto"/>
        </w:rPr>
      </w:pPr>
    </w:p>
    <w:p>
      <w:pPr>
        <w:sectPr>
          <w:pgSz w:w="11900" w:h="16838" w:orient="portrait"/>
          <w:cols w:equalWidth="0" w:num="2">
            <w:col w:w="10700" w:space="60"/>
            <w:col w:w="480"/>
          </w:cols>
          <w:pgMar w:left="320" w:top="304"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registrant was not a public company as of June 30, 2020, the last business day of its most recently completed second fiscal quarter and therefore, cannot calculate the aggregate market value of its voting and non-voting common equity held by non-affiliates as of such date. The registrant’s common stock began trading on The Nasdaq Global Select Market on September 15, 2020.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par value $0.001 per share, outstanding as of March 15, 2021 was 42,805,772.</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its 2021 Annual Meeting of Stockholders, which is to be filed with the Securities and Exchange Commission within 120 days of the registrant’ fiscal year ended December 31, 2020,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45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spacing w:after="0" w:line="75" w:lineRule="exact"/>
        <w:rPr>
          <w:sz w:val="20"/>
          <w:szCs w:val="20"/>
          <w:color w:val="auto"/>
        </w:rPr>
      </w:pPr>
    </w:p>
    <w:p>
      <w:pPr>
        <w:ind w:left="1120" w:right="5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including our expectations regarding our revenues, cost of revenues, operating expenses (including as a percentage of revenue), gross margin and our ability to achieve and maintain future profitability;</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and objectives of management for future operations;</w:t>
      </w:r>
    </w:p>
    <w:p>
      <w:pPr>
        <w:spacing w:after="0" w:line="117"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including our ability to implement such strategies, and our beliefs about the anticipated impacts of such strategies on our business, financial condition and result of operations;</w:t>
      </w:r>
    </w:p>
    <w:p>
      <w:pPr>
        <w:spacing w:after="0" w:line="53" w:lineRule="exact"/>
        <w:rPr>
          <w:rFonts w:ascii="Times New Roman" w:cs="Times New Roman" w:eastAsia="Times New Roman" w:hAnsi="Times New Roman"/>
          <w:sz w:val="18"/>
          <w:szCs w:val="18"/>
          <w:color w:val="auto"/>
        </w:rPr>
      </w:pPr>
    </w:p>
    <w:p>
      <w:pPr>
        <w:jc w:val="both"/>
        <w:ind w:left="1120" w:right="160" w:hanging="370"/>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market sizes and growth potential for Tablo, including our estimates of annual spending on dialysis and the number of people affected by kidney failure in the United States, and the total addressable market opportunities for Tablo in the acute care and home settings;</w:t>
      </w:r>
    </w:p>
    <w:p>
      <w:pPr>
        <w:spacing w:after="0" w:line="67"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expansion within the home dialysis market and our assumptions about the home market, including regarding adoption of Tablo by home dialysis patients and patient retention;</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results of operations;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explore opportunities for international expansion;</w:t>
      </w:r>
    </w:p>
    <w:p>
      <w:pPr>
        <w:spacing w:after="0" w:line="117"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initiatives designed to reduce the cost of producing Tablo devices and our ability to achieve projected cost reductions at the levels or within the timeframe we estimate;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continued expansion of our sales and marketing infrastructure;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uses and sufficiency of our capital resources.</w:t>
      </w:r>
    </w:p>
    <w:p>
      <w:pPr>
        <w:spacing w:after="0" w:line="333"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87" w:lineRule="exact"/>
        <w:rPr>
          <w:sz w:val="20"/>
          <w:szCs w:val="20"/>
          <w:color w:val="auto"/>
        </w:rPr>
      </w:pPr>
    </w:p>
    <w:p>
      <w:pPr>
        <w:ind w:right="280" w:firstLine="72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all references in this Annual Report to “we,” “us,” “our,” “Outset” and “the “Company” refer to Outset Medical, Inc.</w:t>
      </w:r>
    </w:p>
    <w:p>
      <w:pPr>
        <w:spacing w:after="0" w:line="27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applicable licensors in these trademarks, service marks and trade names. All trademarks, trade names and service marks appearing in this Annual Report are the property of their respective owners.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Outset is a rapidly growing medical technology company pioneering a first-of-its-kind technology to reduce the cost and complexity of dialysis. We believe Tablo represents a significant technological advancement enabling novel, transformational dialysis care in acute and home settings. We designed Tablo from the ground up to be a single enterprise solution that can be utilized across the continuum of care, allowing dialysis to be delivered anytime, anywhere and by anyone.</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Our relentless focus on flexibility, ease of use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platform from the hospital to the home. Tablo is also intelligent and connected, with automated documentation and the ability to integrate with electronic medical record reporting, along with streamlined remote machine management to maximize device uptime. We have generated meaningful evidence to demonstrate that providers can realize significant operational efficiencies, including reducing the cost of their dialysis programs by up to 80% in the intensive care unit (ICU). In addition, Tablo has been shown to deliver robust clinical care. In studies and surveys we have conducted, patients have reported clinical and quality of life benefits on Tablo compared to other dialysis machines. We believe Tablo empowers patients, who have traditionally been passive recipients of care, to regain agency and ownership of their treatment. Tablo is currently cleared by the United States Food and Drug Administration (FDA) for use in the hospital, clinic or home setting.</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United States, dialysis is a large, expensive sector of healthcare that has seen little technology innovation in the last 30 years. We estimate annual spending on dialysis in the United States is approximately $74 billion of which an estimated $44 billion is Medicare spending. Kidney failure affects a large and growing number of individuals; we estimate kidney failure affected approximately 810,000 people in the United States alone in 2020. We expect multiple pre-existing conditions and demographic factors such as diabetes, hypertension, obesity and an aging population to drive the prevalence of kidney failure to one million individuals by 2030. Kidney failure can be temporary and occur spontaneously due to an underlying medical condition, as is the case in acute kidney injury (AKI), or can worsen gradually over time, as is the case in chronic kidney disease (CKD), which may result in end stage renal disease (ESRD). Approximately 40% of ESRD patients begin their dialysis journey in a chronic setting, either in a dialysis clinic or at home, and approximately 60% of dialysis patients “crash” into dialysis, meaning they have little to no clinical care in advance.</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w:t>
      </w:r>
    </w:p>
    <w:p>
      <w:pPr>
        <w:spacing w:after="0" w:line="183"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 2017, Medicare spending on dialysis accounted for 7% of the total Medicare budget despite ESRD patients only representing 1% of the Medicare population. Dialysis is performed in the acute care setting, which includes hospitals and sub-acute facilities, outpatient dialysis clinics or the patient’s home based on the patient’s condition and preference.</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focused primarily on the acute care setting, which we estimate represents a total addressable market opportunity for Tablo of approximately $2.2 billion. We are expanding our focus to the home setting, which we estimate represents a total addressable market opportunity of approximately $8.9 billion. As a result of an aging population and the growing incidence of diabetes, hypertension, and obesity, based on historical rates of growth, we estimate the ESRD patient population will grow 30% over the next ten years, thereby increasing our opportunity across both settings. We believe that any decrease in the size of the ESRD patient population due to COVID-related deaths may be offset by an increase in the population due to COVID-related AKI. As a result, although we cannot predict the full impact of the COVID-19 pandemic on the ESRD patient population with certainty, we do not anticipate that the pandemic will significantly impact the long-term growth rate of the population. The majority of ESRD patients are treated in outpatient facilities. However, recently, several factors including the COVID-19 pandemic, changing patient preferences, government initiatives, and reimbursement changes are supporting a long-anticipated shift toward home dialysis. We believe the benefits of our Tablo system are well positioned to address the shortcomings in the acute market and to help accelerate this shift to home-based hemodialysis therapy.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Traditional hemodialysis machines are burdensome to use and require connection to an industrial water treatment room to operate. In settings where large water treatment rooms are unavailable, as is often the case in hospitals, traditional machines must be connected to an additional piece of equipment that purifies water for dialysis and feeds it into the hemodialysis machine. Because the design of traditional dialysis machines has changed little in the last 30 years, the set-up and management process is mostly manual, and is burdensome for users to master.</w:t>
      </w:r>
    </w:p>
    <w:p>
      <w:pPr>
        <w:spacing w:after="0" w:line="180"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Dialysis machines available in the home also have seen minimal innovation. Most patients using the incumbent home machine are required to spend 16 to 24 hours per week manually making dialysate in advance of their treatments using a separate machine. In addition, patients are required to dialyze </w:t>
      </w:r>
      <w:r>
        <w:rPr>
          <w:rFonts w:ascii="Times New Roman" w:cs="Times New Roman" w:eastAsia="Times New Roman" w:hAnsi="Times New Roman"/>
          <w:sz w:val="18"/>
          <w:szCs w:val="18"/>
          <w:u w:val="single" w:color="auto"/>
          <w:color w:val="auto"/>
        </w:rPr>
        <w:t>more frequently</w:t>
      </w:r>
      <w:r>
        <w:rPr>
          <w:rFonts w:ascii="Times New Roman" w:cs="Times New Roman" w:eastAsia="Times New Roman" w:hAnsi="Times New Roman"/>
          <w:sz w:val="18"/>
          <w:szCs w:val="18"/>
          <w:color w:val="auto"/>
        </w:rPr>
        <w:t xml:space="preserve"> than they do in dialysis clinics due to limitations with the incumbent device. Lastly, set-up and take-down are manual, requiring users to memorize dozens of steps, making training difficult and lengthy.</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remote treatment monitoring and clinical recordkeeping and the ability to activate new capabilities and enhancements through wireless software updates. Tablo’s data analytics and connectivity also enable predictive preventative maintenance to maximize machine uptime. Unlike existing hemodialysis machines, which have limited clinical versatility across care settings and are generally burdened by specialized and expensive infrastructure, Tablo is a single enterprise solution that can be seamlessly utilized across different care settings and for multiple clinical needs.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Tablo’s unique individual features combine to provide a significantly differentiated hemodialysis solution, offering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w:t>
      </w:r>
    </w:p>
    <w:p>
      <w:pPr>
        <w:spacing w:after="0" w:line="207" w:lineRule="exact"/>
        <w:rPr>
          <w:sz w:val="20"/>
          <w:szCs w:val="20"/>
          <w:color w:val="auto"/>
        </w:rPr>
      </w:pPr>
    </w:p>
    <w:p>
      <w:pPr>
        <w:ind w:left="1120" w:right="20" w:hanging="370"/>
        <w:spacing w:after="0" w:line="25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Simplicity</w:t>
      </w:r>
      <w:r>
        <w:rPr>
          <w:rFonts w:ascii="Times New Roman" w:cs="Times New Roman" w:eastAsia="Times New Roman" w:hAnsi="Times New Roman"/>
          <w:sz w:val="18"/>
          <w:szCs w:val="18"/>
          <w:color w:val="auto"/>
        </w:rPr>
        <w:t>. Tablo’s intuitive touchscreen interface makes it easy to learn and easy to use, guiding users through treatment from start to finish using step-by-step instructions with simple words and animation. Embedded sensors simplify the setup and takedown process by providing validation of each step, reducing the chance of user error. During treatment, sensors automatically alert the user of any problems and provide instructions to resolve the issues on the screen. Our proprietary pre-strung cartridge clicks into place and features color-coded, easy-to-follow connections, allowing users to set up the treatment supplies in less than five minutes. Tablo’s simplicity can also reduce the training time required to operate the machine by roughly two thirds compared to traditional machines.</w:t>
      </w:r>
    </w:p>
    <w:p>
      <w:pPr>
        <w:spacing w:after="0" w:line="187" w:lineRule="exact"/>
        <w:rPr>
          <w:rFonts w:ascii="Times New Roman" w:cs="Times New Roman" w:eastAsia="Times New Roman" w:hAnsi="Times New Roman"/>
          <w:sz w:val="18"/>
          <w:szCs w:val="18"/>
          <w:color w:val="auto"/>
        </w:rPr>
      </w:pPr>
    </w:p>
    <w:p>
      <w:pPr>
        <w:ind w:left="1120" w:right="260" w:hanging="370"/>
        <w:spacing w:after="0" w:line="26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Flexibility</w:t>
      </w:r>
      <w:r>
        <w:rPr>
          <w:rFonts w:ascii="Times New Roman" w:cs="Times New Roman" w:eastAsia="Times New Roman" w:hAnsi="Times New Roman"/>
          <w:sz w:val="18"/>
          <w:szCs w:val="18"/>
          <w:color w:val="auto"/>
        </w:rPr>
        <w:t>. Tablo can accommodate a wide range of treatment modalities, durations and flow rates, allowing broad clinical applications. In combination with its compact size and ease-of-use, Tablo’s clinical flexibility enables providers to standardize to a single platform across all care settings.</w:t>
      </w:r>
    </w:p>
    <w:p>
      <w:pPr>
        <w:spacing w:after="0" w:line="175" w:lineRule="exact"/>
        <w:rPr>
          <w:rFonts w:ascii="Times New Roman" w:cs="Times New Roman" w:eastAsia="Times New Roman" w:hAnsi="Times New Roman"/>
          <w:sz w:val="18"/>
          <w:szCs w:val="18"/>
          <w:color w:val="auto"/>
        </w:rPr>
      </w:pPr>
    </w:p>
    <w:p>
      <w:pPr>
        <w:ind w:left="1120" w:right="20" w:hanging="370"/>
        <w:spacing w:after="0" w:line="25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Versatility</w:t>
      </w:r>
      <w:r>
        <w:rPr>
          <w:rFonts w:ascii="Times New Roman" w:cs="Times New Roman" w:eastAsia="Times New Roman" w:hAnsi="Times New Roman"/>
          <w:sz w:val="18"/>
          <w:szCs w:val="18"/>
          <w:color w:val="auto"/>
        </w:rPr>
        <w:t>. Tablo is an all-in-one device with integrated water purification and on-demand dialysate production, eliminating the need for the industrial water treatment rooms required to operate traditional dialysis machines. Instead, Tablo only needs an electrical outlet and access to tap water. Tablo’s independence from this infrastructure enables bedside dialysis in the acute setting, saving the time and expense of transporting patients elsewhere for dialysis. By eliminating the need for separate infrastructure, Tablo can practically and cost-efficiently provide patients with access to treatment in additional care settings that previously have not been feasible with traditional dialysis machines.</w:t>
      </w:r>
    </w:p>
    <w:p>
      <w:pPr>
        <w:spacing w:after="0" w:line="187" w:lineRule="exact"/>
        <w:rPr>
          <w:rFonts w:ascii="Times New Roman" w:cs="Times New Roman" w:eastAsia="Times New Roman" w:hAnsi="Times New Roman"/>
          <w:sz w:val="18"/>
          <w:szCs w:val="18"/>
          <w:color w:val="auto"/>
        </w:rPr>
      </w:pPr>
    </w:p>
    <w:p>
      <w:pPr>
        <w:jc w:val="both"/>
        <w:ind w:left="1120" w:right="140" w:hanging="370"/>
        <w:spacing w:after="0" w:line="261"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Progressive Intelligence</w:t>
      </w:r>
      <w:r>
        <w:rPr>
          <w:rFonts w:ascii="Times New Roman" w:cs="Times New Roman" w:eastAsia="Times New Roman" w:hAnsi="Times New Roman"/>
          <w:sz w:val="18"/>
          <w:szCs w:val="18"/>
          <w:color w:val="auto"/>
        </w:rPr>
        <w:t>. Tablo’s two-way wireless connectivity and data ecosystem connects providers and patients through a cloud-based integrated data platform, which enables real-time treatment monitoring, centralizes and automates treatment documentation and simplifies compliance and record-keeping requirements. Tablo’s connectivity also streamlines machine management and maintenance and allows for feature enhancements through remote software updates.</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Driving adoption of Tablo in the acute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firstLine="749"/>
        <w:spacing w:after="0" w:line="255" w:lineRule="auto"/>
        <w:rPr>
          <w:sz w:val="20"/>
          <w:szCs w:val="20"/>
          <w:color w:val="auto"/>
        </w:rPr>
      </w:pPr>
      <w:r>
        <w:rPr>
          <w:rFonts w:ascii="Times New Roman" w:cs="Times New Roman" w:eastAsia="Times New Roman" w:hAnsi="Times New Roman"/>
          <w:sz w:val="18"/>
          <w:szCs w:val="18"/>
          <w:color w:val="auto"/>
        </w:rPr>
        <w:t>Tablo is also well suited for home-based dialysis. Tablo was cleared by the FDA for use in patients with acute and/or chronic renal failure in September 2014. Subsequently, on March 31, 2020, Tablo was cleared by the FDA for patient use in the home. Our ability to reduce training time, patient dropout, and supplies and infrastructure required to deliver dialysis in the home can drive efficiency and economic improvements to the home care model. Patients in the trial reported specific quality of life improvements compared to their experience on the incumbent home dialysis machine. To penetrate this market successfully, we are focused on refining our home distribution, logistics and support systems to help ensure they are ready for rapid scale. We are also working with providers, patients and payors to increase awareness and adoption of transitional care units (TCUs) as a bridge to home based therapy. To demonstrate the cost advantages of Tablo in the home setting, we will also be collecting additional patient clinical experience and outcomes data.</w:t>
      </w:r>
    </w:p>
    <w:p>
      <w:pPr>
        <w:spacing w:after="0" w:line="18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completed our initial public offering in September of 2020 and our common stock is listed on the Nasdaq Global Select Market under the symbol “OM.”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229"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At Outset, we are reimagining the future of dialysis. Our culture of innovation and design permeates all aspects of our organization and informs our approach to transforming the experience of dialysis. We are focused on changing a historically stagnant space, driving widespread adoption of our new technology, and delivering on the promise of improved experience for patients while also creating cost-reducing value for healthcare providers. We believe the following strengths set us apart:</w:t>
      </w:r>
    </w:p>
    <w:p>
      <w:pPr>
        <w:spacing w:after="0" w:line="176"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First-of-its kind enterprise dialysis solution, offering significant advantages over traditional machines. </w:t>
      </w:r>
      <w:r>
        <w:rPr>
          <w:rFonts w:ascii="Times New Roman" w:cs="Times New Roman" w:eastAsia="Times New Roman" w:hAnsi="Times New Roman"/>
          <w:sz w:val="18"/>
          <w:szCs w:val="18"/>
          <w:color w:val="auto"/>
        </w:rPr>
        <w:t>Tablo is the first and only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hemodialysis system that can be used to deliver treatment across all care settings from the ICU to home. Tablo provides real time water purification and dialysate production, eliminating the need for industrial water treatment rooms. Tablo simplifies training and operation using advanced software, sensor technology and a consumer-friendly touchscreen design, enabling ease of use. Tablo is clinically versatile, allowing clinicians to prescribe treatments for everything from high acuity ICU patients to routine at home care. Tablo is compact and mobile, enabling use in confined environments such as ICUs and living rooms.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Tablo’s unique features offer a compelling value proposition across both acute and home care settings.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We believe Tablo offers the following advantages in the acute care setting:</w:t>
      </w:r>
    </w:p>
    <w:p>
      <w:pPr>
        <w:spacing w:after="0" w:line="227" w:lineRule="exact"/>
        <w:rPr>
          <w:sz w:val="20"/>
          <w:szCs w:val="20"/>
          <w:color w:val="auto"/>
        </w:rPr>
      </w:pPr>
    </w:p>
    <w:p>
      <w:pPr>
        <w:ind w:left="1120" w:right="22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hospital operating margins by lowering the overall cost of dialysis-related supplies, infrastructure and labor by up to 80% in the ICU.</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average supplies cost associated with ICU dialysis treatments from approximately $300 per treatment to below $100.</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reliance on specialized dialysis staff.</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productivity by shortening turnaround times and multi-system remote monitoring.</w:t>
      </w:r>
    </w:p>
    <w:p>
      <w:pPr>
        <w:spacing w:after="0" w:line="225" w:lineRule="exact"/>
        <w:rPr>
          <w:rFonts w:ascii="Times New Roman" w:cs="Times New Roman" w:eastAsia="Times New Roman" w:hAnsi="Times New Roman"/>
          <w:sz w:val="18"/>
          <w:szCs w:val="18"/>
          <w:color w:val="auto"/>
        </w:rPr>
      </w:pPr>
    </w:p>
    <w:p>
      <w:pPr>
        <w:ind w:left="1120" w:right="34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hospitals to take dialysis back in-house, which including supplies cost reduction, reduces the total cost per treatment by $300 to $500.</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operational complexity by eliminating the need for multiple dialysis machines and streamlining documentation and compliance.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Standardizing reduces the need to maintain clinical staff competency on multiple machines.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need for specialized infrastructure, easing operational workflow and enhancing productivity and staffing flexibility.</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treatment documentation and fleet management and maintenance.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We believe Tablo offers the following advantages in the home setting:</w:t>
      </w:r>
    </w:p>
    <w:p>
      <w:pPr>
        <w:spacing w:after="0" w:line="227" w:lineRule="exact"/>
        <w:rPr>
          <w:sz w:val="20"/>
          <w:szCs w:val="20"/>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provider home dialysis economics.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flexible treatment frequency that can be aligned with payor reimbursement policies as medically appropriate.</w:t>
      </w:r>
    </w:p>
    <w:p>
      <w:pPr>
        <w:spacing w:after="0" w:line="225" w:lineRule="exact"/>
        <w:rPr>
          <w:rFonts w:ascii="Times New Roman" w:cs="Times New Roman" w:eastAsia="Times New Roman" w:hAnsi="Times New Roman"/>
          <w:sz w:val="18"/>
          <w:szCs w:val="18"/>
          <w:color w:val="auto"/>
        </w:rPr>
      </w:pPr>
    </w:p>
    <w:p>
      <w:pPr>
        <w:ind w:left="1120" w:right="4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home program staffing costs by reducing total training time and providing a novel learning curriculum that is largely patient-managed.</w:t>
      </w:r>
    </w:p>
    <w:p>
      <w:pPr>
        <w:spacing w:after="0" w:line="161" w:lineRule="exact"/>
        <w:rPr>
          <w:rFonts w:ascii="Times New Roman" w:cs="Times New Roman" w:eastAsia="Times New Roman" w:hAnsi="Times New Roman"/>
          <w:sz w:val="18"/>
          <w:szCs w:val="18"/>
          <w:color w:val="auto"/>
        </w:rPr>
      </w:pPr>
    </w:p>
    <w:p>
      <w:pPr>
        <w:ind w:left="1120" w:right="6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providers to cost efficiently build TCUs in previously inaccessible locations since specialized infrastructure, such as water treatment facilities, are no longer needed.</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the accessibility and sustainability of home dialysis for patients.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patient adoption through a shorter, less burdensome training process.</w:t>
      </w:r>
    </w:p>
    <w:p>
      <w:pPr>
        <w:spacing w:after="0" w:line="225"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longer retention and higher treatment compliance by giving patients the option of flexible treatment frequency and less burdensome setup and management.</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patients’ symptoms during treatment and offers quality of life improvements.</w:t>
      </w:r>
    </w:p>
    <w:p>
      <w:pPr>
        <w:spacing w:after="0" w:line="221" w:lineRule="exact"/>
        <w:rPr>
          <w:sz w:val="20"/>
          <w:szCs w:val="20"/>
          <w:color w:val="auto"/>
        </w:rPr>
      </w:pPr>
    </w:p>
    <w:p>
      <w:pPr>
        <w:ind w:right="3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early investment in software, data science and machine learning. </w:t>
      </w:r>
      <w:r>
        <w:rPr>
          <w:rFonts w:ascii="Times New Roman" w:cs="Times New Roman" w:eastAsia="Times New Roman" w:hAnsi="Times New Roman"/>
          <w:sz w:val="18"/>
          <w:szCs w:val="18"/>
          <w:color w:val="auto"/>
        </w:rPr>
        <w:t>We have constructed a powerful two-way wireless data ecosystem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around Tablo that delivers significant value to our healthcare customers while enabling us to efficiently scale the company itself. We have highly experienced software, data science and machine learning engineers who deliver cutting-edge solutions.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 Data Ecosystem value to our providers:</w:t>
      </w:r>
    </w:p>
    <w:p>
      <w:pPr>
        <w:spacing w:after="0" w:line="227" w:lineRule="exact"/>
        <w:rPr>
          <w:sz w:val="20"/>
          <w:szCs w:val="20"/>
          <w:color w:val="auto"/>
        </w:rPr>
      </w:pPr>
    </w:p>
    <w:p>
      <w:pPr>
        <w:ind w:left="1120" w:right="22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cost and increases compliance by centralizing and automating documentation and all cloud based medical record-reporting from treatment flowsheets to machine management.</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uptime through machine-learning algorithms that feed continuous software improvements and predictive analytics.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flexibility and efficiency through remote monitoring of patient treatment data.</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administrative time and cost through emergency medical record (EMR) integration.</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 Data Ecosystem value to Outset:</w:t>
      </w:r>
    </w:p>
    <w:p>
      <w:pPr>
        <w:spacing w:after="0" w:line="227" w:lineRule="exact"/>
        <w:rPr>
          <w:sz w:val="20"/>
          <w:szCs w:val="20"/>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Reinforces customer loyalty through access to a functionally rich data ecosystem.</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speed and cost efficiency of design and manufacturing.</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efficiency through remote real-time system monitoring, diagnostics, and predictive analytics lowering servicing costs.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Accelerates delivery of new features and improvements to customers through continuous in-field data analytics.</w:t>
      </w:r>
    </w:p>
    <w:p>
      <w:pPr>
        <w:spacing w:after="0" w:line="221"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Dialysis is a large recession-proof market, supporting our recurring therapy revenue model. </w:t>
      </w:r>
      <w:r>
        <w:rPr>
          <w:rFonts w:ascii="Times New Roman" w:cs="Times New Roman" w:eastAsia="Times New Roman" w:hAnsi="Times New Roman"/>
          <w:sz w:val="18"/>
          <w:szCs w:val="18"/>
          <w:color w:val="auto"/>
        </w:rPr>
        <w:t>Dialysis is a highly predictable life-sustaining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with established reimbursement. Dialysis patients must receive dialysis at least three times per week, 52 weeks per year. We have high visibility into the utilization and maintenance of each Tablo unit. Additionally, customers purchase an annual service agreement, which also provides an associated recurring revenue stream.</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sales organization advantages us in executing our strategy. </w:t>
      </w:r>
      <w:r>
        <w:rPr>
          <w:rFonts w:ascii="Times New Roman" w:cs="Times New Roman" w:eastAsia="Times New Roman" w:hAnsi="Times New Roman"/>
          <w:sz w:val="18"/>
          <w:szCs w:val="18"/>
          <w:color w:val="auto"/>
        </w:rPr>
        <w:t>Our commercial leadership team has experience scaling high growth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companies. We believe the profile and strong track record of our capital and clinical sales teams set us apart from other dialysis equipment manufacturers, with specific skills and competencies to drive Tablo adoption top-down through C-suite buy-in and bottom-up through clinical staff support,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p>
      <w:pPr>
        <w:ind w:right="10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An invention mindset that permeates our design and execution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Outset, we take a crowd-sourcing approach to problem-solving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leverage our diversity of thinking and collective creativity. This invention mindset informs one of our core competencies—hardware and software design. We believe in the power of a single hardware platform with software used to fuel continuous upgrades and improvements. We believe in the power of an integrated data lake that allows us to translate clinical and machine learning data points into insights and efficiencies. We believe in “surprise and delight” design that elevates a medical therapy into a consumer experience. Our research and development (R&amp;D) team’s differentiated power is rooted in empathy and urgency, which we will continue to harness for rapid, meaningful device improvements that over-deliver on our brand promise.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intend to continue building a high growth business that is sustainable, predictable and profitable over time. In order to achieve this goal, we plan to employ the following strategies:</w:t>
      </w:r>
    </w:p>
    <w:p>
      <w:pPr>
        <w:spacing w:after="0" w:line="158" w:lineRule="exact"/>
        <w:rPr>
          <w:sz w:val="20"/>
          <w:szCs w:val="20"/>
          <w:color w:val="auto"/>
        </w:rPr>
      </w:pPr>
    </w:p>
    <w:p>
      <w:pPr>
        <w:ind w:right="7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penetrate the acute care market through new customer acquisition and current customer fleet expansion. </w:t>
      </w:r>
      <w:r>
        <w:rPr>
          <w:rFonts w:ascii="Times New Roman" w:cs="Times New Roman" w:eastAsia="Times New Roman" w:hAnsi="Times New Roman"/>
          <w:sz w:val="18"/>
          <w:szCs w:val="18"/>
          <w:color w:val="auto"/>
        </w:rPr>
        <w:t>There are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elements to our acute care commercial strategy:</w:t>
      </w:r>
    </w:p>
    <w:p>
      <w:pPr>
        <w:spacing w:after="0" w:line="157" w:lineRule="exact"/>
        <w:rPr>
          <w:sz w:val="20"/>
          <w:szCs w:val="20"/>
          <w:color w:val="auto"/>
        </w:rPr>
      </w:pPr>
    </w:p>
    <w:p>
      <w:pPr>
        <w:ind w:left="1120" w:right="220" w:hanging="370"/>
        <w:spacing w:after="0" w:line="261"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Broaden our installed base</w:t>
      </w:r>
      <w:r>
        <w:rPr>
          <w:rFonts w:ascii="Times New Roman" w:cs="Times New Roman" w:eastAsia="Times New Roman" w:hAnsi="Times New Roman"/>
          <w:sz w:val="18"/>
          <w:szCs w:val="18"/>
          <w:color w:val="auto"/>
        </w:rPr>
        <w:t>. We plan to continue targeting Integrated Delivery Networks (IDNs) and health systems, the Veteran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 and sub-acute long-term acute care hospital (LTACH) and skilled nursing facility (SNF) providers. Our sales team drives adoption network wide, which we believe accelerates sales cycle times and expansion speed. We have grown our regional accounts team as well as the size of our national capital sales team.</w:t>
      </w:r>
    </w:p>
    <w:p>
      <w:pPr>
        <w:spacing w:after="0" w:line="179" w:lineRule="exact"/>
        <w:rPr>
          <w:rFonts w:ascii="Times New Roman" w:cs="Times New Roman" w:eastAsia="Times New Roman" w:hAnsi="Times New Roman"/>
          <w:sz w:val="18"/>
          <w:szCs w:val="18"/>
          <w:color w:val="auto"/>
        </w:rPr>
      </w:pPr>
    </w:p>
    <w:p>
      <w:pPr>
        <w:ind w:left="1120" w:right="40" w:hanging="370"/>
        <w:spacing w:after="0" w:line="267"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Drive utilization with existing customers</w:t>
      </w:r>
      <w:r>
        <w:rPr>
          <w:rFonts w:ascii="Times New Roman" w:cs="Times New Roman" w:eastAsia="Times New Roman" w:hAnsi="Times New Roman"/>
          <w:sz w:val="18"/>
          <w:szCs w:val="18"/>
          <w:color w:val="auto"/>
        </w:rPr>
        <w:t>. We believe increased device utilization leads to Tablo fleet expansion with existing customers.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 two approaches to increasing device utilization: a) ensuring an exceptional user experience delivered through our commercial team, and b) steadily releasing software product enhancements that amplify Tablo’s operational simplicity and clinical versatility.</w:t>
      </w:r>
    </w:p>
    <w:p>
      <w:pPr>
        <w:spacing w:after="0" w:line="171"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Expand within the home dialysis market with a two-pronged approach to long-term scalable growth</w:t>
      </w:r>
      <w:r>
        <w:rPr>
          <w:rFonts w:ascii="Times New Roman" w:cs="Times New Roman" w:eastAsia="Times New Roman" w:hAnsi="Times New Roman"/>
          <w:sz w:val="18"/>
          <w:szCs w:val="18"/>
          <w:color w:val="auto"/>
        </w:rPr>
        <w:t>. We are partnering with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innovative dialysis clinic providers who are motivated to grow their home hemodialysis population, and who share our vision for offering patients a materially easier and more convenient path home. We believe our early growth will be driven by patients already receiving home hemodialysis who will switch to Tablo and by patients who have desired a home solution but were previously deterred by the complicated process. We will also invest in market development over the longer term to expand the home hemodialysis market itself. These strategies will include ongoing economic and patient experience evidence development, governmental policy activities, and, over time, direct to patient communication.</w:t>
      </w:r>
    </w:p>
    <w:p>
      <w:pPr>
        <w:spacing w:after="0" w:line="18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Leverage the emergence of transitional care units to expand the market for home and the demand for Tablo. </w:t>
      </w:r>
      <w:r>
        <w:rPr>
          <w:rFonts w:ascii="Times New Roman" w:cs="Times New Roman" w:eastAsia="Times New Roman" w:hAnsi="Times New Roman"/>
          <w:sz w:val="18"/>
          <w:szCs w:val="18"/>
          <w:color w:val="auto"/>
        </w:rPr>
        <w:t>Located within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facilities, such as hospitals or clinics, or built as stand-alone centers, TCUs are specifically designed to transition patients to home dialysis. Tablo is uniquely suited for use in small-footprint TCUs because it does not require industrial water treatment rooms to operate. Tablo’s flexibility enables patients to transition home on the same device as used in the TCU.</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 TCU program, patients learn Tablo by setting up and managing their own treatments with staff available to assist as needed. Once home, patients can return back to the TCU periodically for “respite” dialysis on Tablo. By offering this service, the TCU functions as a bi-directional bridge aimed at increasing home dialysis adoption and retention. Providers have reported a 50% home adoption rate among patients in a TCU setting compared to a 15% home adoption rate in a traditional dialysis clinic environment. We believe the use of TCUs will grow amongst health systems that want to manage ESRD patients from the inpatient setting all the way to home, and amongst dialysis clinic providers looking to expand their home dialysis population. We believe the use of TCUs will grow, serving both to increase Tablo’s market share and enlarge the size of the home dialysis market itself.</w:t>
      </w:r>
    </w:p>
    <w:p>
      <w:pPr>
        <w:spacing w:after="0" w:line="183" w:lineRule="exact"/>
        <w:rPr>
          <w:sz w:val="20"/>
          <w:szCs w:val="20"/>
          <w:color w:val="auto"/>
        </w:rPr>
      </w:pPr>
    </w:p>
    <w:p>
      <w:pPr>
        <w:ind w:right="24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Maintain and widen our technology lead over competitors. </w:t>
      </w:r>
      <w:r>
        <w:rPr>
          <w:rFonts w:ascii="Times New Roman" w:cs="Times New Roman" w:eastAsia="Times New Roman" w:hAnsi="Times New Roman"/>
          <w:sz w:val="18"/>
          <w:szCs w:val="18"/>
          <w:color w:val="auto"/>
        </w:rPr>
        <w:t>We intend to capitalize on two of our key strengths—an invention mindset,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rapid product development cycles—in order to continuously deliver new product enhancements to patients, providers and clinicians. Our product enhancements will focus on (1) simplicity and ease of use, (2) operational cost reduction, and (3) clinical versatility. We will continue to leverage our unique ability to create many of our device improvements through software, instead of hardware, and push wireless upgrades to minimize costs and maximize customer uptime.</w:t>
      </w:r>
    </w:p>
    <w:p>
      <w:pPr>
        <w:spacing w:after="0" w:line="179" w:lineRule="exact"/>
        <w:rPr>
          <w:sz w:val="20"/>
          <w:szCs w:val="20"/>
          <w:color w:val="auto"/>
        </w:rPr>
      </w:pPr>
    </w:p>
    <w:p>
      <w:pPr>
        <w:ind w:right="4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Drive to expand gross margins. </w:t>
      </w:r>
      <w:r>
        <w:rPr>
          <w:rFonts w:ascii="Times New Roman" w:cs="Times New Roman" w:eastAsia="Times New Roman" w:hAnsi="Times New Roman"/>
          <w:sz w:val="18"/>
          <w:szCs w:val="18"/>
          <w:color w:val="auto"/>
        </w:rPr>
        <w:t>We are executing a well-defined, three-pronged strategy designed to deliver improved profitability. First,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moved our console manufacturing operations to Tijuana, Mexico, which we expect to lower console cost as a result of labor, overhead and supply chain efficiencies. Second, with a second-source treatment contract manufacturer onboard, also in Tijuana, Mexico, we expect to gain higher efficiency and lower materials cost. Third, we will continue to utilize our cloud-based data system, as well as enhanced product performance, to help drive down the cost of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estimate that annual spending on dialysis in the United States is approximately $74 billion of which an estimated $44 billion is Medicare spending. This represents 7% of the total Medicare budget despite ESRD patients only representing 1% of the Medicare population. Dialysis is performed in the acute care setting, outpatient dialysis clinics and the patient’s home based on the patient’s condition and preference. We estimate the total annual addressable market opportunity in the United States for Tablo is approximately $2.2 billion in the acute care setting and approximately $8.9 billion in the home setting. As a result of an aging population and the growing incidence of diabetes, hypertension and obesity, based on historical rates of growth, we estimate the ESRD patient population will grow 30% over the next ten years in the United States, thereby increasing our opportunity in both markets.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Acute Care</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acute care market includes short-term acute care hospitals, sub-acute LTACHs and SNFs. As of 2019, there were approximately 4,500 acute care hospitals and approximately 17,000 LTACHs and SNFs facilities in the United States, of which we believe 2,300 hospitals and 1,600 LTACHs and SNFs facilities are included in our acute care addressable market. We expect acute care hospitals to support higher treatment volumes per facility than LTACHs and SNFs and thus represent a greater proportion of the total market opportunity. The cost of managing a dialysis program is high, typically requiring complex equipment, separate infrastructure and specialized staff. We believe the majority of hospitals currently outsource the management of their dialysis programs to a third party, which is costly and may limit their ability to control the quality of patient care. For hospitals that manage their own dialysis programs, we believe that aggressive cost containment measures are motivating administrators to assess technology alternatives in order to lower the overall cost of care. We estimate the acute care market to grow at an annual rate of approximately 7% over the next five years.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Home Care</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At the end of 2018, there were approximately 550,000 patients in the United States receiving some sort of dialysis in the clinic or home setting. The majority of these patients were treated in dialysis clinics, although a large and growing number of treatments are transitioning to the patient’s home. In 2018, approximately 12.5% of patients (69,000 individuals), received dialysis treatment at home through peritoneal dialysis or home hemodialysis. From 2008-2018, the home hemodialysis patient population grew 133%, resulting in approximately 10,350 patients on home hemodialysis therapy, and we estimate that there are approximately 13,500 patients on home hemodialysis therapy today. We believe that the dynamics in the non-acute care market will continue to shift towards more home-based treatments as a result of several factors including the recent Executive Order on Advancing American Kidney Health, the expansion of Medicare Advantage to patients with kidney disease and increasing commercial payor focus on reducing the total cost of ESRD care. We believe the recent COVID-19 global pandemic will accelerate the need for and adoption of technologies that enable care closer to and within the patient’s home, such as home-based dialysis therapies and telemedicine.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Kidney Function and Disease</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 healthy human kidney removes waste and excess water from the blood on a continuous basis. Without a properly functioning kidney, byproducts and fluids build up in the body, which leads to progressive toxicity, electrolyte imbalance and fluid overload. There are two primary types of kidney disease: CKD and AKI. CKD is the gradual loss of kidney function over many years. CKD is typically irreversible and eventually leads to ESRD, which is the final stage of CKD. AKI is generally shorter in onset and can be reversible or lead to ESRD.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End Stage Renal Disease (ESRD)</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ESRD is most often the result of chronic diseases, such as diabetes or high blood pressure, and is diagnosed when a patient’s kidneys no longer have sufficient function to avoid critical buildup of toxins and fluid in the body. If left untreated, ESRD will result in death. The prevalence of ESRD in the United States has increased significantly over the last 40 years, driven in part by the growing rates of diabetes, hypertension, obesity and the overall aging of the population. We estimate that the number of patients with ESRD in the United States in 2020 was approximately 810,000, of which, approximately 560,000 were treated with dialysis and the remainder of whom received a transplant by the end of 2020. The total ESRD figure is approximately 40% higher than the number reported ten years prior.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i w:val="1"/>
          <w:iCs w:val="1"/>
          <w:color w:val="auto"/>
        </w:rPr>
        <w:t>Acute Kidney Injury (AKI)</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AKI is the temporary loss of kidney function. AKI frequently occurs as a result of other medical conditions or treatment, including loss of other organ functions, severe infection, drug toxicity or post-surgical trauma. Patients experiencing AKI may require some form of dialysis in order to survive. Based on data from Centers for Medicare and Medicaid Services (CMS), the rate of beneficiaries experiencing a hospitalization complicated by AKI doubled from 2006-2016, with an approximate one third probability of these patients being newly diagnosed with CKD within the following 12 months. We estimate that there are over 300,000 cases of acute kidney failure in the United States each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Kidney Disease Treatment Alternatives and Care Settings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Treatment of kidney disease typically depends on the type and stage of the disease. Approximately 20-25% of patients admitted to the ICU with a diagnosis of AKI will require dialysis treatment until their kidneys recover. If they fail to recover, AKI patients may need to remain on dialysis or receive a kidney transplant. For CKD, early stages of kidney disease can be managed with education, lifestyle changes and drug-based therapies. As kidney function continues to deteriorate and progress towards ESRD, the patient must either obtain a kidney transplant or receive dialysis for the rest of their life. Although transplantation is usually the most desirable option, a shortage of available organs and patient risk factors limit the use of this option. In 2017, only 21,000 transplant procedures were performed in the United States compared to a total ESRD patient population of over 520,000. As a result, the vast majority of patients rely on dialysis to survive. While early CKD education and management can slow the progression of disease and help with a patient’s transition to dialysis, the Centers for Disease Control estimates that 90% of patients with CKD do not know they have kidney disease.</w:t>
      </w:r>
    </w:p>
    <w:p>
      <w:pPr>
        <w:spacing w:after="0" w:line="19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Additionally, the United States Renal Data Systems 2019 Annual Report indicates 33.4% of new ESRD patients receive little or no pre-ESRD care at the time of dialysis initiation and “crash” into dialysis, initiating dialysis in an unplanned fashion.</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Hemodialysis, the most common form of dialysis treatment, is a process by which waste products and excess fluid are directly removed from a patient’s blood using an external dialysis machine. Blood from the patient is routed to a dialyzer, also known as an artificial kidney, through plastic tubes where toxins are removed by diffusion across the dialyzer’s semipermeable membrane into a dialysate solution usually comprised of purified water and electrolytes. Excess fluid within the blood is removed in the dialyzer by the movement of water from higher pressure (blood) to lower pressure (dialysate). Cleansed blood from the dialyzer is then returned to the patient. A physician’s dialysis prescription can vary significantly depending on the patient’s level of acuity and the care setting. Key elements of a prescription include treatment duration, treatment frequency, blood flow rate, dialysate flow rate, ultrafiltration rate and dialysate electrolyte composition. After treatment, the patient is disconnected from the machine, which is disinfected before the next use.</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Dialysis treatments are performed in the acute care setting, outpatient dialysis clinics and the patient’s home. The most common treatment option for ESRD patients, representing approximately 88% of ESRD dialysis patients in the United States, is treatments in a dialysis clinic. Most dialysis clinics are outpatient, freestanding facilities designed to treat on average 18 patients at a time. There are approximately 7,500 clinics in the United States that typically are open six days per week, treating patients on two to three shifts per day. In-clinic treatment typically lasts three to four hours and is usually performed three times per week. Outset’s commercial efforts are focused on the acute and home care settings where we believe Tablo is most needed and offers the most compelling value proposition based on product-market fit, price tolerance and competitive differentiation.</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Acute Care. </w:t>
      </w:r>
      <w:r>
        <w:rPr>
          <w:rFonts w:ascii="Times New Roman" w:cs="Times New Roman" w:eastAsia="Times New Roman" w:hAnsi="Times New Roman"/>
          <w:sz w:val="18"/>
          <w:szCs w:val="18"/>
          <w:color w:val="auto"/>
        </w:rPr>
        <w:t>The acute care market includes the treatment of AKI and ESRD patients in the hospital setting, or in sub-acute care settings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LTACHs or SNFs. As of 2019, there were approximately 4,500 acute care hospitals and approximately 17,000 LTACHs and SNFs facilities in the United States, of which we believe 2,300 hospitals and 1,600 LTACHs and SNFs facilities are included in our acute care addressable market. We expect acute care hospitals to support higher treatment volumes per facility than LTACHs and SNFs and thus represent a greater proportion of the total market opportunity. There are generally three subtypes of hemodialysis treatments that are used in the acute care settings. The decision of which treatment option to use is usually driven by the patient’s level of acuity. However, the decision can also be influenced by the availability of the treatment modality and whether the nurses are trained to use the specific type of dialysis machine.</w:t>
      </w:r>
    </w:p>
    <w:p>
      <w:pPr>
        <w:spacing w:after="0" w:line="183"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2017, approximately 12% of ESRD dialysis patients in the United States were dialyzing at home, with home hemodialysis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2% and peritoneal dialysis patients representing 10%. The decision on whether the patient stays in clinic or moves to home-based dialysis is made by the provider and patient based on several factors, including the patient’s condition and level of independence. Clinics are mandated by CMS to inform patients of all available treatment alternatives, although surveys show that many patients are unaware of their care setting options. In recent years, there has been a growing trend of delivering dialysis closer to the patient as health systems, dialysis clinic providers and payors are recognizing the opportunity to improve the patient outcomes and lower the total cost of care through home dialysis. In an effort toward moving more patients to home dialysis, some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0" w:name="page11"/>
    <w:bookmarkEnd w:id="10"/>
    <w:p>
      <w:pPr>
        <w:ind w:right="60"/>
        <w:spacing w:after="0" w:line="258" w:lineRule="auto"/>
        <w:rPr>
          <w:sz w:val="20"/>
          <w:szCs w:val="20"/>
          <w:color w:val="auto"/>
        </w:rPr>
      </w:pPr>
      <w:r>
        <w:rPr>
          <w:rFonts w:ascii="Times New Roman" w:cs="Times New Roman" w:eastAsia="Times New Roman" w:hAnsi="Times New Roman"/>
          <w:sz w:val="18"/>
          <w:szCs w:val="18"/>
          <w:color w:val="auto"/>
        </w:rPr>
        <w:t>health systems and dialysis providers have established TCUs. TCUs are orientated around educating ESRD patients as they transition into ongoing dialysis care with an emphasis on increasing the percentage of patients who select a home dialysis modality. In addition, there are currently approximately 2,200 clinics with specific home dialysis programs. We expect both TCUs and clinic-based home dialysis programs to grow. Regardless of whether ESRD patients are treated at home or remain in a clinic, they remain under the care of a dialysis provider that purchases their dialysis equipment and treatment supplies. Home dialysis patients receive ongoing clinical support from their nephrologist and the clinic’s care team in their home base clinic.</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Patients have two modality choices for home therapy—hemodialysis or peritoneal dialysis. The decision between home hemodialysis and peritoneal dialysis is based on several factors, including patient eligibility, the patient’s level of independence and the clinic’s training capacity.</w:t>
      </w:r>
    </w:p>
    <w:p>
      <w:pPr>
        <w:spacing w:after="0" w:line="160" w:lineRule="exact"/>
        <w:rPr>
          <w:sz w:val="20"/>
          <w:szCs w:val="20"/>
          <w:color w:val="auto"/>
        </w:rPr>
      </w:pPr>
    </w:p>
    <w:p>
      <w:pPr>
        <w:ind w:left="1120" w:right="120" w:hanging="370"/>
        <w:spacing w:after="0" w:line="257"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Home Hemodialysis</w:t>
      </w:r>
      <w:r>
        <w:rPr>
          <w:rFonts w:ascii="Times New Roman" w:cs="Times New Roman" w:eastAsia="Times New Roman" w:hAnsi="Times New Roman"/>
          <w:sz w:val="18"/>
          <w:szCs w:val="18"/>
          <w:color w:val="auto"/>
        </w:rPr>
        <w:t>. A treatment using a hemodialysis machine that stays in the patient’s home. Due to the inherent complexity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traditional home hemodialysis machines, patients must first undergo several weeks of intensive training from a nurse in their dialysis clinic before beginning to perform treatments in their home. The incumbent home hemodialysis machine requires more frequent dialysis, sometimes up to six times per week, and significant setup and prep time before each treatment. Patients are responsible for manually logging and submitting detailed information about each treatment to their dialysis care team to enable the provider to submit for reimbursement. This manual administrative work adds to patient fatigue and compliance issues.</w:t>
      </w:r>
    </w:p>
    <w:p>
      <w:pPr>
        <w:spacing w:after="0" w:line="182" w:lineRule="exact"/>
        <w:rPr>
          <w:rFonts w:ascii="Times New Roman" w:cs="Times New Roman" w:eastAsia="Times New Roman" w:hAnsi="Times New Roman"/>
          <w:sz w:val="18"/>
          <w:szCs w:val="18"/>
          <w:color w:val="auto"/>
        </w:rPr>
      </w:pPr>
    </w:p>
    <w:p>
      <w:pPr>
        <w:ind w:left="1120" w:right="80" w:hanging="370"/>
        <w:spacing w:after="0" w:line="256"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Peritoneal Dialysis (PD)</w:t>
      </w:r>
      <w:r>
        <w:rPr>
          <w:rFonts w:ascii="Times New Roman" w:cs="Times New Roman" w:eastAsia="Times New Roman" w:hAnsi="Times New Roman"/>
          <w:sz w:val="18"/>
          <w:szCs w:val="18"/>
          <w:color w:val="auto"/>
        </w:rPr>
        <w:t>. A self-administered, at-home treatment option that involves infusing sterile dialysate fluid through a surgically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implanted catheter into the patient’s abdomen, or peritoneal cavity manually or via a peritoneal dialysis device, known as a cycler. The body’s natural internal lining acts as a semipermeable membrane which can eliminate toxins and remove fluid from the blood. After four to six hours, the dialysate fluid is drained from the patient’s body through the catheter, disposed of and replaced with fresh dialysate. These exchanges are performed four to five times per day. Peritoneal dialysis is clinically limited due to patients with certain pre-existing conditions such as congestive heart failure and obesity. Additionally, peritoneal dialysis is regarded as a “temporary” modality since approximately 80% of patients are on the therapy for less than three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and Challenges of Current Hemodialysis Machines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Hemodialysis is the most common form of dialysis for both AKI and ESRD patients and is used across all care settings. Nevertheless, we believe that limitations of traditional hemodialysis machines create significant operational complexities and challenges to administering dialysis, which ultimately contribute to a higher cost of care. These limitations include:</w:t>
      </w:r>
    </w:p>
    <w:p>
      <w:pPr>
        <w:spacing w:after="0" w:line="176" w:lineRule="exact"/>
        <w:rPr>
          <w:sz w:val="20"/>
          <w:szCs w:val="20"/>
          <w:color w:val="auto"/>
        </w:rPr>
      </w:pPr>
    </w:p>
    <w:p>
      <w:pPr>
        <w:ind w:left="1120" w:right="40" w:hanging="370"/>
        <w:spacing w:after="0" w:line="26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challenges</w:t>
      </w:r>
      <w:r>
        <w:rPr>
          <w:rFonts w:ascii="Times New Roman" w:cs="Times New Roman" w:eastAsia="Times New Roman" w:hAnsi="Times New Roman"/>
          <w:sz w:val="18"/>
          <w:szCs w:val="18"/>
          <w:color w:val="auto"/>
        </w:rPr>
        <w:t>. Traditional hemodialysis machines are technically complex and require extensive training for both specialized staff and patients. Additionally, traditional machines require incremental equipment and separate water treatment rooms, which is not always practical depending on the care setting. These machines lack intuitive software, integrated data analytics and two-way wireless connectivity resulting in manual treatment set-up, documentation, reporting and machine management.</w:t>
      </w:r>
    </w:p>
    <w:p>
      <w:pPr>
        <w:spacing w:after="0" w:line="179"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challenges</w:t>
      </w:r>
      <w:r>
        <w:rPr>
          <w:rFonts w:ascii="Times New Roman" w:cs="Times New Roman" w:eastAsia="Times New Roman" w:hAnsi="Times New Roman"/>
          <w:sz w:val="18"/>
          <w:szCs w:val="18"/>
          <w:color w:val="auto"/>
        </w:rPr>
        <w:t>. Traditional hemodialysis machines are typically used to deliver a single modality of treatment, requiring multiple machines for different types of treatment types across different care settings, therefore reducing clinical versatility.</w:t>
      </w:r>
    </w:p>
    <w:p>
      <w:pPr>
        <w:spacing w:after="0" w:line="161" w:lineRule="exact"/>
        <w:rPr>
          <w:rFonts w:ascii="Times New Roman" w:cs="Times New Roman" w:eastAsia="Times New Roman" w:hAnsi="Times New Roman"/>
          <w:sz w:val="18"/>
          <w:szCs w:val="18"/>
          <w:color w:val="auto"/>
        </w:rPr>
      </w:pPr>
    </w:p>
    <w:p>
      <w:pPr>
        <w:ind w:left="1120" w:right="40" w:hanging="370"/>
        <w:spacing w:after="0" w:line="266"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challenges</w:t>
      </w:r>
      <w:r>
        <w:rPr>
          <w:rFonts w:ascii="Times New Roman" w:cs="Times New Roman" w:eastAsia="Times New Roman" w:hAnsi="Times New Roman"/>
          <w:sz w:val="18"/>
          <w:szCs w:val="18"/>
          <w:color w:val="auto"/>
        </w:rPr>
        <w:t>. Traditional hemodialysis machines are expensive to operate with high fixed investment in infrastructure, significant recurring supply costs and expensive dialysis-specific labor. In the acute care setting, this very often results in specialized in-house teams or outsourcing to a third-party dialysis provider.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Additionally, we believe there are specific challenges in each individual care setting.</w:t>
      </w:r>
    </w:p>
    <w:p>
      <w:pPr>
        <w:spacing w:after="0" w:line="221"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Challenges in the Hospital</w:t>
      </w:r>
      <w:r>
        <w:rPr>
          <w:rFonts w:ascii="Times New Roman" w:cs="Times New Roman" w:eastAsia="Times New Roman" w:hAnsi="Times New Roman"/>
          <w:sz w:val="18"/>
          <w:szCs w:val="18"/>
          <w:color w:val="auto"/>
        </w:rPr>
        <w:t>. In general, the cost of delivering dialysis in the hospital is not reimbursed as a standalone service, so the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dialysis care, whether managed in-house or outsourced to a third party, has a significant impact on hospital operating margins. In 2018, dialysis was performed across roughly 600 diagnosis-related groups, of which 60% of the inpatient stays with dialysis had negative operating margins, including 30% of inpatient stays that lost more than $10,000 per visit.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Given the complexity of managing dialysis programs with traditional equipment, many hospital administrators choose to outsource their dialysis program, which can be costly and may limit their ability to control patient care quality. The key challenges of delivering dialysis in the hospital include:</w:t>
      </w:r>
    </w:p>
    <w:p>
      <w:pPr>
        <w:spacing w:after="0" w:line="162" w:lineRule="exact"/>
        <w:rPr>
          <w:sz w:val="20"/>
          <w:szCs w:val="20"/>
          <w:color w:val="auto"/>
        </w:rPr>
      </w:pPr>
    </w:p>
    <w:p>
      <w:pPr>
        <w:ind w:left="1120" w:right="40" w:hanging="370"/>
        <w:spacing w:after="0" w:line="258"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clinical versatility of traditional machines</w:t>
      </w:r>
      <w:r>
        <w:rPr>
          <w:rFonts w:ascii="Times New Roman" w:cs="Times New Roman" w:eastAsia="Times New Roman" w:hAnsi="Times New Roman"/>
          <w:sz w:val="18"/>
          <w:szCs w:val="18"/>
          <w:color w:val="auto"/>
        </w:rPr>
        <w:t>. Hospitals require multiple machines for different treatment modalities to care for patients with varying degrees of acuity. Specifically, patients in the ICU require treatment with machines that deliver lower flow rates for longer durations, while stable patients are typically treated outside of the ICU on devices that deliver higher flow rates for shorter durations. Traditional dialysis machines are typically used to deliver a single modality, requiring different machines for different types of treatment types across care settings. This adds cost, complexity and inefficiency.</w:t>
      </w:r>
    </w:p>
    <w:p>
      <w:pPr>
        <w:spacing w:after="0" w:line="183" w:lineRule="exact"/>
        <w:rPr>
          <w:rFonts w:ascii="Times New Roman" w:cs="Times New Roman" w:eastAsia="Times New Roman" w:hAnsi="Times New Roman"/>
          <w:sz w:val="18"/>
          <w:szCs w:val="18"/>
          <w:color w:val="auto"/>
        </w:rPr>
      </w:pPr>
    </w:p>
    <w:p>
      <w:pPr>
        <w:ind w:left="1120" w:hanging="370"/>
        <w:spacing w:after="0" w:line="261"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Specialized, dialysis-specific labor</w:t>
      </w:r>
      <w:r>
        <w:rPr>
          <w:rFonts w:ascii="Times New Roman" w:cs="Times New Roman" w:eastAsia="Times New Roman" w:hAnsi="Times New Roman"/>
          <w:sz w:val="18"/>
          <w:szCs w:val="18"/>
          <w:color w:val="auto"/>
        </w:rPr>
        <w:t>. Traditional dialysis machines are complicated to learn and use, and therefore require specially trained clinical staff who are in short supply or may not always be readily available for patient care. Training a dialysis nurse on a traditional dialysis machine typically takes weeks, limiting hospitals’ ability to flex their resources on-demand and potentially limiting patient access to prompt care.</w:t>
      </w:r>
    </w:p>
    <w:p>
      <w:pPr>
        <w:spacing w:after="0" w:line="179" w:lineRule="exact"/>
        <w:rPr>
          <w:rFonts w:ascii="Times New Roman" w:cs="Times New Roman" w:eastAsia="Times New Roman" w:hAnsi="Times New Roman"/>
          <w:sz w:val="18"/>
          <w:szCs w:val="18"/>
          <w:color w:val="auto"/>
        </w:rPr>
      </w:pPr>
    </w:p>
    <w:p>
      <w:pPr>
        <w:ind w:left="1120" w:right="160" w:hanging="370"/>
        <w:spacing w:after="0" w:line="261"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Specialized infrastructure, equipment, and expensive supplies</w:t>
      </w:r>
      <w:r>
        <w:rPr>
          <w:rFonts w:ascii="Times New Roman" w:cs="Times New Roman" w:eastAsia="Times New Roman" w:hAnsi="Times New Roman"/>
          <w:sz w:val="18"/>
          <w:szCs w:val="18"/>
          <w:color w:val="auto"/>
        </w:rPr>
        <w:t>. Traditional dialysis machines require industrial water treatment rooms or separate mobile water filtration systems to generate the purified water necessary for dialysate production, which adds significant cost and space requirements to a hospital-based dialysis program. For machines that rely on sterile-packed dialysate bags in lieu of a separate water treatment and dialysate production area, the cost of purchasing and storing these supplies can be high.</w:t>
      </w:r>
    </w:p>
    <w:p>
      <w:pPr>
        <w:spacing w:after="0" w:line="203" w:lineRule="exact"/>
        <w:rPr>
          <w:sz w:val="20"/>
          <w:szCs w:val="20"/>
          <w:color w:val="auto"/>
        </w:rPr>
      </w:pPr>
    </w:p>
    <w:p>
      <w:pPr>
        <w:ind w:right="4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Challenges in the Home</w:t>
      </w:r>
      <w:r>
        <w:rPr>
          <w:rFonts w:ascii="Times New Roman" w:cs="Times New Roman" w:eastAsia="Times New Roman" w:hAnsi="Times New Roman"/>
          <w:sz w:val="18"/>
          <w:szCs w:val="18"/>
          <w:color w:val="auto"/>
        </w:rPr>
        <w:t>. The limited adoption of home hemodialysis is largely a result of suboptimal existing technologies that make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operationally complex and expensive to manage, and consequently an undesirable treatment alternative for providers and patients. We believe the key challenges are: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Challenges for Providers</w:t>
      </w:r>
    </w:p>
    <w:p>
      <w:pPr>
        <w:spacing w:after="0" w:line="227" w:lineRule="exact"/>
        <w:rPr>
          <w:sz w:val="20"/>
          <w:szCs w:val="20"/>
          <w:color w:val="auto"/>
        </w:rPr>
      </w:pPr>
    </w:p>
    <w:p>
      <w:pPr>
        <w:ind w:left="1120" w:right="120" w:hanging="370"/>
        <w:spacing w:after="0" w:line="26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required to train new patients</w:t>
      </w:r>
      <w:r>
        <w:rPr>
          <w:rFonts w:ascii="Times New Roman" w:cs="Times New Roman" w:eastAsia="Times New Roman" w:hAnsi="Times New Roman"/>
          <w:sz w:val="18"/>
          <w:szCs w:val="18"/>
          <w:color w:val="auto"/>
        </w:rPr>
        <w:t>. The most commonly used home hemodialysis machine requires approximately 100 hours of nurse- led training, which translates into several weeks of commitment, unreimbursed expense and can result in a backlog of patients waiting to be trained due to capacity constraints. This time commitment required of patients and their care partners limits the adoption of home hemodialysis.</w:t>
      </w:r>
    </w:p>
    <w:p>
      <w:pPr>
        <w:spacing w:after="0" w:line="179" w:lineRule="exact"/>
        <w:rPr>
          <w:rFonts w:ascii="Times New Roman" w:cs="Times New Roman" w:eastAsia="Times New Roman" w:hAnsi="Times New Roman"/>
          <w:sz w:val="18"/>
          <w:szCs w:val="18"/>
          <w:color w:val="auto"/>
        </w:rPr>
      </w:pPr>
    </w:p>
    <w:p>
      <w:pPr>
        <w:ind w:left="1120" w:right="60" w:hanging="370"/>
        <w:spacing w:after="0" w:line="26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Low retention of patients</w:t>
      </w:r>
      <w:r>
        <w:rPr>
          <w:rFonts w:ascii="Times New Roman" w:cs="Times New Roman" w:eastAsia="Times New Roman" w:hAnsi="Times New Roman"/>
          <w:sz w:val="18"/>
          <w:szCs w:val="18"/>
          <w:color w:val="auto"/>
        </w:rPr>
        <w:t>. The incumbent home hemodialysis machine requires patients to dialyze frequently, sometimes up to six times per week. This involves cumbersome setup procedures requiring up to eight hours of prep work several times per week, to prepare batches of dialysate ahead of treatment. This is impractical and ultimately contributes to patient burnout. The patient drop out rate for home hemodialysis on the incumbent machine is up to 45% within the first year.</w:t>
      </w:r>
    </w:p>
    <w:p>
      <w:pPr>
        <w:spacing w:after="0" w:line="179" w:lineRule="exact"/>
        <w:rPr>
          <w:rFonts w:ascii="Times New Roman" w:cs="Times New Roman" w:eastAsia="Times New Roman" w:hAnsi="Times New Roman"/>
          <w:sz w:val="18"/>
          <w:szCs w:val="18"/>
          <w:color w:val="auto"/>
        </w:rPr>
      </w:pPr>
    </w:p>
    <w:p>
      <w:pPr>
        <w:ind w:left="1120" w:right="140" w:hanging="370"/>
        <w:spacing w:after="0" w:line="26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Manual process of reporting</w:t>
      </w:r>
      <w:r>
        <w:rPr>
          <w:rFonts w:ascii="Times New Roman" w:cs="Times New Roman" w:eastAsia="Times New Roman" w:hAnsi="Times New Roman"/>
          <w:sz w:val="18"/>
          <w:szCs w:val="18"/>
          <w:color w:val="auto"/>
        </w:rPr>
        <w:t>. The incumbent machine requires patients to manually log their treatment regimen for reporting. Additionally, any machine errors impacting a patient’s treatment go unnoticed unless reported by the patient. This lack of visibility impacts compliance and reduces quality of care. Since clinics require proof of treatment in order to receive reimbursement, the lag created by manual reporting delays reimbursement timing to the provider.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Challenges for Patients</w:t>
      </w:r>
    </w:p>
    <w:p>
      <w:pPr>
        <w:spacing w:after="0" w:line="227" w:lineRule="exact"/>
        <w:rPr>
          <w:sz w:val="20"/>
          <w:szCs w:val="20"/>
          <w:color w:val="auto"/>
        </w:rPr>
      </w:pPr>
    </w:p>
    <w:p>
      <w:pPr>
        <w:ind w:left="1120" w:hanging="370"/>
        <w:spacing w:after="0" w:line="289" w:lineRule="auto"/>
        <w:tabs>
          <w:tab w:leader="none" w:pos="11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Complicated and time-consuming to learn</w:t>
      </w:r>
      <w:r>
        <w:rPr>
          <w:rFonts w:ascii="Times New Roman" w:cs="Times New Roman" w:eastAsia="Times New Roman" w:hAnsi="Times New Roman"/>
          <w:sz w:val="17"/>
          <w:szCs w:val="17"/>
          <w:color w:val="auto"/>
        </w:rPr>
        <w:t>. The incumbent home dialysis machine is technically complex and unintuitive to operate requiring patients to memorize setup procedures and refer to a paper manual for alarm resolution. As noted above, achieving competency requires approximately 100 hours of nurse-led training, which translates into weeks of commitment creating a significant hurdle to adoption.</w:t>
      </w:r>
    </w:p>
    <w:p>
      <w:pPr>
        <w:spacing w:after="0" w:line="157" w:lineRule="exact"/>
        <w:rPr>
          <w:rFonts w:ascii="Times New Roman" w:cs="Times New Roman" w:eastAsia="Times New Roman" w:hAnsi="Times New Roman"/>
          <w:sz w:val="17"/>
          <w:szCs w:val="17"/>
          <w:color w:val="auto"/>
        </w:rPr>
      </w:pPr>
    </w:p>
    <w:p>
      <w:pPr>
        <w:ind w:left="1120" w:right="20" w:hanging="370"/>
        <w:spacing w:after="0" w:line="258"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Cumbersome setup and burdensome treatment frequency</w:t>
      </w:r>
      <w:r>
        <w:rPr>
          <w:rFonts w:ascii="Times New Roman" w:cs="Times New Roman" w:eastAsia="Times New Roman" w:hAnsi="Times New Roman"/>
          <w:sz w:val="18"/>
          <w:szCs w:val="18"/>
          <w:color w:val="auto"/>
        </w:rPr>
        <w:t>. The incumbent home dialysis machine is limited in its ability to sufficiently remove toxins, which as a result typically requires up to six treatments per week. The requirement of increased treatment frequency intensifies the burden placed on the patient, their care partner and clinical staff. In addition, the need for clean treated water requires significant time to batch and prepare dialysate before treatments. While not required prior to every treatment, this process can range from 16 to 24 hours per week and contributes to lower patient retention on the incumbent machine.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ind w:left="1120" w:hanging="370"/>
        <w:spacing w:after="0" w:line="258"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Manual documentation and reporting</w:t>
      </w:r>
      <w:r>
        <w:rPr>
          <w:rFonts w:ascii="Times New Roman" w:cs="Times New Roman" w:eastAsia="Times New Roman" w:hAnsi="Times New Roman"/>
          <w:sz w:val="18"/>
          <w:szCs w:val="18"/>
          <w:color w:val="auto"/>
        </w:rPr>
        <w:t>. Patients are responsible for reporting the details of each treatment, including vital signs, treatment time and ultrafiltration volumes, to their provider manually given the incumbent machine does not offer integrated wireless connectivity capabilities, or through the purchase of additional hardware, which is not reimbursed. This lack of connectivity limits the ability to remotely assess and troubleshoot any issues with the device, which often results in the machine being sent back to the manufacturer and replaced with a new machine, potentially delaying patient treatment.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have purposefully designed a dialysis solution to address the limitations and challenges faced by using traditional dialysis systems. In doing so, we sought to completely reinvent the traditional concept of dialysis delivery. We believe Tablo represents meaningful technological advancements in dialysis care, a market which has lacked significant innovation for decades.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 vs. Traditional Hemodialysis Machine.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172720</wp:posOffset>
            </wp:positionV>
            <wp:extent cx="5229225" cy="2597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2922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Tablo Hemodialysis System (Tablo)</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anyone. Unlike traditional hemodialysis machines, Tablo offers a single, enterprise solution that can be used seamlessly across multiple care settings and a wide range of clinical applications, all with the benefit of remote system management, monitoring and maintenance through two-way wireless data transmission capabilities.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Tablo System is comprised of the following components:</w:t>
      </w:r>
    </w:p>
    <w:p>
      <w:pPr>
        <w:spacing w:after="0" w:line="225" w:lineRule="exact"/>
        <w:rPr>
          <w:sz w:val="20"/>
          <w:szCs w:val="20"/>
          <w:color w:val="auto"/>
        </w:rPr>
      </w:pPr>
    </w:p>
    <w:p>
      <w:pPr>
        <w:ind w:left="1120" w:right="160" w:hanging="370"/>
        <w:spacing w:after="0" w:line="266"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Tablo Console</w:t>
      </w:r>
      <w:r>
        <w:rPr>
          <w:rFonts w:ascii="Times New Roman" w:cs="Times New Roman" w:eastAsia="Times New Roman" w:hAnsi="Times New Roman"/>
          <w:sz w:val="18"/>
          <w:szCs w:val="18"/>
          <w:color w:val="auto"/>
        </w:rPr>
        <w:t>. A compact, mobile and versatile machine consisting of an integrated water purification, on-demand dialysate production system and simple-to-use touchscreen interface. Using advanced sensors, the console automates much of treatment setup and management and can automatically self-diagnose for potential machine issues.</w:t>
      </w:r>
    </w:p>
    <w:p>
      <w:pPr>
        <w:spacing w:after="0" w:line="175" w:lineRule="exact"/>
        <w:rPr>
          <w:rFonts w:ascii="Times New Roman" w:cs="Times New Roman" w:eastAsia="Times New Roman" w:hAnsi="Times New Roman"/>
          <w:sz w:val="18"/>
          <w:szCs w:val="18"/>
          <w:color w:val="auto"/>
        </w:rPr>
      </w:pPr>
    </w:p>
    <w:p>
      <w:pPr>
        <w:jc w:val="both"/>
        <w:ind w:left="1120" w:right="260" w:hanging="370"/>
        <w:spacing w:after="0" w:line="266"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Tablo Cartridge</w:t>
      </w:r>
      <w:r>
        <w:rPr>
          <w:rFonts w:ascii="Times New Roman" w:cs="Times New Roman" w:eastAsia="Times New Roman" w:hAnsi="Times New Roman"/>
          <w:sz w:val="18"/>
          <w:szCs w:val="18"/>
          <w:color w:val="auto"/>
        </w:rPr>
        <w:t>. A proprietary, disposable single use pre-strung cartridge that easily clicks into place, minimizing steps, touch points and connections for streamlined set up times to as little as 20 minutes. The Tablo cartridge was designed to simplify and streamline treatment setup to minimize the potential for user error.</w:t>
      </w:r>
    </w:p>
    <w:p>
      <w:pPr>
        <w:spacing w:after="0" w:line="175"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Tablo Connectivity and Data Ecosystem</w:t>
      </w:r>
      <w:r>
        <w:rPr>
          <w:rFonts w:ascii="Times New Roman" w:cs="Times New Roman" w:eastAsia="Times New Roman" w:hAnsi="Times New Roman"/>
          <w:sz w:val="18"/>
          <w:szCs w:val="18"/>
          <w:color w:val="auto"/>
        </w:rPr>
        <w:t>. With Tablo, we are bringing data to dialysis. Tablo is built to live in a connected setting with cloud-based system monitoring, patient analytics and clinical recordkeeping.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7"/>
          <w:szCs w:val="17"/>
          <w:i w:val="1"/>
          <w:iCs w:val="1"/>
          <w:color w:val="auto"/>
        </w:rPr>
        <w:t>Traditional Hemodialysis Machine with Water Filtration Equipment vs Tablo Console.</w:t>
      </w:r>
    </w:p>
    <w:p>
      <w:pPr>
        <w:sectPr>
          <w:pgSz w:w="11900" w:h="16838" w:orient="portrait"/>
          <w:cols w:equalWidth="0" w:num="1">
            <w:col w:w="11240"/>
          </w:cols>
          <w:pgMar w:left="320" w:top="551" w:right="339" w:bottom="1440" w:gutter="0" w:footer="0" w:header="0"/>
        </w:sectPr>
      </w:pPr>
    </w:p>
    <w:p>
      <w:pPr>
        <w:spacing w:after="0" w:line="264"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7"/>
          <w:szCs w:val="17"/>
          <w:i w:val="1"/>
          <w:iCs w:val="1"/>
          <w:color w:val="auto"/>
        </w:rPr>
        <w:t>Traditional Hemodialysis Machine with Water Filtration</w:t>
      </w:r>
    </w:p>
    <w:p>
      <w:pPr>
        <w:spacing w:after="0" w:line="41"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i w:val="1"/>
          <w:iCs w:val="1"/>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142875</wp:posOffset>
            </wp:positionV>
            <wp:extent cx="2434590" cy="2254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34590" cy="2254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Tablo Console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163195</wp:posOffset>
            </wp:positionV>
            <wp:extent cx="1705610" cy="2254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5610" cy="225425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7260" w:space="720"/>
            <w:col w:w="3260"/>
          </w:cols>
          <w:pgMar w:left="320" w:top="5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Benefits of Tablo</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Tablo’s unique features combine to provide a meaningfully differentiated hemodialysis solution, offering the following benefits:</w:t>
      </w:r>
    </w:p>
    <w:p>
      <w:pPr>
        <w:spacing w:after="0" w:line="225" w:lineRule="exact"/>
        <w:rPr>
          <w:sz w:val="20"/>
          <w:szCs w:val="20"/>
          <w:color w:val="auto"/>
        </w:rPr>
      </w:pPr>
    </w:p>
    <w:p>
      <w:pPr>
        <w:ind w:left="1140" w:right="60" w:hanging="345"/>
        <w:spacing w:after="0" w:line="256" w:lineRule="auto"/>
        <w:tabs>
          <w:tab w:leader="none" w:pos="10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Simplicity</w:t>
      </w:r>
      <w:r>
        <w:rPr>
          <w:rFonts w:ascii="Times New Roman" w:cs="Times New Roman" w:eastAsia="Times New Roman" w:hAnsi="Times New Roman"/>
          <w:sz w:val="18"/>
          <w:szCs w:val="18"/>
          <w:color w:val="auto"/>
        </w:rPr>
        <w:t>. Tablo’s intuitive touchscreen interface makes it easy to learn and easy to use, guiding users through treatment from start to finish using step-by-step instructions with simple words and animation. Embedded sensors simplify the setup and takedown process by providing validation of each step, reducing the chance of user error. During treatment, sensors automatically alert the user of any problems and provide instructions to resolving the issues on the screen. Our proprietary pre-strung cartridge clicks into place and features color-coded, easy-to-follow connections, allowing users to set up the treatment supplies in less than five minutes. Tablo’s simplicity can also reduce the training time necessary to operate the machine by roughly two thirds compared to training for traditional machines.</w:t>
      </w:r>
    </w:p>
    <w:p>
      <w:pPr>
        <w:spacing w:after="0" w:line="187" w:lineRule="exact"/>
        <w:rPr>
          <w:rFonts w:ascii="Times New Roman" w:cs="Times New Roman" w:eastAsia="Times New Roman" w:hAnsi="Times New Roman"/>
          <w:sz w:val="18"/>
          <w:szCs w:val="18"/>
          <w:color w:val="auto"/>
        </w:rPr>
      </w:pPr>
    </w:p>
    <w:p>
      <w:pPr>
        <w:ind w:left="1140" w:right="240" w:hanging="345"/>
        <w:spacing w:after="0" w:line="266" w:lineRule="auto"/>
        <w:tabs>
          <w:tab w:leader="none" w:pos="11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Flexibility</w:t>
      </w:r>
      <w:r>
        <w:rPr>
          <w:rFonts w:ascii="Times New Roman" w:cs="Times New Roman" w:eastAsia="Times New Roman" w:hAnsi="Times New Roman"/>
          <w:sz w:val="18"/>
          <w:szCs w:val="18"/>
          <w:color w:val="auto"/>
        </w:rPr>
        <w:t>. Tablo can accommodate a wide range of treatment modalities, durations and flow rates, allowing for broad clinical applications. In combination with its compact size and ease-of-use, Tablo’s clinical flexibility enables providers to standardize to a single solution across all care settings.</w:t>
      </w:r>
    </w:p>
    <w:p>
      <w:pPr>
        <w:spacing w:after="0" w:line="175" w:lineRule="exact"/>
        <w:rPr>
          <w:rFonts w:ascii="Times New Roman" w:cs="Times New Roman" w:eastAsia="Times New Roman" w:hAnsi="Times New Roman"/>
          <w:sz w:val="18"/>
          <w:szCs w:val="18"/>
          <w:color w:val="auto"/>
        </w:rPr>
      </w:pPr>
    </w:p>
    <w:p>
      <w:pPr>
        <w:ind w:left="1140" w:right="80" w:hanging="345"/>
        <w:spacing w:after="0" w:line="256" w:lineRule="auto"/>
        <w:tabs>
          <w:tab w:leader="none" w:pos="10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Versatility</w:t>
      </w:r>
      <w:r>
        <w:rPr>
          <w:rFonts w:ascii="Times New Roman" w:cs="Times New Roman" w:eastAsia="Times New Roman" w:hAnsi="Times New Roman"/>
          <w:sz w:val="18"/>
          <w:szCs w:val="18"/>
          <w:color w:val="auto"/>
        </w:rPr>
        <w:t>. Tablo is an all-in-one device with integrated water purification and on-demand dialysate production, eliminating the need for industrial water treatment rooms required to operate traditional hemodialysis machines. Instead, Tablo only needs an electrical outlet and access to tap water. Tablo’s independence from this infrastructure enables bedside dialysis in the acute setting, saving the time and expense of transporting patients elsewhere for dialysis. By eliminating the need for separate infrastructure, Tablo can practically and cost-efficiently provide patients with access to treatment in additional care settings that previously has not been feasible with traditional dialysis machines.</w:t>
      </w:r>
    </w:p>
    <w:p>
      <w:pPr>
        <w:spacing w:after="0" w:line="187" w:lineRule="exact"/>
        <w:rPr>
          <w:rFonts w:ascii="Times New Roman" w:cs="Times New Roman" w:eastAsia="Times New Roman" w:hAnsi="Times New Roman"/>
          <w:sz w:val="18"/>
          <w:szCs w:val="18"/>
          <w:color w:val="auto"/>
        </w:rPr>
      </w:pPr>
    </w:p>
    <w:p>
      <w:pPr>
        <w:ind w:left="1140" w:right="160" w:hanging="345"/>
        <w:spacing w:after="0" w:line="261" w:lineRule="auto"/>
        <w:tabs>
          <w:tab w:leader="none" w:pos="10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Progressive Intelligence</w:t>
      </w:r>
      <w:r>
        <w:rPr>
          <w:rFonts w:ascii="Times New Roman" w:cs="Times New Roman" w:eastAsia="Times New Roman" w:hAnsi="Times New Roman"/>
          <w:sz w:val="18"/>
          <w:szCs w:val="18"/>
          <w:color w:val="auto"/>
        </w:rPr>
        <w:t>. Tablo’s two-way wireless connectivity and data ecosystem connects providers and patients through a cloud-based integrated data platform which enables real-time treatment monitoring, centralizes and automates treatment documentation, thereby simplifying compliance and record-keeping requirements. It streamlines machine management while allowing for feature enhancements through remote software upgrades.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Tablo’s clinically differentiated features were specifically designed to address the economic and operational challenges faced by stakeholders across all care settings. In addition, patients have reported clinical and quality of life benefits on Tablo compared to other dialysis machines.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i w:val="1"/>
          <w:iCs w:val="1"/>
          <w:color w:val="auto"/>
        </w:rPr>
        <w:t>Tablo integrates seamlessly in both the ICU setting and home environment.</w:t>
      </w:r>
    </w:p>
    <w:p>
      <w:pPr>
        <w:spacing w:after="0" w:line="252" w:lineRule="exact"/>
        <w:rPr>
          <w:sz w:val="20"/>
          <w:szCs w:val="20"/>
          <w:color w:val="auto"/>
        </w:rPr>
      </w:pPr>
    </w:p>
    <w:p>
      <w:pPr>
        <w:ind w:left="2080"/>
        <w:spacing w:after="0"/>
        <w:tabs>
          <w:tab w:leader="none" w:pos="7760" w:val="left"/>
        </w:tabs>
        <w:rPr>
          <w:sz w:val="20"/>
          <w:szCs w:val="20"/>
          <w:color w:val="auto"/>
        </w:rPr>
      </w:pPr>
      <w:r>
        <w:rPr>
          <w:rFonts w:ascii="Times New Roman" w:cs="Times New Roman" w:eastAsia="Times New Roman" w:hAnsi="Times New Roman"/>
          <w:sz w:val="18"/>
          <w:szCs w:val="18"/>
          <w:i w:val="1"/>
          <w:iCs w:val="1"/>
          <w:color w:val="auto"/>
        </w:rPr>
        <w:t>Tablo in the hospital</w:t>
      </w:r>
      <w:r>
        <w:rPr>
          <w:sz w:val="20"/>
          <w:szCs w:val="20"/>
          <w:color w:val="auto"/>
        </w:rPr>
        <w:tab/>
      </w:r>
      <w:r>
        <w:rPr>
          <w:rFonts w:ascii="Times New Roman" w:cs="Times New Roman" w:eastAsia="Times New Roman" w:hAnsi="Times New Roman"/>
          <w:sz w:val="17"/>
          <w:szCs w:val="17"/>
          <w:i w:val="1"/>
          <w:iCs w:val="1"/>
          <w:color w:val="auto"/>
        </w:rPr>
        <w:t>Tablo in the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18415</wp:posOffset>
            </wp:positionV>
            <wp:extent cx="6643370" cy="1774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337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the acute care market, Tablo simplifies dialysis management and improves operating margins for health providers by lowering the overall cost of dialysis-related supplies, infrastructure and labor. Tablo has shown the ability to reduce ongoing supply costs by up to 80% in the ICU as well as delivering on the following operational improvements:</w:t>
      </w:r>
    </w:p>
    <w:p>
      <w:pPr>
        <w:spacing w:after="0" w:line="176" w:lineRule="exact"/>
        <w:rPr>
          <w:sz w:val="20"/>
          <w:szCs w:val="20"/>
          <w:color w:val="auto"/>
        </w:rPr>
      </w:pPr>
    </w:p>
    <w:p>
      <w:pPr>
        <w:ind w:left="1120" w:right="180" w:hanging="370"/>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Standardizing to a single, easy-to-learn machine that can deliver multiple dialysis modalities and reduce the cost, complexity and training burden of managing multiple different machines.</w:t>
      </w:r>
    </w:p>
    <w:p>
      <w:pPr>
        <w:spacing w:after="0" w:line="161"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dialysis to be delivered anywhere across the hospital without the need for additional specialized equipment, infrastructure or specialized dialysis staff.</w:t>
      </w:r>
    </w:p>
    <w:p>
      <w:pPr>
        <w:spacing w:after="0" w:line="161"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less expensive labor models, for example the insourcing of dialysis service using existing hospital nursing staff and eliminating expensive, fixed dialysis outsourcing contracts.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need for pre-filled bagged dialysate, thereby lowering supplies cost in the ICU.</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Automating data documentation and machine management to increase regulatory compliance.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home market, we believe Tablo offers the following benefits for clinics and their patients: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Improved provider home dialysis economics</w:t>
      </w:r>
    </w:p>
    <w:p>
      <w:pPr>
        <w:spacing w:after="0" w:line="227" w:lineRule="exact"/>
        <w:rPr>
          <w:sz w:val="20"/>
          <w:szCs w:val="20"/>
          <w:color w:val="auto"/>
        </w:rPr>
      </w:pPr>
    </w:p>
    <w:p>
      <w:pPr>
        <w:ind w:left="1120" w:right="22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flexible treatment frequency that can be aligned with payor reimbursement policies as medically appropriate, overcoming a key limitation to home adoption.</w:t>
      </w:r>
    </w:p>
    <w:p>
      <w:pPr>
        <w:spacing w:after="0" w:line="161"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time and nursing resources needed to train new patients and improving remote management and monitoring of home patients, resulting in higher productivity.</w:t>
      </w:r>
    </w:p>
    <w:p>
      <w:pPr>
        <w:spacing w:after="0" w:line="161" w:lineRule="exact"/>
        <w:rPr>
          <w:rFonts w:ascii="Times New Roman" w:cs="Times New Roman" w:eastAsia="Times New Roman" w:hAnsi="Times New Roman"/>
          <w:sz w:val="18"/>
          <w:szCs w:val="18"/>
          <w:color w:val="auto"/>
        </w:rPr>
      </w:pPr>
    </w:p>
    <w:p>
      <w:pPr>
        <w:ind w:left="1120" w:right="44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providers to cost efficiently build TCUs in previously inaccessible locations since specialized infrastructure, such as a water treatment facility, is no longer needed.</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increase patient compliance and reducing patient burnout.</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remote machine maintenance, troubleshooting and software updating.</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differentiated marketing for the clinic to drive increased patient volumes.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5" w:name="page16"/>
    <w:bookmarkEnd w:id="15"/>
    <w:p>
      <w:pPr>
        <w:ind w:left="1420"/>
        <w:spacing w:after="0"/>
        <w:rPr>
          <w:sz w:val="20"/>
          <w:szCs w:val="20"/>
          <w:color w:val="auto"/>
        </w:rPr>
      </w:pPr>
      <w:r>
        <w:rPr>
          <w:rFonts w:ascii="Times New Roman" w:cs="Times New Roman" w:eastAsia="Times New Roman" w:hAnsi="Times New Roman"/>
          <w:sz w:val="18"/>
          <w:szCs w:val="18"/>
          <w:i w:val="1"/>
          <w:iCs w:val="1"/>
          <w:color w:val="auto"/>
        </w:rPr>
        <w:t>Improved accessibility and sustainability of home dialysis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-118110</wp:posOffset>
            </wp:positionV>
            <wp:extent cx="2202815" cy="2366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02815" cy="2366010"/>
                    </a:xfrm>
                    <a:prstGeom prst="rect">
                      <a:avLst/>
                    </a:prstGeom>
                    <a:noFill/>
                  </pic:spPr>
                </pic:pic>
              </a:graphicData>
            </a:graphic>
          </wp:anchor>
        </w:drawing>
      </w:r>
    </w:p>
    <w:p>
      <w:pPr>
        <w:spacing w:after="0" w:line="207" w:lineRule="exact"/>
        <w:rPr>
          <w:sz w:val="20"/>
          <w:szCs w:val="20"/>
          <w:color w:val="auto"/>
        </w:rPr>
      </w:pPr>
    </w:p>
    <w:p>
      <w:pPr>
        <w:ind w:left="1700" w:hanging="288"/>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patients back their time by:</w:t>
      </w:r>
    </w:p>
    <w:p>
      <w:pPr>
        <w:spacing w:after="0" w:line="225" w:lineRule="exact"/>
        <w:rPr>
          <w:rFonts w:ascii="Times New Roman" w:cs="Times New Roman" w:eastAsia="Times New Roman" w:hAnsi="Times New Roman"/>
          <w:sz w:val="18"/>
          <w:szCs w:val="18"/>
          <w:color w:val="auto"/>
        </w:rPr>
      </w:pPr>
    </w:p>
    <w:p>
      <w:pPr>
        <w:ind w:left="2380" w:right="4000" w:hanging="320"/>
        <w:spacing w:after="0" w:line="266" w:lineRule="auto"/>
        <w:tabs>
          <w:tab w:leader="none" w:pos="2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training time through ease-of-use and intuitive design, requiring significantly less time than traditional home hemodialysis machines.</w:t>
      </w:r>
    </w:p>
    <w:p>
      <w:pPr>
        <w:spacing w:after="0" w:line="175" w:lineRule="exact"/>
        <w:rPr>
          <w:rFonts w:ascii="Times New Roman" w:cs="Times New Roman" w:eastAsia="Times New Roman" w:hAnsi="Times New Roman"/>
          <w:sz w:val="18"/>
          <w:szCs w:val="18"/>
          <w:color w:val="auto"/>
        </w:rPr>
      </w:pPr>
    </w:p>
    <w:p>
      <w:pPr>
        <w:ind w:left="2380" w:right="3940" w:hanging="320"/>
        <w:spacing w:after="0" w:line="266" w:lineRule="auto"/>
        <w:tabs>
          <w:tab w:leader="none" w:pos="2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preparation and set up time by eliminating the need to batch and prepare dialysate, which typically takes 16 to 24 hours per week.</w:t>
      </w:r>
    </w:p>
    <w:p>
      <w:pPr>
        <w:spacing w:after="0" w:line="175" w:lineRule="exact"/>
        <w:rPr>
          <w:rFonts w:ascii="Times New Roman" w:cs="Times New Roman" w:eastAsia="Times New Roman" w:hAnsi="Times New Roman"/>
          <w:sz w:val="18"/>
          <w:szCs w:val="18"/>
          <w:color w:val="auto"/>
        </w:rPr>
      </w:pPr>
    </w:p>
    <w:p>
      <w:pPr>
        <w:ind w:left="2380" w:right="3820" w:hanging="320"/>
        <w:spacing w:after="0" w:line="282" w:lineRule="auto"/>
        <w:tabs>
          <w:tab w:leader="none" w:pos="2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required number of weekly treatments from up to six to as few as three.</w:t>
      </w:r>
    </w:p>
    <w:p>
      <w:pPr>
        <w:spacing w:after="0" w:line="161" w:lineRule="exact"/>
        <w:rPr>
          <w:rFonts w:ascii="Times New Roman" w:cs="Times New Roman" w:eastAsia="Times New Roman" w:hAnsi="Times New Roman"/>
          <w:sz w:val="18"/>
          <w:szCs w:val="18"/>
          <w:color w:val="auto"/>
        </w:rPr>
      </w:pPr>
    </w:p>
    <w:p>
      <w:pPr>
        <w:ind w:left="2380" w:right="4300" w:hanging="320"/>
        <w:spacing w:after="0" w:line="282" w:lineRule="auto"/>
        <w:tabs>
          <w:tab w:leader="none" w:pos="2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the patient to his or her clinic care team through automated flow of treatment documentation.</w:t>
      </w:r>
    </w:p>
    <w:p>
      <w:pPr>
        <w:spacing w:after="0" w:line="161" w:lineRule="exact"/>
        <w:rPr>
          <w:rFonts w:ascii="Times New Roman" w:cs="Times New Roman" w:eastAsia="Times New Roman" w:hAnsi="Times New Roman"/>
          <w:sz w:val="18"/>
          <w:szCs w:val="18"/>
          <w:color w:val="auto"/>
        </w:rPr>
      </w:pPr>
    </w:p>
    <w:p>
      <w:pPr>
        <w:ind w:left="2380" w:right="4020" w:hanging="320"/>
        <w:spacing w:after="0" w:line="266" w:lineRule="auto"/>
        <w:tabs>
          <w:tab w:leader="none" w:pos="2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Improved treatment experience with fewer headaches, increased energy, less cramping, and a quieter more relaxed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contributing to </w:t>
      </w:r>
      <w:r>
        <w:rPr>
          <w:rFonts w:ascii="Times New Roman" w:cs="Times New Roman" w:eastAsia="Times New Roman" w:hAnsi="Times New Roman"/>
          <w:sz w:val="18"/>
          <w:szCs w:val="18"/>
          <w:color w:val="auto"/>
        </w:rPr>
        <w:t>improved</w:t>
      </w:r>
      <w:r>
        <w:rPr>
          <w:rFonts w:ascii="Times New Roman" w:cs="Times New Roman" w:eastAsia="Times New Roman" w:hAnsi="Times New Roman"/>
          <w:sz w:val="18"/>
          <w:szCs w:val="18"/>
          <w:i w:val="1"/>
          <w:iCs w:val="1"/>
          <w:color w:val="auto"/>
        </w:rPr>
        <w:t xml:space="preserve"> quality of life.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Tablo is a mobile integrated hemodialysis solution for acute and home hemodialysis therapy. We designed Tablo from the inside out to offer a superior experience for patients and providers across multiple care settings. Tablo features an integrated water purification system, the ability to produce dialysate on demand, and an intuitive user interface and two-way wireless connectivity powered by an ecosystem of cloud-connected and intelligent software.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The Tablo Hemodialysis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1010" w:right="599" w:bottom="1440" w:gutter="0" w:footer="0" w:header="0"/>
        </w:sectPr>
      </w:pPr>
    </w:p>
    <w:bookmarkStart w:id="16" w:name="page17"/>
    <w:bookmarkEnd w:id="16"/>
    <w:p>
      <w:pPr>
        <w:spacing w:after="0" w:line="239" w:lineRule="auto"/>
        <w:rPr>
          <w:sz w:val="20"/>
          <w:szCs w:val="20"/>
          <w:color w:val="auto"/>
        </w:rPr>
      </w:pPr>
      <w:r>
        <w:rPr>
          <w:rFonts w:ascii="Times New Roman" w:cs="Times New Roman" w:eastAsia="Times New Roman" w:hAnsi="Times New Roman"/>
          <w:sz w:val="22"/>
          <w:szCs w:val="22"/>
          <w:color w:val="auto"/>
        </w:rPr>
        <w:t>Tablo is the only dialysis technology with a fully integrated water treatment system that allows for dialysate to be produced on demand in real time using bicarbonate and acid concentrates. The Tablo console requires only a standard electrical outlet, a drain, and tap water to operate. This eliminates the need for industrial water treatment rooms, separate water purification machines and pre-filled bags of dialysate associated with traditional dialysis machines.</w:t>
      </w:r>
    </w:p>
    <w:p>
      <w:pPr>
        <w:spacing w:after="0" w:line="18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Tablo cartridge is a single use consumable intended to facilitate extracorporeal blood purification for patients. We engineered our unique, one-push cartridge design to reduce set up and take down time and avoid contamination by minimizing manual connections and user touchpoints. One cartridge is used per treatment, except in the case of extended therapy, where multiple cartridges can be used if needed.</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Tablo cartridge consists of a user-friendly pre-configured blood, saline, and infusion tubing. The Tablo cartridge requires only two connections to operate as compared to other machines that require stringing, hanging, snapping and tapping multiple lines. Our proprietary cartridge clicks into place and features color-coded, easy-to-follow connections, allowing users to setup the treatment supplies in less than five minutes. In our home investigational device exemption (IDE) trial, patients were able to set up the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The Tablo cartridge snaps onto the Tablo console before dialysis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172720</wp:posOffset>
            </wp:positionV>
            <wp:extent cx="2648585" cy="175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4858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Tablo’s simple setup and intuitive touchscreen interface combined with sensor-based automation are designed to enhance the user experience by accelerating the training process, expediting device set up, and streamlining the treatment process. For example, Tablo includes an integrated blood pressure monitor, and 70 embedded sensors, which enable features such as automated air removal, priming, and blood return which minimize user errors and save time. Tablo’s touch screen panel guides the user through the treatment with animations and non-technical language, tailored to both professional and non-professional users. The screen can be used to change or manage treatment parameters, add patient information, enter treatment notes as well as set reminders for future actions.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Tablo’s intuitive touchscreen makes the entire treatment process simple to navigate.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172720</wp:posOffset>
            </wp:positionV>
            <wp:extent cx="2648585" cy="1757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858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7" w:name="page18"/>
    <w:bookmarkEnd w:id="17"/>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treatment, should any issues arise, Tablo’s touch screen panel guides the user through an explanation for the alarm and provides intuitive resolution instructions. Traditional machines provide no video guidance and generally require users to memorize or reference numerical alarm codes from a separate user manual. Post-treatment, Tablo’s touchscreen interface guides the user through treatment takedown.</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Tablo console is compact, self-contained, and mobile. From a home use standpoint, Tablo was intentionally designed to look more like a consumer product than a piece of medical equipment in order to increase patient comfort with having it in their living room. The console can be closed completely when not in use, which lowers the intimidation threshold and makes it ideally suited to a home environment. Tablo’s design allows the user to transport the unit easily throughout the hospital or home setting for storage. The console’s 36-inch height was designed to make it easy for patients, especially those with limited mobility, to engage with the touchscreen during treatment to view progress, resolve alarms and adjust functions as needed. For example, a patient can interact with the touch screen to adjust the flow rate if they feel the onset of cramping.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is Connected and Intelligent</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Tablo’s cloud connectivity and intelligent software enable an ecosystem of machine diagnostics and analytics, treatment instruction, monitoring and reporting, improved documentation and remote machine management. With two-way data transmission capabilities, treatment and machine data is continuously uploaded to the cloud and analyzed, informing software improvements to optimize performance, reliability and ease of use. Our ability to push software updates ensures that patients and providers have access to the latest optimizations without the need to replace existing hardware. Over the last two years, we have enabled new features on Tablo, such as the ability to do isolated ultrafiltration treatments and extend treatment duration up to 24 hours, all through software upgrades. In addition, we have designed a cloud-based data platform, Tablo Cloud, that allows us to assess and manage Tablo units remotely while also providing our customers with automated documentation of records related to treatments, machine disinfect and service logs, and online machine training.</w:t>
      </w:r>
    </w:p>
    <w:p>
      <w:pPr>
        <w:spacing w:after="0" w:line="19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Tablo Cloud powers two key platforms that we use for machine management and which our providers and patients use for critical treatment and reporting information.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 Hub</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Tablo Hub is a customer-facing platform that provides immediate, cloud-based access to critical treatment and machine information, strengthening patient care and simplifying billing and compliance related reporting. Through Tablo Hub, providers are able to access and download treatment records, see system disinfection and service records, as well as access documentation and training materials on Tablo, all from a phone, tablet or web-browser. We also have the ability to integrate these records with provider EMRs, either through discrete data integration or downloadable PDFs. Our automated medical record reporting process is designed to improve provider operating efficiency associated with documentation and reduce the compliance risk associated with poor record-keeping during quality audits. We believe Tablo is the only hemodialysis system with two-way wireless transmission delivering data in a manner intended to be compliant with the federal Health Insurance Portability and Accountability Act (HIPAA) to the provider without any need for additional equipment. This frees patients from the need to manually document treatment data by hand or on a separate tablet and ensures higher data accuracy.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Tablo Hub provides immediate access to treatment and machine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172720</wp:posOffset>
            </wp:positionV>
            <wp:extent cx="2648585" cy="175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4858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8"/>
          <w:szCs w:val="18"/>
          <w:i w:val="1"/>
          <w:iCs w:val="1"/>
          <w:color w:val="auto"/>
        </w:rPr>
        <w:t>Tablo Dash</w:t>
      </w:r>
    </w:p>
    <w:p>
      <w:pPr>
        <w:spacing w:after="0" w:line="227"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Tablo Dash is used internally by Outset to improve efficiency of our service model and maximize machine uptime by enabling cloud-based machine management, real-time performance analytics and diagnostics. During each treatment, Tablo’s sensors capture over 500,000 data points on the inner workings of the system. If there is an issue with Tablo, our technical support team is able to remotely diagnose the alarm in real-time, and if it is necessary to dispatch a service engineer, we ensure they arrive with the right part to complete the repair. This capability increases the efficiency of our service model by reducing unnecessary field service visits and reducing the time spent on site conducting the repair. In addition, our machine learning capabilities and analytics enable us to predict and identify potential Tablo component failures before they occur, allowing failures to be fixed before they happen and focusing internal R&amp;D efforts on reliability improvements, further improving system uptime.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Outcomes and Studies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generated significant evidence to demonstrate that Tablo is safe and effective, clinically versatile and produces robust clinical outcomes, both in acute and non-acute settings. Tablo’s evidence base also indicates that its patient centric design, focused on simplicity and ease of use, provides a favorable clinical experience for both patients and providers. We have invested in building a robust Tablo evidence base that captures both patient and provider experience with Tablo.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Patient Experience with Tablo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is Safe and Effective for Home Hemodialysis</w:t>
      </w:r>
    </w:p>
    <w:p>
      <w:pPr>
        <w:spacing w:after="0" w:line="25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conducted an IDE trial to evaluate the safety and efficacy of Tablo when used in-center, managed by trained health professionals, and in-home, by trained patients or a care partner. The IDE trial was a prospective, multicenter, open-label crossover trial comparing in-center and home hemodialysis performance using the Tablo System. This trial consisted of 30 patients ranging from 26 to 71 years of age, of which 43% were African American and 27% were Hispanic or Latino. Many of the patients had a history of a number of co-morbidities representative of the typical ESRD patient with 96% having hypertension, 60% having diabetes and 40% having coronary artery disease. Participants remained in the trial for approximately 21 weeks, during which time they were prescribed hemodialysis with Tablo four times per week. The primary efficacy endpoint was achievement of a weekly standard Kt/Vurea greater than or equal to 2.1 for participants during the treatment period. The primary safety endpoint was the number of adverse events observed during a dialysis interval. The secondary efficacy endpoints were the achieved ultrafiltration (UF) volume and rate relative to the prescribed UF volume and rate.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Successful delivery of UF was defined as having achieved an UF rate within 10% of the prescribed value during each treatment period.</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IDE study achieved the primary endpoint and all secondary efficacy and safety endpoints for patients treated in-center and in-home using the Tablo System. The primary efficacy endpoint for the intention-to-treat cohort was achieved in 199/200 (99.5%) of measurements during the in-center period and in 168/171 (98.3%) of measurements during the in-home period. The average weekly standard Kt/Vurea was 2.8 in both periods, the compliance to the protocol treatment schedule was over 95%, achieved UF was within 10% of target in 94% of treatments, and the median time to resolution of alarms was eight seconds in-center and five seconds in-home. Two pre-specified adverse events occurred during the in-center period and six occurred in the in-home period. None of the adverse events were deemed by investigators to be related to Tablo.</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study demonstrates that Tablo can successfully be learned and used in the home in a diverse cohort of patients, including by older patients and patients with considerable comorbidities. In the IDE study, patients demonstrated the ability to achieve proficiency on Tablo (i.e., an ability to perform all set-up steps) within four training sessions. The modest duration of the transition period also confirms and extends previously published human factors studies wherein nurses and patients could learn how to use Tablo, and independently, accurately, and rapidly set up the system. We considered the rapid resolution of alarms in the clinic by staff and in the home by patients or their care partners to be a good indicator of the ease of use of the system. These data confirm and substantially extend previously published results, highlighting Tablo as a novel hemodialysis system with the potential to expand the usage of in-center self-care and home-based hemodialysis.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i w:val="1"/>
          <w:iCs w:val="1"/>
          <w:color w:val="auto"/>
        </w:rPr>
        <w:t>Tablo achieved all primary and secondary efficacy and safety endpoints both in-center and in-home.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In-Center</w:t>
            </w:r>
          </w:p>
        </w:tc>
        <w:tc>
          <w:tcPr>
            <w:tcW w:w="3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In-Home</w:t>
            </w: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Primary Efficacy Endpoint</w:t>
            </w:r>
          </w:p>
        </w:tc>
        <w:tc>
          <w:tcPr>
            <w:tcW w:w="14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99.5%</w:t>
            </w:r>
          </w:p>
        </w:tc>
        <w:tc>
          <w:tcPr>
            <w:tcW w:w="2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Weekly Standard Kt/Vurea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26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tcPr>
          <w:p>
            <w:pPr>
              <w:spacing w:after="0"/>
              <w:rPr>
                <w:sz w:val="19"/>
                <w:szCs w:val="19"/>
                <w:color w:val="auto"/>
              </w:rPr>
            </w:pPr>
          </w:p>
        </w:tc>
      </w:tr>
      <w:tr>
        <w:trPr>
          <w:trHeight w:val="211"/>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Compliance to Protocol Treatment</w:t>
            </w:r>
          </w:p>
        </w:tc>
        <w:tc>
          <w:tcPr>
            <w:tcW w:w="3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3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Schedule</w:t>
            </w:r>
          </w:p>
        </w:tc>
        <w:tc>
          <w:tcPr>
            <w:tcW w:w="3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&gt;95%</w:t>
            </w:r>
          </w:p>
        </w:tc>
        <w:tc>
          <w:tcPr>
            <w:tcW w:w="260" w:type="dxa"/>
            <w:vAlign w:val="bottom"/>
            <w:shd w:val="clear" w:color="auto" w:fill="CFF0FC"/>
          </w:tcPr>
          <w:p>
            <w:pPr>
              <w:spacing w:after="0"/>
              <w:rPr>
                <w:sz w:val="20"/>
                <w:szCs w:val="20"/>
                <w:color w:val="auto"/>
              </w:rPr>
            </w:pPr>
          </w:p>
        </w:tc>
        <w:tc>
          <w:tcPr>
            <w:tcW w:w="3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&gt;95%</w:t>
            </w:r>
          </w:p>
        </w:tc>
        <w:tc>
          <w:tcPr>
            <w:tcW w:w="120" w:type="dxa"/>
            <w:vAlign w:val="bottom"/>
            <w:shd w:val="clear" w:color="auto" w:fill="CFF0FC"/>
          </w:tcPr>
          <w:p>
            <w:pPr>
              <w:spacing w:after="0"/>
              <w:rPr>
                <w:sz w:val="20"/>
                <w:szCs w:val="20"/>
                <w:color w:val="auto"/>
              </w:rPr>
            </w:pPr>
          </w:p>
        </w:tc>
      </w:tr>
      <w:tr>
        <w:trPr>
          <w:trHeight w:val="22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Achieved UF</w:t>
            </w: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Within 10% of target in 94% of treatments</w:t>
            </w: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Within 10% of target in 94% of treatments</w:t>
            </w:r>
          </w:p>
        </w:tc>
      </w:tr>
      <w:tr>
        <w:trPr>
          <w:trHeight w:val="229"/>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Median Time to Resolution of Alarms</w:t>
            </w:r>
          </w:p>
        </w:tc>
        <w:tc>
          <w:tcPr>
            <w:tcW w:w="38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9"/>
              </w:rPr>
              <w:t>8 seconds</w:t>
            </w:r>
          </w:p>
        </w:tc>
        <w:tc>
          <w:tcPr>
            <w:tcW w:w="36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seconds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Preferred by Previous Home Patients in the IDE</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conducted a study to assess actual patient experiences with our solution and demonstrated that patients could quickly set up Tablo for in-center self-care hemodialysis. The study was designed to measure the time required for patients to set up the disposable components of the system that are required to initiate treatment. We also recorded the type, frequency, and time required for the user to clear any alarms. The study included 50 participants using Tablo who were treated across four dialysis units, with a total of 733 dialysis treatments monitored for the type and frequency of potential alarms. The study resulted in 18/20 (90%) of patients able to set up the disposables needed to initiate therapy in less than 5 minutes.</w:t>
      </w:r>
    </w:p>
    <w:p>
      <w:pPr>
        <w:spacing w:after="0" w:line="18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believe that Tablo’s patient centric design and intuitive user interface make it a preferred solution for home hemodialysis relative to traditional machines. In order to assess patient device preferences for home hemodialysis, we surveyed 13 patients participating in our home IDE trial who had previously undertaken home hemodialysis using non-Tablo dialysis machines. The patients were surveyed every week during the 8-week home period about their device preferences based on 10 distinct aspects of treatment and overall ease of use. Per the survey results, 100% of the patients preferred Tablo’s touchscreen interface compared to their previous home device and 86% of patients found Tablo easier to use. As shown in the figure below, the majority of participants preferred Tablo across each dimension measured.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Patient preference results – Tablo vs prior home system (n=13).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172720</wp:posOffset>
            </wp:positionV>
            <wp:extent cx="4157345" cy="3642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734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Home Hemodialysis with Tablo Improves Sleep Related Symptoms of ESRD</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Poor sleep quality is a common symptom among patients with ESRD. We evaluated a subset of patients enrolled in our IDE trial to evaluate the sleep quality of patients using Tablo for dialysis treatment four times per week. Sleep quality was measured via a weekly questionnaire during the trial to determine how many days per week participants experienced difficulty falling asleep, staying asleep, or trouble feeling rested. Thirteen patients who previously received in-home hemodialysis (PIH) and 15 patients who previously received in-center dialysis treatment (PIC) completed all phases of the trial, and 98.7% (221/224) of all weekly surveys were completed. As outlined in the figure below, a lower percentage of study participants receiving dialysis treatment on Tablo, four times per week for approximately 21 weeks, reported incidence of sleep-related problems compared to the percentage of participants at baseline.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 lower percentage of study participants on Tablo reported incidence of sleep-related problems as compared to baseline</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Sleep Question</w:t>
            </w:r>
          </w:p>
        </w:tc>
        <w:tc>
          <w:tcPr>
            <w:tcW w:w="24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Baseline (%)</w:t>
            </w:r>
          </w:p>
        </w:tc>
        <w:tc>
          <w:tcPr>
            <w:tcW w:w="23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In-Home (%)</w:t>
            </w:r>
          </w:p>
        </w:tc>
      </w:tr>
      <w:tr>
        <w:trPr>
          <w:trHeight w:val="223"/>
        </w:trPr>
        <w:tc>
          <w:tcPr>
            <w:tcW w:w="5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PIH (N=13)</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PIC (N=15)</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PIH (N=13)</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PIC (N=15)</w:t>
            </w:r>
          </w:p>
        </w:tc>
        <w:tc>
          <w:tcPr>
            <w:tcW w:w="100" w:type="dxa"/>
            <w:vAlign w:val="bottom"/>
          </w:tcPr>
          <w:p>
            <w:pPr>
              <w:spacing w:after="0"/>
              <w:rPr>
                <w:sz w:val="19"/>
                <w:szCs w:val="19"/>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Have trouble falling asleep</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Wake up several times during the night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Have trouble staying asleep</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9"/>
                <w:szCs w:val="19"/>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Wake up feeling tired and worn out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Patients Experience Fewer Symptoms Dialyzing on Tablo In-Center</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conducted a multi-center study to evaluate early patient experiences using Tablo compared to traditional hemodialysis devices. Patients on traditional in-center hemodialysis often experience a range of symptoms and disturbances during, immediately following, and between dialysis sessions. We surveyed 33 patients at three different dialysis units for a total of 152 dialysis treatments. The surveyed patient population ranged in age from 28-80 years and had been on dialysis for eight months to over 20 years. 47% of the patients experienced fewer headaches and 61% reported less cramping during dialysis using Tablo. During treatment with Tablo and compared to other dialysis machines, 78% of patients reported fewer alarms and 48% of patients felt more relaxed. 87% of surveyed participants also noted that Tablo was quieter than traditional machines.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Patient survey rendered favorable clinical experience with Tablo (n=33)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172720</wp:posOffset>
            </wp:positionV>
            <wp:extent cx="4320540" cy="2511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205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believe when patients don’t feel well during treatment, they are less likely to complete all their treatments. In a retrospective observational study, hemodialysis patients missed approximately 10% of their treatments. A single missed treatment was associated with a two-fold greater risk of death in the subsequent 30 days.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Provider Experience with Tablo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Demonstrated Comparable Performance to Traditional Dialysis Systems in the Acute Setting</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 retrospective study of dialysis patients conducted at St Francis Medical Center in Lynwood, California, we demonstrated that Tablo yielded similar clinical results for patients when compared to a traditional dialysis system in an acute care setting. Over 13 months, 105 of 289 patients dialyzed on Tablo were also treated on a Fresenius 2008T (FMC-T) machine during their hospitalization. In those 105 patients, the average treatment time on both devices was 3.3 hours per treatment, for 363 total treatments (172 treatments on Tablo and 191 treatments on FMC-T). As shown in the figure below, with equivalent treatment times and dialyzers, results were similar one day after treatment for both potassium (K) and blood urea nitrogen (BUN) on Tablo at dialysate flow rates (Qd) of 300mL/min compared to a traditional device at Qd of 500mL/min or greater.</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the acute care setting, Tablo yielded similar results to traditional systems.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0"/>
        </w:trPr>
        <w:tc>
          <w:tcPr>
            <w:tcW w:w="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Treatments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Treatments</w:t>
            </w:r>
          </w:p>
        </w:tc>
      </w:tr>
      <w:tr>
        <w:trPr>
          <w:trHeight w:val="216"/>
        </w:trPr>
        <w:tc>
          <w:tcPr>
            <w:tcW w:w="9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 Tablo</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 FMC-T</w:t>
            </w:r>
          </w:p>
        </w:tc>
      </w:tr>
      <w:tr>
        <w:trPr>
          <w:trHeight w:val="238"/>
        </w:trPr>
        <w:tc>
          <w:tcPr>
            <w:tcW w:w="61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(n=172)</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(n=191)</w:t>
            </w:r>
          </w:p>
        </w:tc>
      </w:tr>
      <w:tr>
        <w:trPr>
          <w:trHeight w:val="223"/>
        </w:trPr>
        <w:tc>
          <w:tcPr>
            <w:tcW w:w="94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Treatment Time (hrs)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K(mEq/L)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94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Day of Avg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9"/>
                <w:szCs w:val="19"/>
                <w:color w:val="auto"/>
              </w:rPr>
            </w:pPr>
          </w:p>
        </w:tc>
      </w:tr>
      <w:tr>
        <w:trPr>
          <w:trHeight w:val="229"/>
        </w:trPr>
        <w:tc>
          <w:tcPr>
            <w:tcW w:w="94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Next Day Avg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Pre-K = 5.5</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94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BUN (mg/dL)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94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Day of Avg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9"/>
                <w:szCs w:val="19"/>
                <w:color w:val="auto"/>
              </w:rPr>
            </w:pPr>
          </w:p>
        </w:tc>
      </w:tr>
      <w:tr>
        <w:trPr>
          <w:trHeight w:val="234"/>
        </w:trPr>
        <w:tc>
          <w:tcPr>
            <w:tcW w:w="940" w:type="dxa"/>
            <w:vAlign w:val="bottom"/>
          </w:tcPr>
          <w:p>
            <w:pPr>
              <w:spacing w:after="0"/>
              <w:rPr>
                <w:sz w:val="20"/>
                <w:szCs w:val="20"/>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Next Day Avg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is Easy for Providers to Learn and Use</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have demonstrated that users have found Tablo easier to use than a traditional dialysis machine and that Tablo’s design allows users to be quickly trained, reaching competency after only a few training sessions. We believe that Tablo’s simplicity enables users to quickly and easily master preparation and treatment management, leading to high satisfaction and device preference.</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 study conducted at Baylor, the majority of nurses and medical technicians found Tablo easy to use and most nurses felt comfortable providing treatment with the system after a short training session. Nurses were also satisfied with Tablo as a treatment option and several participants reported that the Tablo console was easy to transport and took up less space in an ICU room as compared with conventional systems. Nursing satisfaction was assessed by a Likert scale questionnaire. Most nurses felt comfortable providing treatment with Tablo after a short training session (average score 4.9/5) and nurses were also satisfied with Tablo as a treatment option (average score 4.9/5).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Achieves Urea Clearance Levels Comparable to Traditional Machines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conducted a study at two dialysis clinics and demonstrated that patients on Tablo achieved a urea clearance rate comparable to therapy using alternative dialysis machines. In the study, Kt/Vurea was measured in 29 patients dialyzed three times weekly using Tablo. 280 Kt/Vurea assessments were recorded, including 192 on Tablo and 88 on non-Tablo machines. As shown in the figure below, patients on Tablo achieved Kt/Vurea targets at a comparable rate as non-Tablo machines.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2" w:name="page23"/>
    <w:bookmarkEnd w:id="22"/>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Percentages of treatments reaching the target Kt/Vurea (&gt;=1.2) on Tablo and non-Tablo systems. Average treatment times are also shown.</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of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173990</wp:posOffset>
            </wp:positionV>
            <wp:extent cx="4294505" cy="257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9450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the in-patient setting under Medicare, dialysis and UF are not directly reimbursed, but rather are paid for out of the in-patient Medicare Severity Diagnosis Related Group (MS-DRG) for a patient’s admission. In most cases, AKI or fluid overload requiring dialysis or ultrafiltration will increase the severity of the underlying diagnosis, and therefore could result in higher reimbursement than those cases without dialysis. Given dialysis is a “fixed cost” for providers within the MS-DRG, we believe that there is significant motivation for providers to attempt to reduce costs associated with dialysis in order to improve overall service line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Outpatient Dialysis Clinic and Home</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the clinic and home setting, the largest payor of dialysis services is Medicare, and Medicare requires all dialysis patients to be under the care of a dialysis clinic provider, whether they are in the clinic or in the home. We sell Tablo to the dialysis providers, who in turn provide equipment and services to the patient and bill Medicare.</w:t>
      </w:r>
    </w:p>
    <w:p>
      <w:pPr>
        <w:spacing w:after="0" w:line="174" w:lineRule="exact"/>
        <w:rPr>
          <w:sz w:val="20"/>
          <w:szCs w:val="20"/>
          <w:color w:val="auto"/>
        </w:rPr>
      </w:pPr>
    </w:p>
    <w:p>
      <w:pPr>
        <w:ind w:right="2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Medicare. </w:t>
      </w:r>
      <w:r>
        <w:rPr>
          <w:rFonts w:ascii="Times New Roman" w:cs="Times New Roman" w:eastAsia="Times New Roman" w:hAnsi="Times New Roman"/>
          <w:sz w:val="18"/>
          <w:szCs w:val="18"/>
          <w:color w:val="auto"/>
        </w:rPr>
        <w:t>While Medicare generally only provides coverage for people over 65, in the case of ESRD eligibility is not limited by age,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ESRD patients without alternative coverage become eligible for Medicare after a three-month waiting period (unless they are training for self-care, in which case they become eligible for Medicare Day 1).</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Medicare reimburses providers for dialysis services through a bundled rate per treatment that is intended to cover the cost of the machines and treatment supplies, labs, drugs, and labor. This base payment rate is adjusted up or down for each patient based on factors such as age, co- morbidities and clinic locations. The current base payment rate for calendar year 2021 is $253.13. Medicare rules limit the number of hemodialysis treatments paid for by Medicare to three a week, unless there is medical justification for the additional treatments. The determination of medical justification must be made at the local Medicare contractor level on a case-by-case basis. Providers are able to obtain incremental reimbursement for training patients for self-care, whether that be in the clinic or in a patient’s home. Finally, in addition to the bundled rate, 2% of a provider’s total reimbursement is at risk as part of the Quality Incentive Program. This program evaluates providers across the range of clinical, safety and patient reported outcomes.</w:t>
      </w:r>
    </w:p>
    <w:p>
      <w:pPr>
        <w:spacing w:after="0" w:line="187" w:lineRule="exact"/>
        <w:rPr>
          <w:sz w:val="20"/>
          <w:szCs w:val="20"/>
          <w:color w:val="auto"/>
        </w:rPr>
      </w:pPr>
    </w:p>
    <w:p>
      <w:pPr>
        <w:jc w:val="both"/>
        <w:ind w:right="3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Medicaid</w:t>
      </w:r>
      <w:r>
        <w:rPr>
          <w:rFonts w:ascii="Times New Roman" w:cs="Times New Roman" w:eastAsia="Times New Roman" w:hAnsi="Times New Roman"/>
          <w:sz w:val="18"/>
          <w:szCs w:val="18"/>
          <w:color w:val="auto"/>
        </w:rPr>
        <w:t>. Medicaid is a state level program designed to support individuals falling under a certain income and asset level and who are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uninsured. In most cases, Medicaid serves as the secondary payor for services not covered by Medicare. The specific level of this coverage, including patient co-pay amounts, varies state by state.</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1" w:right="439" w:bottom="1440" w:gutter="0" w:footer="0" w:header="0"/>
        </w:sectPr>
      </w:pPr>
    </w:p>
    <w:bookmarkStart w:id="23" w:name="page24"/>
    <w:bookmarkEnd w:id="23"/>
    <w:p>
      <w:pPr>
        <w:jc w:val="both"/>
        <w:ind w:right="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Private Insurance. </w:t>
      </w:r>
      <w:r>
        <w:rPr>
          <w:rFonts w:ascii="Times New Roman" w:cs="Times New Roman" w:eastAsia="Times New Roman" w:hAnsi="Times New Roman"/>
          <w:sz w:val="18"/>
          <w:szCs w:val="18"/>
          <w:color w:val="auto"/>
        </w:rPr>
        <w:t>Patients with employer group health insurance will typically remain with their commercial insurance coverage as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payor for a period of 30 months and with Medicare as the secondary payor. After 30 months, patients will typically move to Medicare as the primary payor and their private insurance as the secondary payor. Private insurance typically reimburses providers at a rate significantly higher than Medicare.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749"/>
        <w:spacing w:after="0" w:line="312" w:lineRule="auto"/>
        <w:rPr>
          <w:sz w:val="20"/>
          <w:szCs w:val="20"/>
          <w:color w:val="auto"/>
        </w:rPr>
      </w:pPr>
      <w:r>
        <w:rPr>
          <w:rFonts w:ascii="Times New Roman" w:cs="Times New Roman" w:eastAsia="Times New Roman" w:hAnsi="Times New Roman"/>
          <w:sz w:val="17"/>
          <w:szCs w:val="17"/>
          <w:color w:val="auto"/>
        </w:rPr>
        <w:t>We invest in research and development efforts that advance our Tablo system with the goal to expand and improve upon our existing product and solutions. Our research and development expenses totaled $28.9 million and $23.3 million for the years ended December 31, 2020 and 2019, respectively.</w:t>
      </w:r>
    </w:p>
    <w:p>
      <w:pPr>
        <w:spacing w:after="0" w:line="140"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Our research and development team includes hardware and software engineers with deep expertise in mechanical and electrical engineering, fluidics, embedded software design, and cloud-based data and security architecture. Their collective efforts are applied to three key areas: (1) sustaining engineering and cost reduction initiatives that continually improve device performance and lower our cost of revenues, (2) expansion of the Tablo data ecosystem to extend economic, operational and clinical benefits to our customers, and (3) advancing our innovation pipeline, which is directed toward broadening Tablo’s value in the home environment for patients and providers and leveraging core elements of the Tablo platform more broadly within dialysis. We intend to continue investing significant resources to maintain and strengthen our technological competitive advantage to deliver a steady stream of inventive solutions that provide clinical and operational simplicity, versatility and insights.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recently received FDA 510(k) clearance for use in acute and/or chronic settings. Of these competitors, Fresenius is the largest, and is vertically integrated, both manufacturing dialysis products and operating dialysis clinics along with providing inpatient dialysis services to hospitals and health systems. Additionally, companies with dialysis machine development programs include Medtronic and CVS. With the exception of Quanta,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demonstrate the value of Tablo, maintain and improve product quality and feature functionality, build the infrastructure to support the operating needs of the business and achieve cost reductions.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While historically customers in this market have focused on machine functionality and price, we believe they are increasingly focused on the total cost of patient care, which favors technology that can provide clinical versatility and improve operational efficiency. In the acute care setting, our competitors are Fresenius, Baxter and B. Braun. We compete primarily on the basis that Tablo is designed to drive operational efficiency through ease of use and cost reduction by reducing infrastructure and supplies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Care</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We believe competition in the home setting will be based on a system’s clinical performance, its cost efficiency, its ease of use and patient preference. In the home hemodialysis setting, competitors include Fresenius (through its acquisition of NxStage). We believe through Tablo’s unique advantages it will be easier and faster for patients to learn, and simpler for patients to operate at home, which may position us well against existing competitors. We believe these factors will reduce patient burn-out, thereby extending patient retention, increasing home hemodialysis growth and improving associated margin for providers. We do not consider PD to be competitive given the differences in treatment modality, that PD is clinically limited due to patients with certain pre-existing conditions such as congestive heart failure and obesity and that PD is regarded as a “temporary” modality since approximately 80% of patients are on the therapy for less than three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proprietary technology and intellectual property rights. We rely on a combination of federal, state, common law and international rights, as well as contractual restrictions, to protect our intellectual property.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4" w:name="page25"/>
    <w:bookmarkEnd w:id="24"/>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We have also licensed patents from Oregon State University (OSU) for exclusive use in our field, as detailed further below. Our intellectual property includes specific algorithms for the Tablo console, including those related to pressure sensors, blood leakage and pump control loops.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2020, we had seven issued U.S. patents, as well as six pending U.S. patent applications. We had an aggregate of 16 issued patents in Australia, Canada, China, France, Germany, Hong Kong, Japan, Spain and the United Kingdom, as well as six pending patent applications in Japan, the European Patent Office and under the Patent Cooperation Treaty. We have exclusive licenses from OSU to 12 U.S. patents, nine of which we co-own with OSU, and 22 foreign patents, all of which we co-own with OSU.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patents expire between October 2025 and July 2038.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or might issue in the future will protect our current or future products, provide us with any competitive advantage or will not be challenged, invalidated, or circumvented.</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 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w:t>
      </w:r>
    </w:p>
    <w:p>
      <w:pPr>
        <w:spacing w:after="0" w:line="18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is no active patent litigation involving any of our patents, and we have not received any notices claiming that our activities infringe a third party’s patent.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Chain and Logistics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direct the manufacturing and supporting supply chain, distribution and logistics for the Tablo console, the Tablo cartridge and other consumables (electrolyte concentrates and connecting straws that help transport the concentrates into Tablo to enable on-demand dialysate production). We partner with several different contract manufacturers in the assembly and testing of our products and operate under a Quality Management System that has been certified to ISO 13485 Medical Device Quality Management System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Console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Until recently, we exclusively relied on our contract manufacturing partner, Paramit Corporation (Paramit), based in Morgan Hill, California, for the production of the Tablo console. Tablo consoles manufactured by Paramit at their facility in Morgan Hill, California undergo extensive in-process and integrated system testing protocols designed by us. Consoles are then transported to our headquarters in San Jose, California, where our test engineers perform final testing, and then direct-ship the consoles to our customers. We use a network of short-haul and long-haul freight forwarders optimized for time and cost efficiency.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order to help ensure a high level of console production capacity through rapid scale, and to help lower our costs, we recently established a console manufacturing facility in Tijuana, Mexico and have begun manufacturing at this facility in the first quarter of 2021. We are operating in Mexico in collaboration with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the same integrated system testing protocols designed by us, and then direct-shipped to our distribution centers, using a network of short-haul and long-haul freight forwarders optimized for time and cost efficiency. We terminated our contract with Paramit with an expectation that Paramit may serve as a second-source contract manufacturer for our consoles in the future.</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number of suppliers feeding into Tablo console production is in excess of 250 worldwide. We consider approximately 9% of these suppliers, located in the United States, Europe and China, as critical providers of components such as pumps, motors, valves and PCBA boards. We are undertaking a second source qualification process for the majority of these critical components. Where second sourcing is unavailable or infeasible, we have sought to mitigate supply interruption risks with increased levels of safety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Tablo Cartridge</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Currently, the Tablo cartridge is manufactured by Infus Medical Co. Ltd. (Infus), a contract manufacturer with two facilities in Thailand that produces dialysis supplies for a number of leading global companies. As part of our arrangement, we direct the oversight of the raw materials sourcing, selection and planning while Infus takes receipt of the Tablo cartridge components, and performs assembly, testing and Ethylene Oxide sterilization before shipment. The various components for the Tablo cartridge are manufactured by approximately 50 different suppliers located in various countries including Singapore, Italy and the United States, some of which are single-source suppliers. The Tablo cartridges are shipped primarily via ocean freight, though in times of peak demand, we may ship by air freight. Our team inspects the product before releasing it for shipment.</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are also establishing a second source manufacturing site in Tijuana, Mexico in partnership with Providien Medical (Providien). Providien, part of Carlisle Companies Incorporated, offers expertise in high volume disposable assembly services. Through enhanced product design, high capacity tooling and simplified freight and logistics, we expect this site will be able to produce cartridges at a lower cost, increase our supply capacity and mitigate against global supply chain interruption. We submitted a 510(k) clearance application to the FDA for Tablo cartridges manufactured at this new facility in March 2021.</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Tablo cartridge, each treatment requires a concentrated container of bicarbonate and a concentrated container of acid, and two small plastic straws that draw the appropriate amount of the concentrates into the Tablo console in order to produce dialysate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Food and Drug Administration</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Our currently marketed product is a Class II device subject to 510(k) clearance.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current products are subject to premarket notification and clearance under section 510(k) of the FDCA. 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8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intends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7" w:name="page28"/>
    <w:bookmarkEnd w:id="27"/>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May 2019, the FDA solicited public feedback on its plans to develop proposals to drive manufacturers utilizing the 510(k) pathway toward the use of newer predicates, including whether the FDA should publish a list of devices that have been cleared on the basis of demonstrated substantial equivalence to predicate devices that are more than 10 years old.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September 2019, the FDA finalized guidance to establish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obviating the need for manufacturers to compare the safety and performance of their medical devices to specific predicate devices in the clearance process. The FDA intends to maintain a list of device types appropriate for the “safety and performance based pathway” and develop product-specific guidance documents that identify the performance criteria for each such device type, as well as the testing methods recommended in the guidance documents, where feasible.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PMA Approval Pathway</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w:t>
      </w:r>
    </w:p>
    <w:p>
      <w:pPr>
        <w:spacing w:after="0" w:line="192" w:lineRule="exact"/>
        <w:rPr>
          <w:sz w:val="20"/>
          <w:szCs w:val="20"/>
          <w:color w:val="auto"/>
        </w:rPr>
      </w:pPr>
    </w:p>
    <w:p>
      <w:pPr>
        <w:ind w:right="120" w:firstLine="749"/>
        <w:spacing w:after="0" w:line="272" w:lineRule="auto"/>
        <w:rPr>
          <w:sz w:val="20"/>
          <w:szCs w:val="20"/>
          <w:color w:val="auto"/>
        </w:rPr>
      </w:pPr>
      <w:r>
        <w:rPr>
          <w:rFonts w:ascii="Times New Roman" w:cs="Times New Roman" w:eastAsia="Times New Roman" w:hAnsi="Times New Roman"/>
          <w:sz w:val="17"/>
          <w:szCs w:val="17"/>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among other things, restrictions on labeling, promotion, sale and distribution, and collection of long-term follow-up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7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120"/>
        <w:spacing w:after="0" w:line="255" w:lineRule="auto"/>
        <w:rPr>
          <w:sz w:val="20"/>
          <w:szCs w:val="20"/>
          <w:color w:val="auto"/>
        </w:rPr>
      </w:pPr>
      <w:r>
        <w:rPr>
          <w:rFonts w:ascii="Times New Roman" w:cs="Times New Roman" w:eastAsia="Times New Roman" w:hAnsi="Times New Roman"/>
          <w:sz w:val="18"/>
          <w:szCs w:val="18"/>
          <w:color w:val="auto"/>
        </w:rPr>
        <w:t>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4"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225" w:lineRule="exact"/>
        <w:rPr>
          <w:sz w:val="20"/>
          <w:szCs w:val="20"/>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25" w:lineRule="exact"/>
        <w:rPr>
          <w:rFonts w:ascii="Times New Roman" w:cs="Times New Roman" w:eastAsia="Times New Roman" w:hAnsi="Times New Roman"/>
          <w:sz w:val="18"/>
          <w:szCs w:val="18"/>
          <w:color w:val="auto"/>
        </w:rPr>
      </w:pPr>
    </w:p>
    <w:p>
      <w:pPr>
        <w:ind w:left="1120" w:right="820" w:hanging="370"/>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1"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225" w:lineRule="exact"/>
        <w:rPr>
          <w:rFonts w:ascii="Times New Roman" w:cs="Times New Roman" w:eastAsia="Times New Roman" w:hAnsi="Times New Roman"/>
          <w:sz w:val="18"/>
          <w:szCs w:val="18"/>
          <w:color w:val="auto"/>
        </w:rPr>
      </w:pPr>
    </w:p>
    <w:p>
      <w:pPr>
        <w:ind w:left="1120" w:right="60" w:hanging="370"/>
        <w:spacing w:after="0" w:line="312" w:lineRule="auto"/>
        <w:tabs>
          <w:tab w:leader="none" w:pos="1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39" w:lineRule="exact"/>
        <w:rPr>
          <w:rFonts w:ascii="Times New Roman" w:cs="Times New Roman" w:eastAsia="Times New Roman" w:hAnsi="Times New Roman"/>
          <w:sz w:val="17"/>
          <w:szCs w:val="17"/>
          <w:color w:val="auto"/>
        </w:rPr>
      </w:pPr>
    </w:p>
    <w:p>
      <w:pPr>
        <w:ind w:left="1120" w:right="220" w:hanging="370"/>
        <w:spacing w:after="0" w:line="266"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5" w:lineRule="exact"/>
        <w:rPr>
          <w:rFonts w:ascii="Times New Roman" w:cs="Times New Roman" w:eastAsia="Times New Roman" w:hAnsi="Times New Roman"/>
          <w:sz w:val="18"/>
          <w:szCs w:val="18"/>
          <w:color w:val="auto"/>
        </w:rPr>
      </w:pPr>
    </w:p>
    <w:p>
      <w:pPr>
        <w:ind w:left="1120" w:right="40" w:hanging="370"/>
        <w:spacing w:after="0" w:line="266"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ind w:left="1120" w:right="340" w:hanging="370"/>
        <w:spacing w:after="0" w:line="282"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61"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62" w:lineRule="exact"/>
        <w:rPr>
          <w:sz w:val="20"/>
          <w:szCs w:val="20"/>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refunds, recall, detention or seizure of our products;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regulatory approvals or clearances of new products or modified products;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a PMA that has already been granted;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FDA Regulatory Status</w:t>
      </w:r>
    </w:p>
    <w:p>
      <w:pPr>
        <w:spacing w:after="0" w:line="229"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We currently have regulatory clearances required to market the Tablo Hemodialysis System in the U.S. for use in patients with acute and/or chronic renal failure, with or without ultrafiltration, in an acute or chronic care facility. The Tablo Hemodialysis System is also indicated for use in the home and observed by a trained individual. The Tablo Hemodialysis System is not cleared by the FDA for Continuous Renal Replacement Therapy (CRRT), a subtype of hemodialysis intended to be performed over a 24-hour period at lower flow and ultrafiltration rates designed for hemodynamically unstable patients who require significant fluid removal. Treatments must be administered under a physician’s prescription and observed by a trained individual who is considered competent in the use of the device. The FDA’s authorizations for the Tablo System and Tablo Cartridge have thus far been granted as 510(k) clearances.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While the Tablo Hemodialysis System is indicated for use in the home, the FDA notified us that the Tablo System is subject to a mandatory post-market surveillance order under Section 522 of FDCA. The FDA has required that we conduct a human factors study, as well as conduct a detailed analysis of adverse events and complaints from home users. In response to the 522 order, we submitted a simulated human factors test protocol to the agency which leveraged testing from our validation study that was initiated in 2019. In late 2020, the FDA requested additional information and notified us that we will need to conduct a new human factors study encompassing both summative and real-world data to meet the requirements of the 522 Order. We responded to the FDA’s requests for additional information in January 2021 and in March 2021, the FDA approved our 522 study protocol. We will conduct the study in accordance with the FDA approved protocol. Once we are able to complete our study, a final report will be provided to the FDA. Should the FDA decide that use of the Tablo System in the home environment identifies new concerns related to the safety and effectiveness of the product, or if the FDA determines that the requirements of the 522 order are otherwise unmet, we may be required to make changes to our Tablo System for which we may need to submit new marketing authorization applications and obtain clearance.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continue to seek opportunities for product improvements and feature enhancements, which will, from time to time, require FDA clearance or approval before commercial launch.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Certain U.S. federal healthcare fraud and abuse laws apply by virtue of the fact that our customers will submit claims for our products and services that are reimbursed, in whole or in part, by Medicare, Medicaid, or other federal healthcare programs (as that term is defined at 42 U.S.C. § 1320a-7b(f)). The principal federal fraud and abuse laws that apply in these circumstances are discussed below.</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U.S. federal Anti-Kickback Statute is a broad criminal statute that, among other things, prohibits the knowing and willful offer, solicitation, receipt, or payment of any remuneration, directly or indirectly, overtly or covertly, in cash or in kind, for the purpose of inducing or rewarding the order, purchase, use or recommendation of items or services that may be paid for, or reimbursed by, in whole or in part, a federal healthcare program, such as Medicare or Medicaid. This includes products, like Tablo, that are not directly reimbursed but are purchased and used in a service paid for by such programs. Further, the term “remuneration” has been broadly interpreted to include anything of value. The Affordable Care Act healthcare reform legislation specified that any claims submitted as a result of a violation of the federal Anti-Kickback Statute constitute false claims and are subject to enforcement under the federal False Claims Act, which is discussed in more detail below. Government officials have focused recent federal Anti-Kickback Statute enforcement efforts on, among other things, the sales and marketing activities of medical device manufacturers and other healthcare companies, and recently have brought cases against individuals or entities who allegedly offered unlawful inducements to potential or existing customers in an attempt to procure their business. Judgments and settlements of these cases by healthcare companies have involved significant fines and, in some instances, criminal pleas and convictions. Conviction under the federal Anti-Kickback Statue results in mandatory exclusion from participation in the federal healthcare programs, meaning an entity cannot receive reimbursement from federal healthcare programs or contract with anyone who receives reimbursement from federal healthcare programs. Violators are subject to, among other things, imprisonment and significant criminal fines for each violation under the Anti-Kickback Statute, plus up to three times the remuneration involved and other civil penalties under the False Claims Act, as discussed in more detail below.</w:t>
      </w:r>
    </w:p>
    <w:p>
      <w:pPr>
        <w:spacing w:after="0" w:line="19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Given the breadth of the federal Anti-Kickback Statute, and to allow innocuous or beneficial arrangements that may be otherwise prohibited by the law, there are statutory exceptions and regulatory safe harbors that protect certain arrangements from liability under the law when all elements of an applicable exception or safe harbor are met. Given that the Anti-Kickback Statute is an intent-based law, the failure of a transaction or arrangement to fit precisely within an exception or safe harbor does not necessarily mean that it is illegal or that prosecution will be pursued. However, these exceptions and safe harbors are narrowly drawn. Congress granted statutory authority to the Department of Health and Human Services (HHS) Office of Inspector General (OIG), the agency tasked with enforcing the federal Anti-Kickback Statute, to establish new safe harbors and modify existing safe harbors based on changing business practices in the healthcare industry. Most recently, on December 2, 2020, the OIG published a final rule creating several new safe harbors and modifying certain existing safe harbors to promote certain value-based and coordinated care arrangements and to reduce regulatory burden, which became effective on January 19, 2021, although many of the new safe harbors for value-based arrangements do not extend to device manufacturers.</w:t>
      </w:r>
    </w:p>
    <w:p>
      <w:pPr>
        <w:spacing w:after="0" w:line="18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Conduct and business arrangements that do not fully satisfy all elements of an applicable exception or safe harbor may result in increased scrutiny by government enforcement authorities such as the OIG). If scrutinized, arrangements that implicate the federal Anti- Kickback Statute, and that do not fall within an exception or safe harbor, are analyzed by the OIG and other enforcement authorities on a case-by-case basis with review based on the totality of the facts and circumstances to assess whether a given arrangement involves the intent and conduct prohibited by the federal Anti-Kickback Statute.</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Another key federal healthcare law is the federal healthcare fraud statute, which was added by HIPAA. The federal healthcare fraud statute, broadly stated, prohibits defrauding or attempting to defraud “any healthcare benefit program,” including both private third-party payors and government healthcare programs.</w:t>
      </w:r>
    </w:p>
    <w:p>
      <w:pPr>
        <w:spacing w:after="0" w:line="17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Physician Payments Sunshine Act (Sunshine Act) was enacted by Congress in 2010 as part of the Affordable Care Act and was amended in 2018 by the Substance Use-Disorder Prevention that Promotes Opioid Recovery and Treatment for Patients and Communities Act. The Sunshine Act requires us to collect and report annually certain data on payments and other transfers of value we make to U.S.-licensed physicians, teaching hospitals, and, for reporting beginning January 1, 2022, U.S.-licensed physician assistants, nurse practitioners, clinical nurse specialists, certified nurse anesthetists, and certified nurse-midwives. Accordingly, we are required to track certain payments and other transfers of value made to these additional covered recipients during the 2021 calendar year. Manufacturers are also required to report ownership and investment interests held by the physicians described above and their immediate family members. The data are sent to CMS for public disclosure on the Open Payments website. Failure to timely report information in accordance with the Sunshine Act may result in significant financial penalties.</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healthcare program. Often, these laws closely follow the language of their federal law counterparts, although they do not always have the same exceptions or safe harbors. In some states, these anti-kickback laws apply with respect to all payors, including commercial health insurance companies.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healthcare professionals. Some of these laws, referred to as “aggregate spend” or “gift” laws, carry substantial fines if they are violated.</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Through our compliance efforts, we constantly strive to structure our business operations and relationships with our customers to comply with all applicable legal requirements.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Moreover, the standards of business conduct expected of healthcare companies under these laws and regulations have become more stringent in recent years, even in instances where there has been no change in statutory or regulatory language. If our operations are found to be in violation of any of these laws or any other governmental regulations that may apply to us, we may be subject to significant civil, criminal and administrative penalties, damages, fines, imprisonment, and/or exclusion from government 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and the Health Information Technology for Economic and Clinical Health Act (HITECH Act),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certain services for, or on behalf of, a covered entity that involve creating, receiving, maintaining or transmitting PHI.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2" w:name="page33"/>
    <w:bookmarkEnd w:id="32"/>
    <w:p>
      <w:pPr>
        <w:ind w:right="60"/>
        <w:spacing w:after="0" w:line="277" w:lineRule="auto"/>
        <w:rPr>
          <w:sz w:val="20"/>
          <w:szCs w:val="20"/>
          <w:color w:val="auto"/>
        </w:rPr>
      </w:pPr>
      <w:r>
        <w:rPr>
          <w:rFonts w:ascii="Times New Roman" w:cs="Times New Roman" w:eastAsia="Times New Roman" w:hAnsi="Times New Roman"/>
          <w:sz w:val="17"/>
          <w:szCs w:val="17"/>
          <w:color w:val="auto"/>
        </w:rPr>
        <w:t>monetary penalties and costly and burdensome corrective action plans. We are also required to report known breaches of PHI consistent with applicable breach reporting requirements set forth in applicable laws and regulations. Finally,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While a final rule has not yet been issued, if adopted, these proposed changes may require us to update our HIPAA policies and procedures to comply with the new requirements.</w:t>
      </w:r>
    </w:p>
    <w:p>
      <w:pPr>
        <w:spacing w:after="0" w:line="16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PHI and the CCPA’s implementation standards and enforcement practices are likely to remain uncertain for the foreseeable future, the CCPA may increase our compliance costs and potential liability. Additionally, a new California ballot initiative, the California Privacy Rights Act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been proposed in other states and at the federal level, and if passed, such laws may have potentially conflicting requirements that would make compliance challenging. Further, new health information standards, whether implemented pursuant to HIPAA, the HITECH Act,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spacing w:after="0" w:line="193"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any sensitive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As we expand our international operations, we may be required to expend significant time and resources to put in place additional mechanisms to ensure compliance with multiple robust and evolving data privacy laws as they become applicable to our business.</w:t>
      </w:r>
    </w:p>
    <w:p>
      <w:pPr>
        <w:spacing w:after="0" w:line="187"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17"/>
          <w:szCs w:val="17"/>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OCR, in partnership with the Healthcare and Public Health Sector Coordinating Council, issued cybersecurity guidelines for healthcare organizations that reflect consensus-based, voluntary practices to cost-effectively reduce cybersecurity risks for organizations of varying sizes. Although 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data protection laws and regulations could result in government enforcement actions (which could include civil and/or criminal penalties), private litigation and/or adverse publicity and could negatively affect our operating results and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in the Clinic and Home Settings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sell our Tablo to dialysis clinics. These clinics, in turn, are reimbursed by Medicare, Medicaid, private insurers, and other third-party payors. Most patients who require regular dialysis, that is, those with ESRD, have coverage through Medicare Part B, which, effective January 1, 2011, pays dialysis clinics through a prospective, or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adoption of Tablo, however, will depend on whether the cost of treatments involving Tablo (including the amortized cost of the Tablo console and other capital equipment) will continue to be adequately covered by the reimbursement that the dialysis clinics receive from these third-party payors.</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Under the ESRD Prospective Payment System (PPS), CMS generally makes a single bundled payment to the dialysis facility for each dialysis treatment that covers all renal dialysis services, which is broadly defined and includes home dialysis and most drugs. On November 9, 2020, CMS published the final rule for CY 2021, which increased the base reimbursement rate per dialysis treatment to $253.13, an increase of $13.80 over the CY 2020 base rate of $239.33.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potential customer’s decision to use the Tablo and limits the fees for which we can sell or rent the Tablo.</w:t>
      </w:r>
    </w:p>
    <w:p>
      <w:pPr>
        <w:spacing w:after="0" w:line="18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Additionally, 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The Tablo system can allow providers to prescribe as few as three home dialysis treatments per week. However, to the extent that providers continue to prescribe more than three home dialysis treatments per week and Medicare contractors determine they will not pay for such additional treatments, adoption of the Tablo system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the Tablo system and, if greater than three, the level of confidence the center has in the predictability of receiving reimbursement from Medicare for additional treatments per week based on submitted claims for medical justification.</w:t>
      </w:r>
    </w:p>
    <w:p>
      <w:pPr>
        <w:spacing w:after="0" w:line="18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Beginning January 1, 2021, more dialysis patients are expected to have coverage under a Medicare Advantage plan when changes from the 21st Century Cures Act go into effect. While Medicare Advantage plans must provide at least the same level of coverage for Medicare beneficiaries as traditional Medicare, reimbursement to dialysis facilities will depend on each Medicare Advantage plan’s contracts and network agreements with each dialysis facility. This reimbursement, and patient’s coverage for dialysis, could potentially be more favorable than Medicare Part B coverage and payment for dialysis services, but such details will vary by plan.</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November 9, 2020, CMS published a final rule to update payment policies and rates under the Medicare ESRD PPS for calendar year 2021. The final rule, among other things, encourages the development of new and innovative home dialysis machines that would give Medicare beneficiaries more dialysis treatment options in the home and to improve their quality of life. Specifically, the final rule includes capital equipment in transitional add-on payment adjustments for new and innovative equipment and supplies (TPNIES). Only capital-related assets that are new home dialysis machines cleared by FDA after January 2020 are eligible for application. Consistent with other dialysis equipment and supplies that are potentially eligible for the TPNIES, CMS will evaluate applications to determine whether the home dialysis machine represents an advance that substantially improves the diagnosis or treatment of Medicare beneficiaries compared to existing technology and meets other regulatory requirements. Under the final rule, CMS will pay 65% of the Medicare Administrative Contractor-determined pre-adjusted per treatment amount, reduced by an average per treatment offset, for two calendar years for those home dialysis machines that receive TPNIES.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firstLine="749"/>
        <w:spacing w:after="0" w:line="254" w:lineRule="auto"/>
        <w:rPr>
          <w:sz w:val="20"/>
          <w:szCs w:val="20"/>
          <w:color w:val="auto"/>
        </w:rPr>
      </w:pPr>
      <w:r>
        <w:rPr>
          <w:rFonts w:ascii="Times New Roman" w:cs="Times New Roman" w:eastAsia="Times New Roman" w:hAnsi="Times New Roman"/>
          <w:sz w:val="18"/>
          <w:szCs w:val="18"/>
          <w:color w:val="auto"/>
        </w:rPr>
        <w:t>We submitted a TPNIES application in January 2020 for the Tablo cartridge for use with the Tablo Hemodialysis System. In evaluating our application, CMS found the cartridge does not meet the newness eligibility criteria and that the cartridge does not show evidence of substantial clinical improvement. The updated TPNIES policy published by CMS in November 2020 as part of the calendar year 2021 ESRD PPS final rule, which provides that certain capital-related assets that are home dialysis machines may be eligible for TPNIES, afforded us a pathway to submit an application that includes the Tablo console. We submitted a TPNIES application in February 2021 for the Tablo Hemodialysis System. If we receive a favorable decision, we estimate that this would increase the per-treatment payment that dialysis providers who use Tablo for home dialysis would receive in 2022 and 2023. CMS noted in the November 2020 ESRD PPS final rule that manufacturers are eligible to apply within three years of FDA marketing authorization. This policy would afford us a final opportunity to reapply in 2022 if CMS denies our application and determines we need to collect additional data.</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Many ESRD patients also have Medicaid coverage that is supplemental to Medicare coverage, that is, it helps cover Medicare Part B coinsurance and items and services not covered by Medicare Part B, but some ESRD patients may have Medicaid as their primary coverage. Because Medicaid is a state-administered program, Medicaid reimbursement for dialysis services varies by state.</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in the Critical Care Setting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For Medicare patients, both acute kidney failure and fluid overload therapies provided in an in-patient hospital setting are reimbursed under the Medicare Severity Diagnosis Related Group System.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for care of these patients to be cost-effective. Similar to dialysis clinics that are reimbursed by Medicare under the ESRD bundled payment methodology, we believe that there is a significant incentive for hospitals to find the most cost-efficient way to treat these patients in order to improve hospital economics for these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 Reform</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92"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encouraged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There have been legislative modifications and judicial challenges with respect to certain aspects of the Affordable Care Act. For example, the Tax Cuts and Jobs Act of 2017, among other things, included a provision eliminating, effective January 1, 2019, the tax-based shared responsibility payment, or penalty, imposed by the Affordable Care Act on certain individuals who fail to maintain qualifying health coverage for all or part of a year that is commonly referred to as the “individual mandate.” The Further Consolidated Appropriations Act of 2020, Pub. L. No. 116-94, signed into law December 20, 2019, fully repealed the Affordable Care Act’s “Cadillac Tax” on certain high cost employer-sponsored insurance plans, the annual fee imposed on certain health insurance providers based on market share (repeal effective in 2021), and the medical device excise tax on non-exempt medical devices. Currently, the U.S. Supreme Court is considering whether the Affordable Care Act’s individual mandate, post-repeal of its associated tax penalty, is unconstitutional, and, if so, whether the remaining provisions of the Affordable Care Act are inseverable from the mandate; a ruling could produce any of a number of results, including invalidation of the Affordable Care Act in its entirety based on a finding of inseverability, and is expected by mid-2021.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Budget Control Act of 2011, among other things, resulted in reductions in payments to Medicare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2021 due to the COVID-19 pandemic. Additionally, the American Taxpayer Relief Act of 2012, among other things, reduced CMS payments to several types of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Moreover, other legislative and executive actions have encouraged the development of new payment and care models for ESRD patients. For example, in July 2019, President Trump signed an executive order directing the Secretary of Health and Human Services to develop, among other things,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to implement the End-Stage Renal Disease Treatment Choices (ETC) Model. The ETC Model is a mandatory payment model that adjusts certain Medicare payments to selected ESRD facilities, nephrologists, and other clinicians managing beneficiaries with ESRD starting January 1, 2021, and continuing through June 30, 2027. Specifically, the ETC Model will adjust ESRD facilities’ treatment base rates under the ESRD PPS and managing clinicians’ monthly Medicare capitation payments to incentivize greater use of home dialysis and kidney transplants. CMS is also preparing to implement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Finally, the BETTER Kidney Care Act was introduced in the U.S. House of Representatives (H.R. 8254) and the U.S. Senate (S. 4574) on September 15, 2020. Similar legislation has not been introduced in the new Congress to date. However, if enacted, the BETTER Kidney Care Act would require HHS to establish a voluntary integrated care demonstration program for Medicare beneficiaries with ESRD.</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following the November 2020 elections could result in further healthcare policy changes. The Biden administration has taken several executive actions that signal changes in policy from the prior administration. On January 20, 2021, the Biden administration directed all federal departments and agencies to consider taking steps to withdraw or delay certain regulations and guidance issued by the Trump administration that had not become effective as of January 20, 2021 to permit the Biden administration to review such actions for questions of fact, law, and policy. And, on January 28, 2021, President Biden issued the “Executive Order on Strengthening Medicaid and the Affordable Care Act,” among other things revoking certain executive orders of the previous administration, stating that it is the current administration’s policy “to protect and strengthen Medicaid and the ACA and to make high-quality healthcare accessible and affordable for every American,” and directing heads of relevant executive departments and agencies immediately to review agency actions to determine whether any such actions are inconsistent with this policy. Other actions by the Biden administration, the Congress, state governments, and third-party payors could impact our business in ways that are difficult to predict but that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also have a material adverse effect on our business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2020, we had 313 full-time employees, with 44% in our field sales and service teams and 56% in the rest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workforce hails from across industries, including technology, medical devices, life sciences and retail management.</w:t>
      </w:r>
    </w:p>
    <w:p>
      <w:pPr>
        <w:spacing w:after="0" w:line="2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recently established a manufacturing facility in Tijuana, Mexico that we operate in collaboration with our outsourced business administration service provider, Tacna, and have collaborators in subassembly, integration, quality, testing, and supply chain. Tacna facilitates the hiring of new collaborators and is responsible for human resource functions and payroll processing.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Philosophy and Principles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committed to attracting the best talent we can find, while providing our employees with challenging work in a fast-paced environment. We recruit broadly and welcome diverse candidates. We have a principle that “everyone is a recruiter” and often hold crowd recruiting sessions to identify candidates collectively, and welcome employee referrals.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environment is goal-driven, and we believe in paying for outstanding performance and future potential. We offer competitive, market-based salaries, an annual cash bonus program tied to individual and company performance, a broad-based equity incentive compensation program including an employee stock purchase plan, a comprehensive benefits package, team incentives and peer incentives. We believe that preparing our employees for growth and development is a key business activity and managers have two key performance conversations a year with their team members. Our yearbook conversation is typically held in February and is focused on evaluating the success and learnings of the past year. Our passport conversation is typically held in August and is focused on skill development and future growth opportunities. We strongly believe in growing from within and have numerous avenues for in-role stretch assignments, cross-group short assignments, internal mobility, and promotions. In addition, we conduct employee surveys to gauge employee engagement and identify areas of focus.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Diversity, and Equity Strategy</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In mid-2020, we brought together an engaged group of employees to design our inclusion, diversity, and equity strategy. We defined three key areas of focus: 1) raising awareness of patient disparities in kidney care due to race, 2) providing internal education on bias, and 3) impactful community outreach with students to advocate for careers in the medical device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we defined two values that guided our decisions: 1) employee safety, and 2) business continuity to enable us to meet the needs of our patients and clinical customers. Since we qualified as an essential business, we continued to operate our facility in San Jose, California through the shelter-in-place orders, and immediately categorized our workforce based on the essentialness of working onsite. For roles that required employees to be physically onsite, such as our R&amp;D and manufacturing technical staff, we implemented safety precautions including increased sanitization standards, infection reduction and control, distribution of protective equipment to employees, as well as enforcement of mask-wearing and social distancing protocols. When testing became available, we implemented onsite testing in our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were incorporated in the State of Delaware in 2003 under the name Home Dialysis Plus, Ltd. We changed our name to Outset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2015. Our principal executive offices are located at 3052 Orchard Dr., San Jose, California 95134, and our telephone number is (669) 231-8200.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www.outsetmedical.com. Information on our website is not part of this report. The SEC maintains a website that contains the materials we file with the SEC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and directors as of the date of this Annual Report: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80" w:type="dxa"/>
            <w:vAlign w:val="bottom"/>
          </w:tcPr>
          <w:p>
            <w:pPr>
              <w:spacing w:after="0"/>
              <w:rPr>
                <w:sz w:val="20"/>
                <w:szCs w:val="20"/>
                <w:color w:val="auto"/>
              </w:rPr>
            </w:pPr>
          </w:p>
        </w:tc>
        <w:tc>
          <w:tcPr>
            <w:tcW w:w="550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20" w:type="dxa"/>
            <w:vAlign w:val="bottom"/>
          </w:tcPr>
          <w:p>
            <w:pPr>
              <w:spacing w:after="0"/>
              <w:rPr>
                <w:sz w:val="20"/>
                <w:szCs w:val="20"/>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50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Trigg</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L. Brottem</w:t>
            </w:r>
          </w:p>
        </w:tc>
        <w:tc>
          <w:tcPr>
            <w:tcW w:w="8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47</w:t>
            </w:r>
          </w:p>
        </w:tc>
        <w:tc>
          <w:tcPr>
            <w:tcW w:w="57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20" w:type="dxa"/>
            <w:vAlign w:val="bottom"/>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Chambers</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9"/>
                <w:szCs w:val="19"/>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Martín Vazquez</w:t>
            </w:r>
          </w:p>
        </w:tc>
        <w:tc>
          <w:tcPr>
            <w:tcW w:w="8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51</w:t>
            </w:r>
          </w:p>
        </w:tc>
        <w:tc>
          <w:tcPr>
            <w:tcW w:w="57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c>
          <w:tcPr>
            <w:tcW w:w="20" w:type="dxa"/>
            <w:vAlign w:val="bottom"/>
          </w:tcPr>
          <w:p>
            <w:pPr>
              <w:spacing w:after="0"/>
              <w:rPr>
                <w:sz w:val="19"/>
                <w:szCs w:val="19"/>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Williamson</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w:t>
            </w:r>
          </w:p>
        </w:tc>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0" w:type="dxa"/>
            <w:vAlign w:val="bottom"/>
          </w:tcPr>
          <w:p>
            <w:pPr>
              <w:spacing w:after="0"/>
              <w:rPr>
                <w:sz w:val="20"/>
                <w:szCs w:val="20"/>
                <w:color w:val="auto"/>
              </w:rPr>
            </w:pPr>
          </w:p>
        </w:tc>
      </w:tr>
      <w:tr>
        <w:trPr>
          <w:trHeight w:val="427"/>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i w:val="1"/>
          <w:iCs w:val="1"/>
          <w:color w:val="auto"/>
        </w:rPr>
        <w:t>Leslie Trigg</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Leslie Trigg has served as our President and Chief Executive Officer since November 2014.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has served on the board of directors of Adaptive Biotechnologies Corporation, a biotechnology company, since March 2021, and on the board of directors of ARYA Sciences Acquisition Corp IV, a special purpose acquisition company, since March 2021. Ms. Trigg also serves on the board of directors of the Medical Device Manufacturers Association. Ms. Trigg holds a B.S. degree from Northwestern University and an M.B.A. from The Haas School of Business, UC Berkeley.</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John L. Brottem</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Rebecca Chambers</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Rebecca Chambers has served as our Chief Financial Officer since June 2019. Ms. Chambers joined the Company from Illumina, a genetic tools company, where she served in a number of roles: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a molecular diagnostic company, from January 2011 to October 2012, and Senior Manager, Investor Relations at Life Technologies, a biotechnology company, from May 2009 to December 2010. She also previously held positions with Bank of America, a financial services company, and Millennium Pharmaceuticals, a biopharmaceutical company. Ms. Chambers holds a B.S. from John Carroll University and an M.B.A. from The S.C. Johnson Graduate School of Management, Cornell University.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Martín Vazquez</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Martín Vazquez has served as our Chief Operating Officer since November 2017. Prior to joining the Company, Mr. Vazquez was Vice President of North America Operations and Global Sales and Operations Planning at Abbott Rapid Dx (formerly Alere), a rapid point-of-care diagnostics company, from July 2015 to November 2017. Prior to that, Mr. Vazquez served as Vice President, Manufacturing Management/WW Operations at Becton Dickinson, a medical technology company, from March 2012 to June 2015, and Director Operations Mexico at Smiths Medical, a manufacturer of specialty medical devices, from May 2009 to March 2012. He also previously held positions with Integer Holdings (formerly Greatbatch Medical), a medical device manufacturing company, Alcon Laboratories, a subsidiary of Novartis AG focused on eye care products, Venusa, a medical device manufacturing company, and Ethicon (J&amp;J), a medical device company. Mr. Vazquez holds a B.S. from University of Texas at El Paso and an M.B.A. from The Marshall School of Business, University of Southern California.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Steve Williamson</w:t>
      </w:r>
    </w:p>
    <w:p>
      <w:pPr>
        <w:spacing w:after="0" w:line="22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Steve Williamson has served as our Chief Commercial Officer since November 2020. Prior to joining the Company, Mr. Williamson was Worldwide President, Peripheral Intervention at Becton, Dickinson and Company, a medical technology company, from January 2018 to November 2020, and President, Peripheral Vascular at C.R. Bard (now part of Becton, Dickinson and Company) from August 2012 to December 2017. Prior to that, he was Senior Vice President and General Manager, Gyn Surgical Products from December 2009 to August 2012 and Vice President of Sales and Marketing, Gyn Surgical Products from October 2007 to December 2009 with Hologic, Inc., a medical technology company. Mr. Williamson holds a B.B.A. from University of Massachusetts Amherst and an M.B.A. from Bentley University.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expectation that we will continue to incur losses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manufacturing costs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market acceptance for Tablo among providers and patients</w:t>
      </w:r>
    </w:p>
    <w:p>
      <w:pPr>
        <w:spacing w:after="0" w:line="333" w:lineRule="exact"/>
        <w:rPr>
          <w:rFonts w:ascii="Times New Roman" w:cs="Times New Roman" w:eastAsia="Times New Roman" w:hAnsi="Times New Roman"/>
          <w:sz w:val="18"/>
          <w:szCs w:val="18"/>
          <w:color w:val="auto"/>
        </w:rPr>
      </w:pPr>
    </w:p>
    <w:p>
      <w:pPr>
        <w:ind w:left="1120" w:right="50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our revenues in a single product and concentration of a large percentage of our revenues from a limited number of customers</w:t>
      </w:r>
    </w:p>
    <w:p>
      <w:pPr>
        <w:spacing w:after="0" w:line="269"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the home hemodialysis market</w:t>
      </w:r>
    </w:p>
    <w:p>
      <w:pPr>
        <w:spacing w:after="0" w:line="333" w:lineRule="exact"/>
        <w:rPr>
          <w:rFonts w:ascii="Times New Roman" w:cs="Times New Roman" w:eastAsia="Times New Roman" w:hAnsi="Times New Roman"/>
          <w:sz w:val="18"/>
          <w:szCs w:val="18"/>
          <w:color w:val="auto"/>
        </w:rPr>
      </w:pPr>
    </w:p>
    <w:p>
      <w:pPr>
        <w:ind w:left="1120" w:right="80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suppliers, including single source suppliers and contract manufacturers, and our ability to overcome manufacturing disruptions, including any supply chain disruptions resulting from the ongoing COVID-19 pandemic</w:t>
      </w:r>
    </w:p>
    <w:p>
      <w:pPr>
        <w:spacing w:after="0" w:line="269"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natural or man-made disasters and similar events on our business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strong product performance and reliability, offer high quality support, and ensure proper training and use of Tablo</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innovating and improving Tablo</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privacy, information and data security</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including maintaining and growing our sales and marketing organization</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sizes of the markets for Tablo</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inventory</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of service provided by third parties that host our cloud-based ecosystem and information technology systems</w:t>
      </w:r>
    </w:p>
    <w:p>
      <w:pPr>
        <w:spacing w:after="0" w:line="333"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including product liability claims, and the expense and potential unavailability of insurance coverage for any liabilities resulting from Tablo</w:t>
      </w:r>
    </w:p>
    <w:p>
      <w:pPr>
        <w:spacing w:after="0" w:line="269"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when needed</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efforts of our customers, purchasing groups and government organizations</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w:t>
      </w:r>
    </w:p>
    <w:p>
      <w:pPr>
        <w:spacing w:after="0" w:line="229" w:lineRule="exact"/>
        <w:rPr>
          <w:sz w:val="20"/>
          <w:szCs w:val="20"/>
          <w:color w:val="auto"/>
        </w:rPr>
      </w:pPr>
    </w:p>
    <w:p>
      <w:pPr>
        <w:ind w:left="1260" w:right="700" w:hanging="510"/>
        <w:spacing w:after="0" w:line="626" w:lineRule="auto"/>
        <w:tabs>
          <w:tab w:leader="none" w:pos="11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FDA and other medical device regulations applicable to our products and operations, including our ability to: o comply with the post-market surveillance order recently issued by the FDA for Tablo;</w:t>
      </w:r>
    </w:p>
    <w:p>
      <w:pPr>
        <w:ind w:left="1620" w:hanging="370"/>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FDA regulatory clearance or approvals for Tablo, related products, or any future product modifications or new products;</w:t>
      </w:r>
    </w:p>
    <w:p>
      <w:pPr>
        <w:spacing w:after="0" w:line="269" w:lineRule="exact"/>
        <w:rPr>
          <w:rFonts w:ascii="Times New Roman" w:cs="Times New Roman" w:eastAsia="Times New Roman" w:hAnsi="Times New Roman"/>
          <w:sz w:val="18"/>
          <w:szCs w:val="18"/>
          <w:color w:val="auto"/>
        </w:rPr>
      </w:pPr>
    </w:p>
    <w:p>
      <w:pPr>
        <w:ind w:left="1620" w:right="180" w:hanging="370"/>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ongoing FDA requirements, including related to the manufacturing, marketing and promotion of our products, and the ability of our suppliers to so comply; and</w:t>
      </w:r>
    </w:p>
    <w:p>
      <w:pPr>
        <w:spacing w:after="0" w:line="269" w:lineRule="exact"/>
        <w:rPr>
          <w:rFonts w:ascii="Times New Roman" w:cs="Times New Roman" w:eastAsia="Times New Roman" w:hAnsi="Times New Roman"/>
          <w:sz w:val="18"/>
          <w:szCs w:val="18"/>
          <w:color w:val="auto"/>
        </w:rPr>
      </w:pPr>
    </w:p>
    <w:p>
      <w:pPr>
        <w:ind w:left="1620" w:hanging="370"/>
        <w:spacing w:after="0"/>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risks and expenses associated any clinical trials necessary to support future product submissions to the FDA</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potential changes to reimbursement rates for dialysis treatments or healthcare reform measures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potential adverse medical events associated with Tablo, product failures or malfunctions, or our failure to report such events to the</w:t>
      </w:r>
    </w:p>
    <w:p>
      <w:pPr>
        <w:spacing w:after="0" w:line="38" w:lineRule="exact"/>
        <w:rPr>
          <w:rFonts w:ascii="Times New Roman" w:cs="Times New Roman" w:eastAsia="Times New Roman" w:hAnsi="Times New Roman"/>
          <w:sz w:val="17"/>
          <w:szCs w:val="17"/>
          <w:color w:val="auto"/>
        </w:rPr>
      </w:pP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FDA</w:t>
      </w:r>
    </w:p>
    <w:p>
      <w:pPr>
        <w:spacing w:after="0" w:line="314"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w:t>
      </w:r>
    </w:p>
    <w:p>
      <w:pPr>
        <w:spacing w:after="0" w:line="333" w:lineRule="exact"/>
        <w:rPr>
          <w:rFonts w:ascii="Times New Roman" w:cs="Times New Roman" w:eastAsia="Times New Roman" w:hAnsi="Times New Roman"/>
          <w:sz w:val="18"/>
          <w:szCs w:val="18"/>
          <w:color w:val="auto"/>
        </w:rPr>
      </w:pPr>
    </w:p>
    <w:p>
      <w:pPr>
        <w:ind w:left="1620" w:hanging="370"/>
        <w:spacing w:after="0"/>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anti-kickback, fraud and abuse, false claims, transparency and other healthcare laws and regulations;</w:t>
      </w:r>
    </w:p>
    <w:p>
      <w:pPr>
        <w:spacing w:after="0" w:line="333" w:lineRule="exact"/>
        <w:rPr>
          <w:rFonts w:ascii="Times New Roman" w:cs="Times New Roman" w:eastAsia="Times New Roman" w:hAnsi="Times New Roman"/>
          <w:sz w:val="18"/>
          <w:szCs w:val="18"/>
          <w:color w:val="auto"/>
        </w:rPr>
      </w:pPr>
    </w:p>
    <w:p>
      <w:pPr>
        <w:ind w:left="1620" w:right="560" w:hanging="370"/>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data privacy and security regulations that govern our use, disclosure and other processing of personally identifiable information, including health information; and</w:t>
      </w:r>
    </w:p>
    <w:p>
      <w:pPr>
        <w:spacing w:after="0" w:line="269" w:lineRule="exact"/>
        <w:rPr>
          <w:rFonts w:ascii="Times New Roman" w:cs="Times New Roman" w:eastAsia="Times New Roman" w:hAnsi="Times New Roman"/>
          <w:sz w:val="18"/>
          <w:szCs w:val="18"/>
          <w:color w:val="auto"/>
        </w:rPr>
      </w:pPr>
    </w:p>
    <w:p>
      <w:pPr>
        <w:ind w:left="1620" w:hanging="370"/>
        <w:spacing w:after="0"/>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occupational safety laws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9" w:lineRule="exact"/>
        <w:rPr>
          <w:sz w:val="20"/>
          <w:szCs w:val="20"/>
          <w:color w:val="auto"/>
        </w:rPr>
      </w:pPr>
    </w:p>
    <w:p>
      <w:pPr>
        <w:ind w:left="1120" w:right="160" w:hanging="370"/>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our patents, copyrights, trademarks and trade secrets</w:t>
      </w:r>
    </w:p>
    <w:p>
      <w:pPr>
        <w:spacing w:after="0" w:line="269"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that we or our employees have misappropriated third party intellectual property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price of our common stock in response to numerous factors regardless of our operating performance</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sales by existing stockholders or future issuances of securities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of principal stockholders and management over matters subject to stockholder approval</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resources associated with operating as a public company</w:t>
      </w:r>
    </w:p>
    <w:p>
      <w:pPr>
        <w:spacing w:after="0" w:line="333"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include certain provisions that may make a change of control more difficult, as well as exclusive forum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9" w:lineRule="exact"/>
        <w:rPr>
          <w:sz w:val="20"/>
          <w:szCs w:val="20"/>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333" w:lineRule="exact"/>
        <w:rPr>
          <w:rFonts w:ascii="Times New Roman" w:cs="Times New Roman" w:eastAsia="Times New Roman" w:hAnsi="Times New Roman"/>
          <w:sz w:val="18"/>
          <w:szCs w:val="18"/>
          <w:color w:val="auto"/>
        </w:rPr>
      </w:pPr>
    </w:p>
    <w:p>
      <w:pPr>
        <w:ind w:left="5540" w:right="4320" w:hanging="4790"/>
        <w:spacing w:after="0" w:line="657" w:lineRule="auto"/>
        <w:tabs>
          <w:tab w:leader="none" w:pos="11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maintain our corporate culture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9" w:right="339" w:bottom="763" w:gutter="0" w:footer="0" w:header="0"/>
        </w:sectPr>
      </w:pPr>
    </w:p>
    <w:bookmarkStart w:id="40" w:name="page41"/>
    <w:bookmarkEnd w:id="40"/>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anti-corruption, anti-bribery, anti-money laundering and similar laws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or judgments relating to our critical accounting policies</w:t>
      </w:r>
    </w:p>
    <w:p>
      <w:pPr>
        <w:spacing w:after="0" w:line="33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future acquisitions or investments</w:t>
      </w:r>
    </w:p>
    <w:p>
      <w:pPr>
        <w:spacing w:after="0" w:line="33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Securities and Exchange Commission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significant net losses for the foreseeable future. We have incurred net losses of $121.5 million, $68.3 million and $49.8 million for the years ended December 31, 2020, 2019 and 2018, respectively. As of December 31, 2020, we had $348.2 million in cash, cash equivalents, restricted cash and short-term investments, and an accumulated deficit of $494.1 million. Based on our current planned operations, we expect our existing cash, cash equivalents and short-term investments, and cash generated from sales of our products, will be sufficient to meet our anticipated needs for at least the next 12 months from the date of this Annual Report. We have based this estimate on assumptions that may prove to be wrong, and we could use our capital resources sooner than we currently expect.</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revenue is derived, and we expect it to continue to be derived, primarily from sales of Tablo, its associated consumables and related services. Because of its recent commercial introduction, Tablo currently has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to increase adoption of Tablo, expand existing relationships with our customers, obtain regulatory clearances or approvals for future product enhancements to Tablo, and conduct clinical trials on Tablo. In addition, we expect our general and administrative expenses to increase due to the additional costs associated with scaling our business operations as well as our new status of being a public company, including due to legal, accounting, insurance, exchange listing and SEC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manufacturing and production of the Tablo system to achieve sustainable gross margins.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partner with contract manufacturers in the production of the Tablo cartridge, and may continue to use a contract manufacturing partner as a second source for the production of Tablo consoles. Until recently, we exclusively relied on our contract manufacturer based in Morgan Hill, California for the production of the Tablo console, which resulted in higher costs associated with labor and component parts. As part of a number of initiatives designed to reduce the cost of producing Tablo devices, we recently established a new manufacturing facility for the production of Tablo consoles in Tijuana, Mexico which we operate in collaboration with our outsourced business administration service provider, Tacna Services (Tacna), and began manufacturing consoles at the new facility, and we are in the process of moving production of a majority of the Tablo cartridges from our existing contract manufacturing partner to a new contract manufacturer in Tijuana, Mexico. There is no guarantee that we will be able to achieve planned cost reductions from our various cost savings initiatives. For example, the savings associated with our recently established manufacturing facility with Tacna may not be as significant as projected or realized within the timeframe we currently estimate. There may also be unforeseen occurrences that increase our costs, such as increased prices of the components of Tablo, changes to labor costs, less favorable terms with third party suppliers or contract manufacturing partners, or disruptions to the operations of our contract manufacturers or third party suppliers including as a result of the ongoing COVID-19 pandemic. Our ability to maintain Tablo’s pricing is dependent on our customers’ recognition that the benefits outweigh the higher upfront purchase price. If we are unable to reduce our costs, if cost reductions are less significant or less timely than projected or if we are unable to maintain Tablo’s pricing, we will not be able to achieve sustainable gross margins, which would adversely affect our ability to invest in and grow our business and adversely impact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Tablo will depend upon attaining significant market acceptance among providers and patients.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acceptance of Tablo as safe, easy to learn, easy to use, clinically flexible, operationally versatile and, with respect to providers, cost effective. We began commercializing Tablo throughout the United States in 2018 and began the process to commercialize Tablo for home-based dialysis in 2020. Our limited commercialization experience makes it difficult to evaluate our current business and predict our future prospects. We cannot predict how quickly, if at all, providers and patients will accept Tablo or, if accepted, how frequently it will be used. These constituents must believe that Tablo offers benefits over traditional machines. The degree of market acceptance of Tablo will depend on a number of factors, including:</w:t>
      </w:r>
    </w:p>
    <w:p>
      <w:pPr>
        <w:spacing w:after="0" w:line="187" w:lineRule="exact"/>
        <w:rPr>
          <w:sz w:val="20"/>
          <w:szCs w:val="20"/>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providers and others in the medical community consider Tablo to be a safe and cost-effective treatment method;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Tablo over traditional machines;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maintenance and upkeep using Tablo in relation to traditional machines;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Tablo relative to traditional machines;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for Tablo;</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of, and operational benefits from, Tablo;</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availability of coverage and adequate reimbursement for dialysis from payors, including government authorities;</w:t>
      </w:r>
    </w:p>
    <w:p>
      <w:pPr>
        <w:spacing w:after="0" w:line="225"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Tablo based on the collective buying power of the GPO members;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225" w:lineRule="exact"/>
        <w:rPr>
          <w:sz w:val="20"/>
          <w:szCs w:val="20"/>
          <w:color w:val="auto"/>
        </w:rPr>
      </w:pPr>
    </w:p>
    <w:p>
      <w:pPr>
        <w:jc w:val="both"/>
        <w:ind w:right="100" w:firstLine="749"/>
        <w:spacing w:after="0" w:line="289" w:lineRule="auto"/>
        <w:rPr>
          <w:sz w:val="20"/>
          <w:szCs w:val="20"/>
          <w:color w:val="auto"/>
        </w:rPr>
      </w:pPr>
      <w:r>
        <w:rPr>
          <w:rFonts w:ascii="Times New Roman" w:cs="Times New Roman" w:eastAsia="Times New Roman" w:hAnsi="Times New Roman"/>
          <w:sz w:val="17"/>
          <w:szCs w:val="17"/>
          <w:color w:val="auto"/>
        </w:rPr>
        <w:t>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derive substantially all of our revenue from the sale of Tablo and associated consumables and are therefore highly dependent on Tablo for our success.</w:t>
      </w:r>
    </w:p>
    <w:p>
      <w:pPr>
        <w:spacing w:after="0" w:line="15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revenues from sales of Tablo and its associated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consumables could adversely affect our business, financial condition and results of operation.</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from home-based dialysis is subject to certain risks and uncertainties, including around the adoption of Tablo in the home setting.</w:t>
      </w:r>
    </w:p>
    <w:p>
      <w:pPr>
        <w:spacing w:after="0" w:line="159"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In March 2020, Tablo was cleared by the FDA for patient use in the home of patients with acute and/or chronic renal failure, with or without ultrafiltration, and we intend to expand within the home market. However, this implementation is subject to certain risks, including our ability to attract, retain and manage patients. Our business strategy, including our pricing of Tablo, is based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the Tablo console, associated consumables and support and maintenance, which could adversely affect our business, financial condition and results of operations.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Inc. (DaVita) and Fresenius, and our expansion within the home dialysis market is dependent on our ability to grow new home programs with health systems and innovative dialysis clinic partners. In addition, patients and their care partners using Tablo for home dialysis may not successfully operate Tablo or may require increased service and support from us. Moreover, given the home dialysis market is a novel one for us, we also face the risk that we may encounter difficulties whose precise nature or magnitude we cannot accurately predict at this time, but which may have a material adverse effect on our business, financial condition or results of operations.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Tablo. The number of suppliers feeding into Tablo console production is in excess of 250 worldwide. We consider approximately 9% of these suppliers, located in the United States, Europe and China, as critical providers of components such as pumps, motors, valves and PCBA boards. While we are undertaking a second source qualification process for the majority of these critical components, we may not be successful in securing second sourcing for all of them.</w:t>
      </w:r>
    </w:p>
    <w:p>
      <w:pPr>
        <w:spacing w:after="0" w:line="18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we purchase supplies through purchase orders and do not have long-term supply agreements with, or guaranteed commitments from, our suppliers, including single source suppliers. Additionally, at present, we rely on contract manufacturers for the production of the Tablo cartridge, and may continue to use a contract manufacturing partner as a second source for the production of Tablo consoles.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the ongoing COVID-19 pandemic,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Tablo system, establishing additional or replacement suppliers for any of these materials, components or services, if required, could be time-consuming and expensive, may result in interruptions in our operations and product delivery, 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For example, the COVID-19 pandemic has disrupted the operations of certain of our third-party suppliers, resulting in increased lead-times for our purchases of some components and, in certain cases, requiring us to procure materials from alternative sources or incur higher logistics expenses. We have worked closely with our manufacturing partners and suppliers to enable us to source key components and maintain appropriate inventory levels to meet customer demand, and have not experienced disruptions in our supply chain to date. However, there is no assurance that we will not experience more significant disruptions in our supply chain in the future, particularly if the operations of our contract manufacturing partners, any of our critical single source component providers, or the facility we operate in Tijuana, Mexico in collaboration with our outsourced business administration service provider, Tacna, are more severely impacted by the pandemic and associated containment measures. If these contract manufacturers or suppliers experience disruptions as a result of the pandemic that impede their ability to meet our demand in a timely manner, we may be unable to find alternative sources of supply, be required to pay higher prices, or fail to meet customer demand, any of which would harm our business.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manufacturing disruptions, and our transition to manufacturing the majority of our Tablo consoles and cartridges outside of the United States subjects us to additional risks associated with international manufacturing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continue to rely on contract manufacturing partners for the production of the Tablo cartridge, and may continue to use a contract manufacturing partner as a second source for the production of Tablo consoles. If any of our contract manufacturing partners’ facilities were disrupted, by labor disputes, work stoppages, public health crises including the ongoing COVID-19 pandemic, riots, terrorism, vandalism, natural disaster or otherwise, it could cause substantial delays in our operations and we may not have a sufficient number of Tablo consoles or Tablo cartridges in inventory to fulfill orders. Further, to the extent we seek to renew or renegotiate our arrangements with any of our contract manufacturing partners, and cannot agree to the terms and conditions of future contract manufacturing arrangements, or if any of our contract manufacturing partners terminate existing agreements with us, our ability to produce and sell Tablo could be delayed until an alternative manufacturing partner or arrangement is identified, a new contract manufacturing agreement is negotiated and new production lines are established.</w:t>
      </w:r>
    </w:p>
    <w:p>
      <w:pPr>
        <w:spacing w:after="0" w:line="19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we recently established a new manufacturing facility in Tijuana, Mexico which we operate in collaboration with our outsourced business administration service provider, Tacna, for the production of the Tablo console. Under our arrangement with Tacna, we control the operations, engineering, quality and materials supply functions at the new facility, while Tacna provides manufacturing space, the workforce, utilities, cross-border logistics, local permits and licenses. With the establishment of our new manufacturing facility in Tijuana, Mexico and the planned transfer of the production of a majority of the Tablo cartridge to a new contract manufacturing partner in Tijuana, Mexico, the manufacturing of a majority of the Tablo console and cartridge will be located in Tijuana, Mexico. We are subject to a number of additional risks associated with operating our Mexico-based manufacturing facility and increased international manufacturing operations generally. We may experience strikes, work stoppages, work slowdowns, high employee turnover, grievances, complaints, claims of unfair labor practices, other collective bargaining disputes or other labor disputes at our new facility. Our manufacturing operations at the new facility may also suffer disruptions from global or regional public health crises such as the ongoing COVID-19 pandemic, natural disasters, vandalism, terrorism or other political hostilities. Any such occurrences could negatively impact our ability to produce the Tablo console. We will also be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In addition, because certain of our Mexico-based manufacturing operations incur costs that are denominated in Mexican Pesos (MXN), we are exposed to additional risk of currency fluctuations between the U.S. dollar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w:t>
      </w:r>
    </w:p>
    <w:p>
      <w:pPr>
        <w:spacing w:after="0" w:line="193"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Furthermore, changes in export or import regulation and other trade barriers and uncertainties may disrupt our Mexico-based manufacturing operations. For example, recently, the United States-Mexico-Canada Agreement (USMCA), a new trade deal among the United States, Mexico and Canada to replace the North American Free Trade Agreement, was approved by the U.S. Congress and signed into law. Although the USMCA went into effect on July 1, 2020, its full impact on manufacturing operations in Mexico, as well as economic conditions and markets generally, is still unknown. Further, during the negotiations leading up to the USMCA, the political and trade relationship between the United States and Mexico was strained, and such relationship may deteriorate. If our ability, the ability of our partners or our contract manufacturer’s ability, to manufacture Tablo consoles and cartridges is interrupted as a result, or if our ability to import Tablo consoles and cartridges into the United States is impacted, we may not have a sufficient number of Tablo consoles or cartridges in inventory to fulfill all orders requested, which could adversely affect our business, financial condition or results of operations.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For example, in response to the ongoing COVID-19 pandemic, efforts to contain the spread and mitigate the impact of COVID-19 continue in the United States and across the globe, with the implementation of “shelter-in-place” orders, quarantines, executive orders and similar government orders and restrictions. Such orders or restrictions have resulted in work stoppages, slowdowns and delays, travel restrictions and cancellation of events. Disruptions or potential disruptions to our business from COVID-19 or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w:t>
      </w:r>
    </w:p>
    <w:p>
      <w:pPr>
        <w:spacing w:after="0" w:line="19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For example, in order to operate in a safe manner, we have restricted non-essential travel of our employees and the majority of our employees at our headquarters have been asked to work from home. For roles that require employees to be physically on-site, such as our R&amp;D and manufacturing technical staff, we have and continue to provide protective equipment, practice social distancing, enforce mask wearing, increase sanitization standards and implement onsite COVID-19 testing at our facilities once testing became available. If significant or critical portions of our workforce are unable to work effectively, or at all, as a result of the COVID-19 pandemic, including because of illness, quarantines, facility closures, ineffective remote work arrangements or technology failures or limitations, our operations would be materially adversely impacted.</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While we believe the COVID-19 pandemic has highlighted the limitations of traditional machines and the benefits of Tablo, it is possible that the increased demands we experienced during the second and third quarters of 2020 may decrease as the pandemic dissipates, whether due to the availability of vaccines, or otherwise, which would have an adverse effect on our business and results of operations. Any increase in revenue due to a corresponding increase in demand for Tablo during periods when COVID-19 persists may not be indicative of our revenue in future periods. In addition, to the extent dialysis providers, including outpatient dialysis clinics, reduce demand for our products due to COVID-related patient deaths, our business would be adversely impacted.</w:t>
      </w:r>
    </w:p>
    <w:p>
      <w:pPr>
        <w:spacing w:after="0" w:line="187"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will depend on future developments, which are highly uncertain and cannot be predicted, including new information which may emerge concerning the severity, spread, resurgences, and duration of the COVID-19 pandemic, the nature, extent and effectiveness of actions to contain or treat the disease including the availability and distribution of an effective vaccine, the extent and duration of the effect on the economy and how quickly and to what extent normal economic and operating conditions can resume.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which could result in a reduction in our ability to access capital that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Tablo to achieve our profitability objectives. Poor product performance and reliability could lead to customer dissatisfaction, adversely affect our reputation and revenues, and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as we continue to transition the manufacturing of the Tablo console to our new facility in Tijuana, Mexico operated in collaboration with Tacna, we are more exposed to risks relating to product quality and reliability until the manufacturing processes mature. Like all transitions of this nature, they could increase our costs in the near-term and accordingly adversely affect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innovate and improve Tablo, we could lose customers or market share.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are a number of dialysis machine manufacturers in the United States, Europe and Asia. Notable competitors in the United States include Fresenius, Baxter and B. Braun. In addition, Quanta Dialysis Technologies Ltd’s (Quanta) dialysis system recently received FDA 510(k) clearance for use in acute and/or chronic settings.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With the exception of Quanta,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Additionally, companies with dialysis machine development programs include Medtronic and CVS. Some of our competitors have:</w:t>
      </w:r>
    </w:p>
    <w:p>
      <w:pPr>
        <w:spacing w:after="0" w:line="192" w:lineRule="exact"/>
        <w:rPr>
          <w:sz w:val="20"/>
          <w:szCs w:val="20"/>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payors;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225" w:lineRule="exact"/>
        <w:rPr>
          <w:rFonts w:ascii="Times New Roman" w:cs="Times New Roman" w:eastAsia="Times New Roman" w:hAnsi="Times New Roman"/>
          <w:sz w:val="18"/>
          <w:szCs w:val="18"/>
          <w:color w:val="auto"/>
        </w:rPr>
      </w:pPr>
    </w:p>
    <w:p>
      <w:pPr>
        <w:ind w:left="1120" w:right="620" w:hanging="370"/>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other incentives to gain a competitive advantage;</w:t>
      </w:r>
    </w:p>
    <w:p>
      <w:pPr>
        <w:spacing w:after="0" w:line="161"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products; and</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225" w:lineRule="exact"/>
        <w:rPr>
          <w:sz w:val="20"/>
          <w:szCs w:val="20"/>
          <w:color w:val="auto"/>
        </w:rPr>
      </w:pPr>
    </w:p>
    <w:p>
      <w:pPr>
        <w:ind w:left="1120" w:hanging="370"/>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acute care market and drive utilization and fleet expansion among our existing customers in the acute care setting;</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within the home dialysis market;</w:t>
      </w:r>
    </w:p>
    <w:p>
      <w:pPr>
        <w:spacing w:after="0" w:line="22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Tablo and its component parts as well as drive down the cost of service;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adoption of Tablo in the chronic outpatient facility setting via transitional care programs within existing dialysis clinics.</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products that could effectively compete with our existing products, which may cause our revenue to decline and would harm our business.</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6" w:name="page47"/>
    <w:bookmarkEnd w:id="46"/>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and other advances in kidney transplantation.</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platform and business disruption if there are any security or data privacy breaches or other unauthorized or improper access.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information as part of the Tablo data ecosystem, such as name, mailing address, email addresses, mobile telephone number, location information, and prescription information. Security breaches, computer malware and computer hacking attacks have become more prevalent across industries and may occur on our systems or those of our third-party service providers or partners. Despite the implementation of security measures, our internal computer systems and those of our third-party service providers and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as amended by the HITECH Act, and all regulations promulgated thereunder.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w:t>
      </w:r>
    </w:p>
    <w:p>
      <w:pPr>
        <w:spacing w:after="0" w:line="19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We may need to expend significant resources and make significant capital investment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2020, we had 313 full-time employees. Over the next several years, we expect to increase significantly the scope of our operations, particularly in the areas of manufacturing, sales and support, product development, regulatory affairs, marketing and other functional areas, including finance, accounting, quality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including the recent establishment of our manufacturing facility in Tijuana, Mexico,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home hemodialysis market may not expand sufficiently to support our growth prospects.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w:t>
      </w:r>
    </w:p>
    <w:p>
      <w:pPr>
        <w:spacing w:after="0" w:line="17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Our long term growth will require us to shift patients’ and the medical community’s understanding and view of home hemodialysis and will require further increases in the number of patients who adopt home hemodialysis from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We will need to continue to devote significant resources to expanding the home hemodialysis market, but these efforts ultimately may not be successful.</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including the ongoing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for Tablo may adversely affect our relationships with providers and negatively impact our reputation among patients and providers, which may adversely affect our business, financial condition, and results of operations.</w:t>
      </w:r>
    </w:p>
    <w:p>
      <w:pPr>
        <w:spacing w:after="0" w:line="15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and in turn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8" w:name="page49"/>
    <w:bookmarkEnd w:id="4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Tablo in the acute and home settings have not been established with precision and may be smaller than we estimate and may decline.</w:t>
      </w:r>
    </w:p>
    <w:p>
      <w:pPr>
        <w:spacing w:after="0" w:line="15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Tablo is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with a limited number of customers accounting for a substantial portion of our revenues.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a government distributor customer, a federal health department customer, and one other customer accounted for 22%, 19% and 16% of our revenue, respectively.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Tablo and manage our inventory.</w:t>
      </w:r>
    </w:p>
    <w:p>
      <w:pPr>
        <w:spacing w:after="0" w:line="15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the Tablo console and the Tablo cartridge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potential disruption in our supply chain from regional or global public health crises including the ongoing COVID-19 pandemic,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training of, and improper use of Tablo by, nurses, dialysis technicians, care partners and patients may lead to negative patient outcomes, affect adoption of Tablo and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success of Tablo depends in part on the proper training and use of Tablo by nurses and dialysis technicians in the acute setting or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9" w:name="page50"/>
    <w:bookmarkEnd w:id="4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180" w:lineRule="exact"/>
        <w:rPr>
          <w:sz w:val="20"/>
          <w:szCs w:val="20"/>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Tablo, which may vary significantly, and our ability to accurately forecast and meet customer demand;</w:t>
      </w:r>
    </w:p>
    <w:p>
      <w:pPr>
        <w:spacing w:after="0" w:line="225"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Tablo, which may vary depending on the quantity of production, the terms of our agreements with third- party suppliers and manufacturers and any related foreign currency impact;</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225" w:lineRule="exact"/>
        <w:rPr>
          <w:rFonts w:ascii="Times New Roman" w:cs="Times New Roman" w:eastAsia="Times New Roman" w:hAnsi="Times New Roman"/>
          <w:sz w:val="18"/>
          <w:szCs w:val="18"/>
          <w:color w:val="auto"/>
        </w:rPr>
      </w:pPr>
    </w:p>
    <w:p>
      <w:pPr>
        <w:ind w:left="1120" w:right="56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161"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product enhancements or the introduction of new products or technologies by our competitors, or consolidation among our competitors or future partners;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dialysis equipment, and potential future products that compete with Tablo;</w:t>
      </w:r>
    </w:p>
    <w:p>
      <w:pPr>
        <w:spacing w:after="0" w:line="225" w:lineRule="exact"/>
        <w:rPr>
          <w:rFonts w:ascii="Times New Roman" w:cs="Times New Roman" w:eastAsia="Times New Roman" w:hAnsi="Times New Roman"/>
          <w:sz w:val="18"/>
          <w:szCs w:val="18"/>
          <w:color w:val="auto"/>
        </w:rPr>
      </w:pPr>
    </w:p>
    <w:p>
      <w:pPr>
        <w:ind w:left="1120" w:right="52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Tablo or any enhancements to Tablo we develop, or changes made to competing products;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Tablo or products of our competitors or broader industry trends;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that COVID-19 may have on the number of patients treated;</w:t>
      </w:r>
    </w:p>
    <w:p>
      <w:pPr>
        <w:spacing w:after="0" w:line="225" w:lineRule="exact"/>
        <w:rPr>
          <w:rFonts w:ascii="Times New Roman" w:cs="Times New Roman" w:eastAsia="Times New Roman" w:hAnsi="Times New Roman"/>
          <w:sz w:val="18"/>
          <w:szCs w:val="18"/>
          <w:color w:val="auto"/>
        </w:rPr>
      </w:pPr>
    </w:p>
    <w:p>
      <w:pPr>
        <w:ind w:left="1120" w:right="520" w:hanging="370"/>
        <w:spacing w:after="0" w:line="312" w:lineRule="auto"/>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spacing w:after="0" w:line="139" w:lineRule="exact"/>
        <w:rPr>
          <w:rFonts w:ascii="Times New Roman" w:cs="Times New Roman" w:eastAsia="Times New Roman" w:hAnsi="Times New Roman"/>
          <w:sz w:val="17"/>
          <w:szCs w:val="17"/>
          <w:color w:val="auto"/>
        </w:rPr>
      </w:pPr>
    </w:p>
    <w:p>
      <w:pPr>
        <w:ind w:left="1120" w:right="16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and maintaining regulatory approvals or clearances for the current version of Tablo, as well as planned or future improvements or enhancements to Tablo;</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discounts for Tablo or competing products;</w:t>
      </w:r>
    </w:p>
    <w:p>
      <w:pPr>
        <w:spacing w:after="0" w:line="225"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accounting and other expenses we may incur as a result of operating as a public company, including costs related to compliance with the Sarbanes-Oxley Act;</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political instability, including changes in tariff or trade laws and policies.</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0" w:name="page51"/>
    <w:bookmarkEnd w:id="50"/>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Amazon Web Services to support Tablo’s cloud connectivity and any disruption of service could interrupt or delay our ability to receive and deliver critical treatment and reporting information from and to providers and patients.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w:t>
      </w:r>
    </w:p>
    <w:p>
      <w:pPr>
        <w:spacing w:after="0" w:line="19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AWS and our other cloud service providers are not obligated to renew its agreement with us on commercially reasonable terms, or at all. If we are unable to renew our agreements with AWS or our other cloud service providers on commercially reasonable terms, if our agreement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p>
    <w:p>
      <w:pPr>
        <w:spacing w:after="0" w:line="13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w:t>
      </w:r>
    </w:p>
    <w:p>
      <w:pPr>
        <w:spacing w:after="0" w:line="19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w:t>
      </w:r>
    </w:p>
    <w:p>
      <w:pPr>
        <w:spacing w:after="0" w:line="176" w:lineRule="exact"/>
        <w:rPr>
          <w:sz w:val="20"/>
          <w:szCs w:val="20"/>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Tablo;</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which could result in enforcement action against us or our contract manufacturers;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net losses for the next several years and we expect to require substantial additional capital beyond the proceeds from our recent initial public offering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spacing w:after="0" w:line="180"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Notwithstanding our recent initial public offering (IPO), we may require additional financing to fund working capital and pay our obligations.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Tablo system.</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bear the risk of warranty claims on our Tablo system.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Expedited, reliable shipping and secure warehousing are essential to our operations. We rely heavily on providers of transport services for reliable and secure point-to-point transport of our Tablo system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our Tablo system and increased cost and expense to our business. In addition, any significant increase in shipping or warehousing rates could adversely affect our operating margins and results of operations. Similarly, strikes, severe weather, natural disasters or other service interruptions affecting delivery or warehousing services we use would adversely affect our ability to process orders for our Tablo system on a timely basis.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3" w:name="page54"/>
    <w:bookmarkEnd w:id="53"/>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Tablo in a cost-effective manner, we may not be able to generate revenue growth.</w:t>
      </w:r>
    </w:p>
    <w:p>
      <w:pPr>
        <w:spacing w:after="0" w:line="15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We have limited experience marketing and selling Tablo. We currently rely on our direct sales force to sell Tablo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and grow, or adequately train, our team of FSEs could negatively impact our services revenue.</w:t>
      </w:r>
    </w:p>
    <w:p>
      <w:pPr>
        <w:spacing w:after="0" w:line="19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the number of clients and clinics that adopt Tablo.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Tablo.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Tablo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licensing or partnership arrangements with third parties that we believe will compliment or augment our sales and marketing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4" w:name="page55"/>
    <w:bookmarkEnd w:id="54"/>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While we currently do not market or sell Tablo outside of the United States, our future profitability may depend, in part, on our ability to sell Tablo in foreign markets.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If we obtain approval of Tablo and sell Tablo in foreign markets, we would be subject to additional risks and uncertainties in those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7"/>
          <w:szCs w:val="17"/>
          <w:color w:val="auto"/>
        </w:rPr>
        <w:t>As of December 31, 2020, we had U.S. federal and state net operating loss (NOL) carryforwards of approximately $301.3 million and $174.0 million, respectively. If not utilized, our U.S. federal NOLs generated in taxable years beginning before 2018 will begin to expire in 2024 and our state NOLs in conforming states generated in taxable years beginning before 2018 have begun to expire in 2020. Deductibility of U.S. federal NOLs generated in taxable years beginning after 2017 and used in taxable years beginning after 2020 are limited to 80% of our taxable income before the deduction of such NOLs. As of December 31, 2020, we also had U.S. federal and state research and development credits of approximately $5.8 million and $4.3 million, respectively. Our U.S. federal research and development credits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NOLs and other attributes. Future changes in our stock ownership, some of which might be beyond our control, could result in an ownership change under</w:t>
      </w:r>
    </w:p>
    <w:p>
      <w:pPr>
        <w:spacing w:after="0" w:line="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entered into a senior secured term loan facility with Silicon Valley Bank (SVB) in July 2020 (the SVB Loan and Security Agreement) which provides for a $30.0 million term loan (the SVB Term Loan). The loan is secured by substantially all of our assets, including all of the capital stock held by us, if any, (subject to a 65% limitation on pledges of capital stock of foreign subsidiaries), subject to certain exceptions (including an exception regarding intellectual property). The SVB Loan and Security Agreement contains a number of restrictive covenants, and the terms may restrict our current and future operations, particularly our ability to respond to certain changes in our business or industry or take future actions. See the section titled “Management’s Discussion and Analysis of Financial Condition and Results of Operations—Liquidity and Capital Resources—Debt Obligations.”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SVB Loan and Security Agreement contains customary representations and warranties and affirmative covenants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SVB Loan and Security Agreement does not include any financial covenants but does require us to maintain cash collateral in a deposit account at SVB in an amount equal to or greater than the outstanding principal balance of the SVB Term Loan. The SVB Loan and Security Agreement also contains customary events of default. If we fail to comply with such covenants, payments or other terms of the SVB Loan and Security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SVB Loan and Security Agreement. If the debt under SVB Loan and Security Agreement was accelerated, we may not have sufficient cash or be able to sell sufficient assets to repay this debt, which would harm our business and financial condition.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post-market surveillance order issued by the FDA for our Tablo System. If the FDA determines that our Tablo System does not perform as anticipated in the home use setting, or if the FDA identifies new concerns related to the safety and effectiveness of the device, we may need to make changes to or recall or withdraw the Tablo System from the field, which could harm our business.</w:t>
      </w:r>
    </w:p>
    <w:p>
      <w:pPr>
        <w:spacing w:after="0" w:line="17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FDA has notified us that the Tablo System is subject to a mandatory post-market surveillance order under Section 522 of the Federal Food Drug and Cosmetic Act (FDCA). Section 522 of the FDCA authorizes the FDA to require a manufacturer to conduct post-market surveillance for devices that meet certain criteria. Relevant here, the FDA determined that the Tablo is a device where its failure would be reasonably likely to have serious adverse health consequences, and that it is intended to be a life-sustaining or life-supporting device used outside a device user facility.</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issued this 522 order to address (i) whether there are use-related safety concerns when the Tablo System is used by the new user population in the home environment unsupervised by a trained healthcare professional; (ii) whether the safety profile in this new user population and home environment requires us to provide changes to the device design, labeling, and/or training and, if so, what labeling and training are necessary to support user understanding and adherence to minimize use-related safety concerns, adverse events, or complaints when the Tablo System is used at home; and (iii) what adverse events and complaints are observed when the Tablo System is used at home unsupervised by a trained healthcare professional.</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To address these issues, the FDA has required that we conduct a human factors study, as well as conduct a detailed analysis of adverse events and complaints from home users. With respect to the post-market surveillance issues, the FDA has ordered collection of prospective data on use in the home environment to assess adverse events and human factors.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response to the 522 order, we submitted a simulated human factors test protocol to the agency that was largely based on simulated use human factors validation testing. In late 2020, the FDA requested additional information and notified us that we will need to conduct a new human factors study encompassing both summative and real-world data to meet the requirements of the 522 Order. We responded to the FDA’s requests for additional information in January 2021 and in March 2021, the FDA approved our 522 study protocol. We will conduct the study in accordance with the FDA approved protocol. Once we are able to complete our study, a final report will be provided to the FDA. Should the FDA decide that use of the Tablo System in the home environment identifies new concerns related to the safety and effectiveness of the product, or if the FDA determines that the requirements of the 522 order are otherwise unmet, we may be required to make changes to our Tablo System for which we may need to submit new marketing authorization applications and obtain clearance, we may need to withdraw or recall the Tablo System from the market, and may be subject to other enforcement action,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reimbursement rates for dialysis treatments and measures to reduce healthcare costs may adversely impact our business.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customers depend upon reimbursement by government and commercial insurance payors for dialysis services using our products. With a vast majority of U.S. patients with ESRD covered by Medicare, the Medicare reimbursement rate is an important factor in a customer’s decision to use Tablo and limits the prices we may charge for our products. For patients with Medicare coverage,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w:t>
      </w:r>
    </w:p>
    <w:p>
      <w:pPr>
        <w:spacing w:after="0" w:line="18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Current Centers for Medicare and Medicaid Services (CMS)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the Tablo System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most ESRD patients are currently covered by traditional Medicare, beginning January 1, 2021, when changes from the 21st Century Cures Act entered into effect, more dialysis patients were eligible to enroll in Medicare Advantage managed care plans. While Medicare Advantage plans must provide at least the same level of coverage for Medicare beneficiaries as traditional Medicare, reimbursement to dialysis facilities will depend on each Medicare Advantage plan’s contracts and network agreements with each dialysis facility. There is uncertainty as to how many or which newly eligible ESRD patients will seek to enroll in Medicare Advantage plans and how quickly enrollment would occur, and whether coverage and reimbursement is more favorable than Medicare Part B will vary by plan.</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Any reduction in reimbursement rates for dialysis treatments may adversely affect our customers’ businesses and cause them to enact cost reduction measures that may include reducing the scope of their home hemodialysis programs, which could result in reduced demand for our product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Tablo.</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that may harm our future revenues and profitability and the demand for Tablo.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By way of example, in the United States, the Affordable Care Act substantially changed the way healthcare is financed by both governmental and private insurers, and significantly impacts our industry. The Affordable Care Act contains a number of provisions, including those governing enrollment in federal healthcare programs, reimbursement changes and fraud and abuse measures, all of which will impact existing government healthcare programs and have resulted in the development of new programs.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There have been legislative modifications and judicial challenges with respect to certain aspects of the Affordable Care Act. For example, Congress eliminated the tax penalty, starting January 1, 2019, for not complying with the Affordable Care Act’s individual mandate to carry health insurance. The Further Consolidated Appropriations Act of 2020, Pub. L. No. 116-94, signed into law December 20, 2019, fully repealed the Affordable Care Act’s “Cadillac Tax” on certain high cost employer-sponsored insurance plans, the annual fee imposed on certain health insurance providers based on market share (repeal effective in 2021), and the medical device excise tax on non-exempt medical devices. Currently, the U.S. Supreme Court is considering whether the Affordable Care Act’s individual mandate, post-repeal of its associated tax penalty, is unconstitutional, and, if so, whether the remaining provisions of the Affordable Care Act are inseverable from the mandate; a ruling could produce any of a number of results, including invalidation of the Affordable Care Act in its entirety based on a finding of inseverability, and is expected by mid-2021. It is unclear how this decision, and other efforts to challenge, repeal, replace, or otherwise modify, or alter the implementation or interpretation of the Affordable Care Act will affect our business, financial condition and results of operations.</w:t>
      </w:r>
    </w:p>
    <w:p>
      <w:pPr>
        <w:spacing w:after="0" w:line="194"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Budget Control Act of 2011, among other things, included reductions to Medicare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2021 due to the COVID-19 pandemic. Additionally, the American Taxpayer Relief Act of 2012, among other things, reduced CMS payments to several types of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Moreover, other legislative and executive actions have encouraged the development of new payment and care models for ESRD patients. For example,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among other things, to implement the ETC Model. The ETC Model is a mandatory payment model that adjusts certain Medicare payments to selected ESRD facilities, nephrologists, and other clinicians managing beneficiaries with ESRD starting January 1, 2021 and continuing through June 30, 2027. Specifically, the ETC Model will adjust ESRD facilities’ treatment base rates under the ESRD Prospective Payment System and managing clinicians’ monthly Medicare capitation payments to incentivize greater use of home dialysis and kidney transplants. CMS is also preparing to implement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Finally, the BETTER Kidney Care Act was introduced in the U.S. House of Representatives (H.R. 8254) and the U.S. Senate (S. 4574) on September 15, 2020. Similar legislation has not been introduced in the new Congress to date. However, if enacted, the BETTER Kidney Care Act would require HHS to establish a voluntary integrated care demonstration program for Medicare beneficiaries with ESRD.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issuance of the executive order and the ETC Model final rule, a failure to implement our expansion into home dialysis could have a material adverse impact on our business.</w:t>
      </w:r>
    </w:p>
    <w:p>
      <w:pPr>
        <w:spacing w:after="0" w:line="19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following the November 2020 elections could result in further healthcare policy changes. The Biden administration has taken several executive actions that signal changes in policy from the prior administration. On January 20, 2021, the Biden administration directed all federal departments and agencies to consider taking steps to withdraw or delay certain regulations and guidance issued by the Trump administration that had not become effective as of January 20, 2021 to permit the Biden administration to review such actions for questions of fact, law, and policy. And, on January 28, 2021, President Biden issued the “Executive Order on Strengthening Medicaid and the Affordable Care Act,” among other things revoking certain executive orders of the previous administration, stating that it is the current administration’s policy “to protect and strengthen Medicaid and the ACA and to make high-quality healthcare accessible and affordable for every American,” and directing heads of relevant executive departments and agencies immediately to review agency actions to determine whether any such actions are inconsistent with this policy.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commercialization of our current and future solutions, decrease our revenue and impact sales of and pricing for our current and future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anti-kickback, fraud and abuse, false claims, transparency, and other healthcare laws and regulations.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w:t>
      </w:r>
    </w:p>
    <w:p>
      <w:pPr>
        <w:spacing w:after="0" w:line="187" w:lineRule="exact"/>
        <w:rPr>
          <w:sz w:val="20"/>
          <w:szCs w:val="20"/>
          <w:color w:val="auto"/>
        </w:rPr>
      </w:pPr>
    </w:p>
    <w:p>
      <w:pPr>
        <w:ind w:left="1120" w:right="120" w:hanging="370"/>
        <w:spacing w:after="0" w:line="258"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ind w:left="1120" w:right="100" w:hanging="370"/>
        <w:spacing w:after="0" w:line="255"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laws, including the FCA, which can be enforced by the U.S. Department of Justice or through “qui tam,” whistleblower actions, which are filed by private citizens on behalf of the federal government. The FCA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FCA;</w:t>
      </w:r>
    </w:p>
    <w:p>
      <w:pPr>
        <w:spacing w:after="0" w:line="188" w:lineRule="exact"/>
        <w:rPr>
          <w:rFonts w:ascii="Times New Roman" w:cs="Times New Roman" w:eastAsia="Times New Roman" w:hAnsi="Times New Roman"/>
          <w:sz w:val="18"/>
          <w:szCs w:val="18"/>
          <w:color w:val="auto"/>
        </w:rPr>
      </w:pPr>
    </w:p>
    <w:p>
      <w:pPr>
        <w:ind w:left="1120" w:right="80" w:hanging="370"/>
        <w:spacing w:after="0" w:line="256"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healthcare statutes that were added by HIPAA, which imposes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87" w:lineRule="exact"/>
        <w:rPr>
          <w:rFonts w:ascii="Times New Roman" w:cs="Times New Roman" w:eastAsia="Times New Roman" w:hAnsi="Times New Roman"/>
          <w:sz w:val="18"/>
          <w:szCs w:val="18"/>
          <w:color w:val="auto"/>
        </w:rPr>
      </w:pPr>
    </w:p>
    <w:p>
      <w:pPr>
        <w:ind w:left="1120" w:right="240" w:hanging="370"/>
        <w:spacing w:after="0" w:line="253"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as well as ownership and investment interests held by physicians and their immediate family members. For reporting beginning January 1, 2022, manufacturers will also need to report payments and other transfers of value made to physician assistants, nurse practitioners, clinical nurse specialists, certified nurse anesthetists, and certified nurse-midwives. Accordingly, we are required to track certain payments and other transfers of value to these additional covered recipients during the 2021 calendar year. The maximum penalty for failure to timely report information under the Sunshine Act is $11,766 per payment or other transfer of value or ownership or investment interest, with a calendar year cap of $176,495, and the maximum individual penalty and calendar year cap for knowing violations are $117,664 and $1,176,638, respectively;</w:t>
      </w:r>
    </w:p>
    <w:p>
      <w:pPr>
        <w:spacing w:after="0" w:line="19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governs, among other things, the misbranding and adulteration of medical devices; and</w:t>
      </w:r>
    </w:p>
    <w:p>
      <w:pPr>
        <w:spacing w:after="0" w:line="225" w:lineRule="exact"/>
        <w:rPr>
          <w:rFonts w:ascii="Times New Roman" w:cs="Times New Roman" w:eastAsia="Times New Roman" w:hAnsi="Times New Roman"/>
          <w:sz w:val="18"/>
          <w:szCs w:val="18"/>
          <w:color w:val="auto"/>
        </w:rPr>
      </w:pPr>
    </w:p>
    <w:p>
      <w:pPr>
        <w:ind w:left="1120" w:right="140" w:hanging="370"/>
        <w:spacing w:after="0" w:line="255"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including state anti-kickback and false claims laws, that may apply to our business practices, including but not limited to, research, sales and marketing arrangements and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professionals and entities.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additional oversight and reporting requirements and the curtailment or restructuring of our operations. Moreover, any investigation into our practices could cause adverse publicity and require a costly and time-consuming response.</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Tablo is a medical device subject to extensive regulation in the United States and elsewhere, including by the FDA and its foreign counterparts.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regulations specific to medical devices are wide ranging and govern, among other things:</w:t>
      </w:r>
    </w:p>
    <w:p>
      <w:pPr>
        <w:spacing w:after="0" w:line="207" w:lineRule="exact"/>
        <w:rPr>
          <w:sz w:val="20"/>
          <w:szCs w:val="20"/>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9" w:name="page60"/>
    <w:bookmarkEnd w:id="59"/>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3"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While most Class I devices are exempt from the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application. Some pre-amendment devices are unclassified but are subject to FDA’s premarket notification and clearance process in order to be commercially distributed. Our currently marketed product is a Class II device subject to 510(k) clearance.</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w:t>
      </w: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510(k) of the FDCA, de-novo classification, or PMA approval from the FDA, unless an exemption applies. The 510(k), de-novo or PMA processes can be expensive, lengthy and unpredictable. The FDA’s 510(k) clearance process usually takes from three to 12 months but can last longer. The process of obtaining a PMA approval is much more costly and uncertain than the 510(k) clearance process and generally takes from one to three years, or even longer, from the time the application is filed with the FDA. In addition, a PMA approval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8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have obtained 510(k) clearances to market Tablo for use in patients with acute and/or chronic renal failure, with or without ultrafiltration, in the settings of an acute or chronic care facility and the home. However, Tablo is not cleared by the FDA for CRRT.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or other regulators could delay, limit, or deny clearance or approval of a device for many reasons, including:</w:t>
      </w:r>
    </w:p>
    <w:p>
      <w:pPr>
        <w:spacing w:after="0" w:line="225" w:lineRule="exact"/>
        <w:rPr>
          <w:sz w:val="20"/>
          <w:szCs w:val="20"/>
          <w:color w:val="auto"/>
        </w:rPr>
      </w:pPr>
    </w:p>
    <w:p>
      <w:pPr>
        <w:ind w:left="1120" w:right="100" w:hanging="370"/>
        <w:spacing w:after="0" w:line="266"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Tablo System, or any other future device, and any accessories are substantially equivalent to a legally marketed predicate device or safe or effective for their proposed intended use;</w:t>
      </w:r>
    </w:p>
    <w:p>
      <w:pPr>
        <w:spacing w:after="0" w:line="175"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any clinical trials or the interpretation of data from preclinical studies or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0" w:name="page61"/>
    <w:bookmarkEnd w:id="60"/>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the data from preclinical studies or clinical trials to support clearance or approval, where required;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manufacturing process or facilities to meet applicable requirements; and</w:t>
      </w:r>
    </w:p>
    <w:p>
      <w:pPr>
        <w:spacing w:after="0" w:line="225" w:lineRule="exact"/>
        <w:rPr>
          <w:rFonts w:ascii="Times New Roman" w:cs="Times New Roman" w:eastAsia="Times New Roman" w:hAnsi="Times New Roman"/>
          <w:sz w:val="18"/>
          <w:szCs w:val="18"/>
          <w:color w:val="auto"/>
        </w:rPr>
      </w:pPr>
    </w:p>
    <w:p>
      <w:pPr>
        <w:ind w:left="1120" w:right="340" w:hanging="370"/>
        <w:spacing w:after="0" w:line="282" w:lineRule="auto"/>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83" w:lineRule="exact"/>
        <w:rPr>
          <w:sz w:val="20"/>
          <w:szCs w:val="20"/>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Tablo;</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PMA approval of new products or services, new intended uses or modifications to existing products or services;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PMA approvals that have already been granted; or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any of these events were to occur, it would negatively affect our business, financial condition and results of operations.</w:t>
      </w:r>
    </w:p>
    <w:p>
      <w:pPr>
        <w:spacing w:after="0" w:line="22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15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success of any new product offering or enhancement to an existing product will depend on a number of factors, including our ability to, among others:</w:t>
      </w:r>
    </w:p>
    <w:p>
      <w:pPr>
        <w:spacing w:after="0" w:line="162" w:lineRule="exact"/>
        <w:rPr>
          <w:sz w:val="20"/>
          <w:szCs w:val="20"/>
          <w:color w:val="auto"/>
        </w:rPr>
      </w:pPr>
    </w:p>
    <w:p>
      <w:pPr>
        <w:ind w:left="1120" w:hanging="370"/>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clinical studies;</w:t>
      </w:r>
    </w:p>
    <w:p>
      <w:pPr>
        <w:spacing w:after="0" w:line="225" w:lineRule="exact"/>
        <w:rPr>
          <w:rFonts w:ascii="Times New Roman" w:cs="Times New Roman" w:eastAsia="Times New Roman" w:hAnsi="Times New Roman"/>
          <w:sz w:val="18"/>
          <w:szCs w:val="18"/>
          <w:color w:val="auto"/>
        </w:rPr>
      </w:pPr>
    </w:p>
    <w:p>
      <w:pPr>
        <w:ind w:left="5540" w:right="2940" w:hanging="4790"/>
        <w:spacing w:after="0" w:line="532" w:lineRule="auto"/>
        <w:tabs>
          <w:tab w:leader="none" w:pos="11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1" w:name="page62"/>
    <w:bookmarkEnd w:id="61"/>
    <w:p>
      <w:pPr>
        <w:ind w:left="1120" w:hanging="370"/>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the FDA and applicable foreign regulations on marketing of new products or modified products; and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Tablo.</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products may require new 510(k) clearances or approval of PMA supplements, or may require us to cease marketing or recall the modified products until clearances or approvals are obtained.</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Modifications to Tablo and associated consumables may require new regulatory approvals or clearances, including 510(k) clearances or approval of PMA supplements,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Tablo in the past and may make additional modifications in the future that we believe do not or will not require additional clearances or approvals. If the FDA disagrees and requires new clearances or approvals for the modifications, we may be required to recall and to stop marketing Tablo as modified, which could require us to redesign Tablo and/or seek new marketing authorizations and harm our operating results. In these circumstances, we may be subject to significant enforcement actions.</w:t>
      </w:r>
    </w:p>
    <w:p>
      <w:pPr>
        <w:spacing w:after="0" w:line="18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new PMA or approval of a PMA supplement. Where we determine that modifications to Tablo require a new 510(k) clearance or PMA approval,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For example, we are establishing a second source manufacturing site in Tijuana, Mexico for the production of Tablo cartridges in partnership with our contract manufacturer, Providien. We were required to submit a new 510(k) clearance application for Tablo cartridges manufactured at this new facility, which we submitted in March 2021. If we do not receive this 510(k) clearance from the FDA in a timely manner, or at all, we will be unable to begin shipping Tablo cartridges produced at the new facility on our planned timeline, or at all. As a result, we would be required to continue relying exclusively on our existing contract manufacturer or execute other contingency plans to meet our supply needs, which could limit our supply capacity and ability to meet customer demand, increase production costs, and adversely impact our business, result of operations and future growth.</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92" w:lineRule="exact"/>
        <w:rPr>
          <w:sz w:val="20"/>
          <w:szCs w:val="20"/>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For example, the FDA has issued to us a post-market surveillance order under Section 522 of the FDCA which requires that we conduct a human factors study, as well as conduct a detailed analysis of adverse events and complaints from home users.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8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87"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such as Tablo, may in the future be subject to product recalls that could harm our reputation, business and financial results.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Tablo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or enforcement actions if we engage in improper marketing or promotion of Tablo.</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4" w:name="page65"/>
    <w:bookmarkEnd w:id="64"/>
    <w:p>
      <w:pPr>
        <w:ind w:firstLine="749"/>
        <w:spacing w:after="0" w:line="253" w:lineRule="auto"/>
        <w:rPr>
          <w:sz w:val="20"/>
          <w:szCs w:val="20"/>
          <w:color w:val="auto"/>
        </w:rPr>
      </w:pPr>
      <w:r>
        <w:rPr>
          <w:rFonts w:ascii="Times New Roman" w:cs="Times New Roman" w:eastAsia="Times New Roman" w:hAnsi="Times New Roman"/>
          <w:sz w:val="18"/>
          <w:szCs w:val="18"/>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For example, the recent change in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current Biden administration. The policies and priorities of a new administration are unknown and could materially impact the regulation governing our products.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5" w:name="page66"/>
    <w:bookmarkEnd w:id="65"/>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76" w:lineRule="exact"/>
        <w:rPr>
          <w:sz w:val="20"/>
          <w:szCs w:val="20"/>
          <w:color w:val="auto"/>
        </w:rPr>
      </w:pPr>
    </w:p>
    <w:p>
      <w:pPr>
        <w:ind w:left="1120" w:right="32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IDE application to the FDA, which must become effective prior to commencing certain human clinical trials of medical devices, and the FDA may reject our IDE application and notify us that we may not begin clinical trials;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and/or an IRB, or other reviewing bodies may not authorize us or our investigators to commence a clinical trial, or to conduct or continue a clinical trial at a prospective or specific trial site;</w:t>
      </w:r>
    </w:p>
    <w:p>
      <w:pPr>
        <w:spacing w:after="0" w:line="161"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120" w:right="12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1120" w:right="20" w:hanging="370"/>
        <w:spacing w:after="0" w:line="266"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1120" w:right="44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120" w:right="76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1120" w:right="4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161"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ind w:left="1120" w:hanging="370"/>
        <w:spacing w:after="0" w:line="261"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9"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the FDA or applicable foreign regulatory agencies may change in a manner rendering our clinical data insufficient for approval;</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 and</w:t>
      </w:r>
    </w:p>
    <w:p>
      <w:pPr>
        <w:spacing w:after="0" w:line="225" w:lineRule="exact"/>
        <w:rPr>
          <w:rFonts w:ascii="Times New Roman" w:cs="Times New Roman" w:eastAsia="Times New Roman" w:hAnsi="Times New Roman"/>
          <w:sz w:val="18"/>
          <w:szCs w:val="18"/>
          <w:color w:val="auto"/>
        </w:rPr>
      </w:pPr>
    </w:p>
    <w:p>
      <w:pPr>
        <w:ind w:left="1120" w:right="40" w:hanging="370"/>
        <w:spacing w:after="0" w:line="261"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regional or global public health crises including the ongoing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spacing w:after="0" w:line="18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8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7" w:name="page68"/>
    <w:bookmarkEnd w:id="67"/>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5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8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applications to be reviewed and/or approved by necessary government agencies, which would adversely affect our business. For example, in recent years, including for 35 days beginning on December 22, 2018, the U.S. government shut down several times and certain regulatory agencies, including the FDA,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the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8" w:name="page69"/>
    <w:bookmarkEnd w:id="68"/>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p>
    <w:p>
      <w:pPr>
        <w:spacing w:after="0" w:line="175"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for services. We are a business associate under HIPAA and we execute business associate agreements with our clients.</w:t>
      </w:r>
    </w:p>
    <w:p>
      <w:pPr>
        <w:spacing w:after="0" w:line="183"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spacing w:after="0" w:line="176"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For example, the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it may regulate or impact our processing of personal information depending on the context, and the CCPA may increase our compliance costs and potential liability. Additionally, our machine learning and data analytics offerings may be subject to laws and evolving regulations regarding the use of artificial intelligence, controlling for data bias, and antidiscrimination.</w:t>
      </w:r>
    </w:p>
    <w:p>
      <w:pPr>
        <w:spacing w:after="0" w:line="18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Other states, including Nevada, have passed data protection laws, or are considering passing legislation, similar to CCPA. These laws would impose organizational requirements and grant individual rights that are comparable to those established in the CCPA. Additionally, a new ballot initiative,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9" w:name="page70"/>
    <w:bookmarkEnd w:id="69"/>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8"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5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76" w:lineRule="exact"/>
        <w:rPr>
          <w:sz w:val="20"/>
          <w:szCs w:val="20"/>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requirements, including those laws requiring the reporting of true, complete and accurate information to the FDA authorities;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and occupational safety laws.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to protect our intellectual property.</w:t>
      </w:r>
    </w:p>
    <w:p>
      <w:pPr>
        <w:spacing w:after="0" w:line="229"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9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194"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9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our proprietary software to general release, adversely affect our ability to sell Tablo and subject us to possible litigation.</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120" w:right="40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Tablo or utilize similar technology but that are not covered by the claims of our patents or that incorporate certain technology in Tablo that is in the public domain;</w:t>
      </w:r>
    </w:p>
    <w:p>
      <w:pPr>
        <w:spacing w:after="0" w:line="161"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61" w:lineRule="exact"/>
        <w:rPr>
          <w:rFonts w:ascii="Times New Roman" w:cs="Times New Roman" w:eastAsia="Times New Roman" w:hAnsi="Times New Roman"/>
          <w:sz w:val="18"/>
          <w:szCs w:val="18"/>
          <w:color w:val="auto"/>
        </w:rPr>
      </w:pPr>
    </w:p>
    <w:p>
      <w:pPr>
        <w:ind w:left="1120" w:right="76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4" w:name="page75"/>
    <w:bookmarkEnd w:id="74"/>
    <w:p>
      <w:pPr>
        <w:ind w:left="1120" w:right="20" w:hanging="370"/>
        <w:spacing w:after="0" w:line="28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rFonts w:ascii="Times New Roman" w:cs="Times New Roman" w:eastAsia="Times New Roman" w:hAnsi="Times New Roman"/>
          <w:sz w:val="18"/>
          <w:szCs w:val="18"/>
          <w:color w:val="auto"/>
        </w:rPr>
      </w:pPr>
    </w:p>
    <w:p>
      <w:pPr>
        <w:ind w:left="1120" w:right="220" w:hanging="370"/>
        <w:spacing w:after="0" w:line="28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products or services in foreign countries where we do not have any patents or patent applications and/or where legal recourse may be limited. This may have a significant commercial impact on any foreign business operations.</w:t>
      </w:r>
    </w:p>
    <w:p>
      <w:pPr>
        <w:spacing w:after="0" w:line="162"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p>
    <w:p>
      <w:pPr>
        <w:spacing w:after="0" w:line="15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continue to fluctuate or decline significantly in response to numerous factors, many of which are beyond our control, including:</w:t>
      </w:r>
    </w:p>
    <w:p>
      <w:pPr>
        <w:spacing w:after="0" w:line="162" w:lineRule="exact"/>
        <w:rPr>
          <w:sz w:val="20"/>
          <w:szCs w:val="20"/>
          <w:color w:val="auto"/>
        </w:rPr>
      </w:pPr>
    </w:p>
    <w:p>
      <w:pPr>
        <w:ind w:left="1120" w:right="160" w:hanging="370"/>
        <w:spacing w:after="0" w:line="28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and variations between our actual operating results and the expectations of securities analysts, investors and the financial community;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ind w:left="1120" w:right="100" w:hanging="370"/>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61" w:lineRule="exact"/>
        <w:rPr>
          <w:rFonts w:ascii="Times New Roman" w:cs="Times New Roman" w:eastAsia="Times New Roman" w:hAnsi="Times New Roman"/>
          <w:sz w:val="18"/>
          <w:szCs w:val="18"/>
          <w:color w:val="auto"/>
        </w:rPr>
      </w:pPr>
    </w:p>
    <w:p>
      <w:pPr>
        <w:ind w:left="1120" w:right="220" w:hanging="370"/>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25" w:lineRule="exact"/>
        <w:rPr>
          <w:rFonts w:ascii="Times New Roman" w:cs="Times New Roman" w:eastAsia="Times New Roman" w:hAnsi="Times New Roman"/>
          <w:sz w:val="18"/>
          <w:szCs w:val="18"/>
          <w:color w:val="auto"/>
        </w:rPr>
      </w:pPr>
    </w:p>
    <w:p>
      <w:pPr>
        <w:ind w:left="1120" w:right="120" w:hanging="370"/>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1120" w:right="460" w:hanging="370"/>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61" w:lineRule="exact"/>
        <w:rPr>
          <w:rFonts w:ascii="Times New Roman" w:cs="Times New Roman" w:eastAsia="Times New Roman" w:hAnsi="Times New Roman"/>
          <w:sz w:val="18"/>
          <w:szCs w:val="18"/>
          <w:color w:val="auto"/>
        </w:rPr>
      </w:pPr>
    </w:p>
    <w:p>
      <w:pPr>
        <w:ind w:left="1120" w:right="360" w:hanging="370"/>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political conditions, election cycles, war or incidents of terrorism, or responses to these events.</w:t>
      </w:r>
    </w:p>
    <w:p>
      <w:pPr>
        <w:spacing w:after="0" w:line="16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our IPO, each of our directors, executive officers and other holders of substantially all our outstanding equity securities entered into lock-up agreements that restricted their ability to sell or transfer their shares for a period of 180 days after the date of the prospectus of our IPO. Such lock-up agreements expired on March 13, 2021 and as a result, all 42,722,492 shares outstanding as of December 31, 2020 are now eligible for sale in the public market, of which 7,828,000 shares are held by directors, executive officers and other affiliates that are subject to volume limitations under Rule 144 of the Securities Act of 1933, as amended (the Securities Act), and various vesting agreements. Sales of a substantial number of such shares or the perception that such sales may occur, could cause our market price to fall or make it more difficult for you to sell your common stock at a time and price that you deem appropriate.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SVB Loan and Security Agreement restrict our ability to pay dividends to limited circumstances. Accordingly, investors must rely on sales of their common stock after price appreciation, which may never occur, as the only way to realize any future gains on their investments.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exercise significant influence over matters subject to stockholder approval.</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2020, our executive officers, directors and 5% stockholders beneficially owned approximately 68% of the outstanding shares of capital stock. In addition, as of December 31, 2020, our executive officers and directors held options to purchase an aggregate of 3,156,768 shares of our common stock at a weighted-average exercise price of $6.33 per share, and 80,000 restricted stock units, which would give our officers and directors ownership of approximately 8% of our outstanding common stock as of December 31, 2020 if such awards were fully vested and exercised or settled in full (assuming over-achievement of any performance conditions). Therefore, these stockholders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jc w:val="both"/>
        <w:ind w:left="1120" w:right="20" w:hanging="370"/>
        <w:spacing w:after="0" w:line="26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Annual Report;</w:t>
      </w:r>
    </w:p>
    <w:p>
      <w:pPr>
        <w:spacing w:after="0" w:line="175" w:lineRule="exact"/>
        <w:rPr>
          <w:rFonts w:ascii="Times New Roman" w:cs="Times New Roman" w:eastAsia="Times New Roman" w:hAnsi="Times New Roman"/>
          <w:sz w:val="18"/>
          <w:szCs w:val="18"/>
          <w:color w:val="auto"/>
        </w:rPr>
      </w:pPr>
    </w:p>
    <w:p>
      <w:pPr>
        <w:ind w:left="1120" w:right="560" w:hanging="370"/>
        <w:spacing w:after="0" w:line="282"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1120" w:right="620" w:hanging="370"/>
        <w:spacing w:after="0" w:line="282"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this Annual Report on our 10-K, our periodic reports and proxy statements; and</w:t>
      </w:r>
    </w:p>
    <w:p>
      <w:pPr>
        <w:spacing w:after="0" w:line="161"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As a result, our stockholders may not have access to certain information that they may deem important. We could be an emerging growth company for up to five years following our IPO,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9" w:lineRule="exact"/>
        <w:rPr>
          <w:sz w:val="20"/>
          <w:szCs w:val="20"/>
          <w:color w:val="auto"/>
        </w:rPr>
      </w:pPr>
    </w:p>
    <w:p>
      <w:pPr>
        <w:ind w:right="220" w:firstLine="749"/>
        <w:spacing w:after="0" w:line="257"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1" w:lineRule="exact"/>
        <w:rPr>
          <w:sz w:val="20"/>
          <w:szCs w:val="20"/>
          <w:color w:val="auto"/>
        </w:rPr>
      </w:pPr>
    </w:p>
    <w:p>
      <w:pPr>
        <w:ind w:right="400" w:firstLine="8"/>
        <w:spacing w:after="0" w:line="260"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stockholders and impair the market price of our common stock.</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requires substantial management attention.</w:t>
      </w:r>
    </w:p>
    <w:p>
      <w:pPr>
        <w:spacing w:after="0" w:line="229"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17"/>
          <w:szCs w:val="17"/>
          <w:color w:val="auto"/>
        </w:rPr>
        <w:t>As a new public company, we have incurred substantial legal, accounting and other expenses that we did not incur as a private company. For example, we are subject to the reporting requirements of the Securities Exchange Act of 1934, as amended (the Exchange Act), the applicable requirements of the Sarbanes-Oxley Act and the Dodd-Frank Wall Street Reform and Consumer Protection Act and the rules and regulations of the SEC. The rules and regulations of The Nasdaq Global Select Market also apply to us. As part of these requirements, we have made changes to our corporate governance practices and will need to maintain effective disclosure and financial controls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maintain effective controls could adversely affect the results of periodic management evaluations. Compliance with these requirements has and will continue to increase our legal and financial compliance costs and will make some activities more time-consuming.</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management and other personnel have needed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once we lose our status as an emerging growth company or voluntarily choose to forego the exemption from compliance with Section 404 of the Sarbanes-Oxley Act. We will need to hire additional accounting and financial staff with appropriate public company experience and technical accounting knowledge.</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Being a public company and complying with applicable rules and regulations also makes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76" w:lineRule="exact"/>
        <w:rPr>
          <w:sz w:val="20"/>
          <w:szCs w:val="20"/>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225" w:lineRule="exact"/>
        <w:rPr>
          <w:rFonts w:ascii="Times New Roman" w:cs="Times New Roman" w:eastAsia="Times New Roman" w:hAnsi="Times New Roman"/>
          <w:sz w:val="18"/>
          <w:szCs w:val="18"/>
          <w:color w:val="auto"/>
        </w:rPr>
      </w:pPr>
    </w:p>
    <w:p>
      <w:pPr>
        <w:ind w:left="1120" w:right="380" w:hanging="370"/>
        <w:spacing w:after="0" w:line="282" w:lineRule="auto"/>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by the affirmative vote of the holders of at least a majority of the voting power of all then outstanding shares of our capital stock;</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bylaws;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225"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5"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w:t>
      </w:r>
    </w:p>
    <w:p>
      <w:pPr>
        <w:spacing w:after="0" w:line="3" w:lineRule="exact"/>
        <w:rPr>
          <w:sz w:val="20"/>
          <w:szCs w:val="20"/>
          <w:color w:val="auto"/>
        </w:rPr>
      </w:pPr>
    </w:p>
    <w:p>
      <w:pPr>
        <w:ind w:right="40" w:firstLine="8"/>
        <w:spacing w:after="0" w:line="253"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8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9" w:name="page80"/>
    <w:bookmarkEnd w:id="79"/>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Our customers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our recent IPO could lead to disparities of wealth among our employees, which could adversely impact relations among employees and our culture in general. Our anticipated headcount growth and our status as a newly public company may result in a change to our corporate culture, which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doubtful accounts,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5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In July 2020, we entered into the SVB Loan and Security Agreement which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May 2020, we entered into an operating lease agreement for our new manufacturing facility in Tijuana, Mexico. We took initial possession of the building with approximately 48,437 square feet in May 2020 and are scheduled to take possession of the second space with approximately 38,750 square feet in June 2021.</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1" w:name="page82"/>
    <w:bookmarkEnd w:id="81"/>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we lease approximately 40,413 square feet for our corporate headquarters located in San Jose, California under a lease agreement that terminates in 2027. This facility supports research and development and general and administrative activities, as well as complimentary manufacturing and distribution for consoles and service parts.</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believe that these facilities are sufficient to meet our current and anticipated needs in the near term and that additional space can be obtained on commercially reasonable terms as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2" w:name="page83"/>
    <w:bookmarkEnd w:id="8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“OM” since September 15, 2020. Prior to that date, there was no public trading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As of March 15, 2021, there were 369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160" w:firstLine="749"/>
        <w:spacing w:after="0" w:line="312" w:lineRule="auto"/>
        <w:rPr>
          <w:sz w:val="20"/>
          <w:szCs w:val="20"/>
          <w:color w:val="auto"/>
        </w:rPr>
      </w:pPr>
      <w:r>
        <w:rPr>
          <w:rFonts w:ascii="Times New Roman" w:cs="Times New Roman" w:eastAsia="Times New Roman" w:hAnsi="Times New Roman"/>
          <w:sz w:val="17"/>
          <w:szCs w:val="17"/>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3" w:name="page84"/>
    <w:bookmarkEnd w:id="83"/>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relative to the cumulative total returns of the NASDAQ Composite Index and the NASDAQ Biotechnology Index for the period from September 15, 2020 (the first day of trading of our common stock) through December 31, 2020. An investment of $100 is assumed to have been made in our common stock and each index at market close on September 15, 2020 and its relative performance is tracked through December 31, 2020. Pursuant to applicable Securities and Exchange Commission rules, all values assume reinvestment of the full amount of all dividends, however no dividends have been declared on our common stock to date. The offering price of our common stock in our IPO, which had a closing stock price of $60.68 on September 15, 2020, was $27.00 per share. Note that historic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268605</wp:posOffset>
            </wp:positionV>
            <wp:extent cx="4928870" cy="33858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887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Stock Issuances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January and March 2020, excluding shares issued pursuant to stock purchase rights as described below, we sold an aggregate of 56,818,179 shares of our Series E redeemable convertible preferred stock to accredited investors at a purchase price of $2.20 per share, for an aggregate purchase price of $124,999,994.</w:t>
      </w:r>
    </w:p>
    <w:p>
      <w:pPr>
        <w:spacing w:after="0" w:line="176"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In January 2020, we issued an aggregate of 4,849,933 shares of our common stock as a stock dividend to the holders of our redeemable convertible preferred stock.</w:t>
      </w:r>
    </w:p>
    <w:p>
      <w:pPr>
        <w:spacing w:after="0" w:line="162"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In September 2020, we issued an aggregate of 25,957,884 shares of our common stock upon the automatic conversion of all shares of our redeemable convertible preferred stock in connection with our initial public offering.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2020, we issued an aggregate of 274,590 shares of our common stock upon the exercise of outstanding warrants.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firstLine="749"/>
        <w:spacing w:after="0" w:line="258" w:lineRule="auto"/>
        <w:rPr>
          <w:sz w:val="20"/>
          <w:szCs w:val="20"/>
          <w:color w:val="auto"/>
        </w:rPr>
      </w:pPr>
      <w:r>
        <w:rPr>
          <w:rFonts w:ascii="Times New Roman" w:cs="Times New Roman" w:eastAsia="Times New Roman" w:hAnsi="Times New Roman"/>
          <w:sz w:val="18"/>
          <w:szCs w:val="18"/>
          <w:color w:val="auto"/>
        </w:rPr>
        <w:t>The capital stock issuances described above were exempt from registration under the Securities Act (or Regulation D promulgated thereunder) by virtue of Section 4(a)(2) of the Securities Act as transactions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Issuances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From January 1, 2020 through September 9, 2020, we granted to our directors, officers, employees, consultants and other service providers options to purchase an aggregate of 1,480,135 shares of our common stock under our 2019 Equity Incentive Plan and 2020 Equity Incentive Plan at exercise prices ranging from approximately $8.62 to $27.00 per share and have issued 322,602 shares of our common stock upon exercise of such options from January 1, 2020 to September 18, 2020.</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March 2020, we granted to our directors, officers, employees, consultants and other service providers rights to purchase an aggregate of 963,696 shares of our Series E redeemable convertible preferred stock under our 2020 Preferred Stock Purchase Plan at an exercise price of $2.20 per share and have issued 963,696 shares of our Series E redeemable convertible preferred stock upon exercise of such rights.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option issuances described above were exempt from registration under the Securities Act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On September 14, 2020, our registration on Form S-1 (File No. 333-248225) was declared effective for our IPO and on September 17, 2020, we completed our IPO, in which we sold 10,293,777 shares of common stock at a price to the public of $27.00 per share. As a result of the IPO, we received aggregate net proceeds of approximately $254.8 million after deducting offering costs, underwriting discounts and commissions of approximately $23.1 million. None of the expenses associated with the IPO were paid to directors, officers, persons owning 10% or more of any class of equity securities, or to their associates, or to our affiliates.</w:t>
      </w:r>
    </w:p>
    <w:p>
      <w:pPr>
        <w:spacing w:after="0" w:line="183"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BofA Securities, Inc., Morgan Stanley &amp; Co. LLC and Goldman Sachs &amp; Co. LLC acted as representatives of the underwriters for the IPO. There has been no material change in the expected use of the net proceeds from our IPO, as described in our final prospectus filed with the SEC on September 16, 2020 pursuant to Rule 424(b)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or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w w:val="99"/>
              </w:rPr>
              <w:t>Item 6. Selected Financial Data.</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8"/>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shd w:val="clear" w:color="auto" w:fill="CFF0FC"/>
          </w:tcPr>
          <w:p>
            <w:pPr>
              <w:jc w:val="right"/>
              <w:ind w:right="3790"/>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(2,891)</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(4,257)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warrant liability</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r>
              <w:rPr>
                <w:rFonts w:ascii="Times New Roman" w:cs="Times New Roman" w:eastAsia="Times New Roman" w:hAnsi="Times New Roman"/>
                <w:sz w:val="15"/>
                <w:szCs w:val="15"/>
                <w:color w:val="auto"/>
              </w:rPr>
              <w:t>(1)</w:t>
            </w: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53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15"/>
                <w:szCs w:val="15"/>
                <w:color w:val="auto"/>
              </w:rPr>
              <w:t>(1)</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34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6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r>
              <w:rPr>
                <w:rFonts w:ascii="Times New Roman" w:cs="Times New Roman" w:eastAsia="Times New Roman" w:hAnsi="Times New Roman"/>
                <w:sz w:val="15"/>
                <w:szCs w:val="15"/>
                <w:color w:val="auto"/>
              </w:rPr>
              <w:t>(1)</w:t>
            </w:r>
          </w:p>
        </w:tc>
        <w:tc>
          <w:tcPr>
            <w:tcW w:w="6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80" w:right="8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and Note 11 to the Notes to Financial Statements included in Part II, Item 8 of this Annual Report for further details on the calculation of net loss per share attributable to common stockholders, basic and diluted, the weighted-average shares used to compute net loss per share attributable to common stockholders, basic and diluted.</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23"/>
        </w:trPr>
        <w:tc>
          <w:tcPr>
            <w:tcW w:w="5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short-term investments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348,181</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70,821</w:t>
            </w:r>
          </w:p>
        </w:tc>
        <w:tc>
          <w:tcPr>
            <w:tcW w:w="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(1)</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309,219</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403,829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88,366</w:t>
            </w:r>
          </w:p>
        </w:tc>
        <w:tc>
          <w:tcPr>
            <w:tcW w:w="8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note, current and noncurrent</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29,674</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8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409,446</w:t>
            </w:r>
          </w:p>
        </w:tc>
        <w:tc>
          <w:tcPr>
            <w:tcW w:w="8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(494,059)</w:t>
            </w:r>
          </w:p>
        </w:tc>
        <w:tc>
          <w:tcPr>
            <w:tcW w:w="5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(372,567)</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328,609</w:t>
            </w: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(372,187)</w:t>
            </w:r>
          </w:p>
        </w:tc>
      </w:tr>
    </w:tbl>
    <w:p>
      <w:pPr>
        <w:spacing w:after="0" w:line="225" w:lineRule="exact"/>
        <w:rPr>
          <w:sz w:val="20"/>
          <w:szCs w:val="20"/>
          <w:color w:val="auto"/>
        </w:rPr>
      </w:pPr>
    </w:p>
    <w:p>
      <w:pPr>
        <w:ind w:left="380" w:hanging="372"/>
        <w:spacing w:after="0" w:line="282"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financial statements and the related notes included elsewhere in this Annual Report for further details regarding our current assets and current liabilities.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Tablo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technology platform from the hospital to the home. Tablo is also intelligent and connected, with automated documentation and the ability to integrate with electronic medical record reporting, along with streamlined remote machine management to maximize device uptime. 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U.S. Food and Drug Administration (FDA) for use in the hospital, clinic or home setting.</w:t>
      </w:r>
    </w:p>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remote treatment monitoring and clinical recordkeeping and the ability to activate new capabilities and enhancements through wireless software updates. Tablo’s data analytics and connectivity also enable predictive preventative maintenance to maximize machine uptime. Unlike existing hemodialysis machines, which have limited clinical versatility across care settings and are generally burdened by specialized and expensive infrastructure, Tablo is a single enterprise solution that can be seamlessly utilized across different care settings and for multiple clinical needs.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1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sell our solution through our direct sales organization, which covers most major metropolitan markets in the United States. As of December 31, 2020, our sales organization is comprised of 32 capital sales team members, responsible for generating new customer demand for Tablo, and 47 clinical sales team members responsible for driving utilization and fleet expansion of Tablo consoles at existing customer sites. In addition, our field service team comprised of 69 members provides maintenance services and 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7"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We are executing a well-defined, three-pronged strategy designed to expand gross margins. First, we have insourced our console manufacturing to help lower console cost. Second, we are adding a second-source contract manufacturer for our cartridges to gain higher efficiency and lower material cost. Third, we will continue to utilize our cloud-based data system, as well as enhanced product performance, to help drive down the cost of service.</w:t>
      </w:r>
    </w:p>
    <w:p>
      <w:pPr>
        <w:spacing w:after="0" w:line="158"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initial sale of Tablo consoles, and recurring sales of per-treatment consumables, including the Tablo cartridge, which generates significant total revenue over the life of the console. We generate additional revenue via annual service contracts and shipping and handling charged to customer. Our total revenue was $49.9 million, $15.1 million and $2.0 million for the years ended December 31, 2020, 2019 and 2018, respectively. For the years ended December 31, 2020, 2019 and 2018, we incurred net losses of $121.5 million, $68.3 million and $49.8 million, respectively. As of December 31, 2020, we had an accumulated deficit of $494.1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On September 17, 2020, we completed our IPO, in which we sold 10,293,777 shares of common stock (which included 1,342,666 shares that were offered and sold pursuant to the full exercise of the IPO underwriters’ option to purchase additional shares in connection with the IPO) at a price to the public of $27.00 per share. Including the full exercise of the underwriters’ option to purchase additional shares, we received aggregate net proceeds of approximately $254.8 million after deducting offering costs, underwriting discounts and commissions of approximately $23.1 million. Upon the closing of the IPO, all of our outstanding redeemable convertible preferred stock automatically converted into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225" w:lineRule="exact"/>
        <w:rPr>
          <w:sz w:val="20"/>
          <w:szCs w:val="20"/>
          <w:color w:val="auto"/>
        </w:rPr>
      </w:pPr>
    </w:p>
    <w:p>
      <w:pPr>
        <w:ind w:left="1120" w:right="160" w:hanging="370"/>
        <w:spacing w:after="0" w:line="259"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Acceptance of Tablo in Acute Setting. </w:t>
      </w:r>
      <w:r>
        <w:rPr>
          <w:rFonts w:ascii="Times New Roman" w:cs="Times New Roman" w:eastAsia="Times New Roman" w:hAnsi="Times New Roman"/>
          <w:sz w:val="18"/>
          <w:szCs w:val="18"/>
          <w:color w:val="auto"/>
        </w:rPr>
        <w:t>We plan to broaden our installed base by continuing to target IDNs and health systems,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 and sub-acute LTACH and SNF providers. In addition, we plan to focus on driving utilization and fleet expansion with existing customers by providing an exceptional user experience delivered through our commercial team and a steady release of software enhancements that amplify Tablo’s operational reliability. Our ability to successfully execute on this strategy, and thereby increase our revenue, will in part drive our results of operations and impact on our business.</w:t>
      </w:r>
    </w:p>
    <w:p>
      <w:pPr>
        <w:spacing w:after="0" w:line="179" w:lineRule="exact"/>
        <w:rPr>
          <w:rFonts w:ascii="Times New Roman" w:cs="Times New Roman" w:eastAsia="Times New Roman" w:hAnsi="Times New Roman"/>
          <w:sz w:val="18"/>
          <w:szCs w:val="18"/>
          <w:color w:val="auto"/>
        </w:rPr>
      </w:pPr>
    </w:p>
    <w:p>
      <w:pPr>
        <w:ind w:left="1120" w:hanging="370"/>
        <w:spacing w:after="0" w:line="259"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Expansion of Tablo within the Home Setting. </w:t>
      </w:r>
      <w:r>
        <w:rPr>
          <w:rFonts w:ascii="Times New Roman" w:cs="Times New Roman" w:eastAsia="Times New Roman" w:hAnsi="Times New Roman"/>
          <w:sz w:val="18"/>
          <w:szCs w:val="18"/>
          <w:color w:val="auto"/>
        </w:rPr>
        <w:t>We believe a significant growth opportunity exists within the home hemodialysis market.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partnering with health systems and innovative dialysis clinic providers who are motivated to grow their home hemodialysis population, and who share our vision of creating a seamless and supported transition to the home. We will also invest in market development over the longer term to expand the home hemodialysis market itself. The expansion of the home hemodialysis market and our ability to penetrate this market will be an important factor in driving the future growth of our business.</w:t>
      </w:r>
    </w:p>
    <w:p>
      <w:pPr>
        <w:spacing w:after="0" w:line="179" w:lineRule="exact"/>
        <w:rPr>
          <w:rFonts w:ascii="Times New Roman" w:cs="Times New Roman" w:eastAsia="Times New Roman" w:hAnsi="Times New Roman"/>
          <w:sz w:val="18"/>
          <w:szCs w:val="18"/>
          <w:color w:val="auto"/>
        </w:rPr>
      </w:pPr>
    </w:p>
    <w:p>
      <w:pPr>
        <w:ind w:left="1120" w:right="100" w:hanging="370"/>
        <w:spacing w:after="0" w:line="253"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The results of our business will depend in part on our ability to increase our gross margins by more effectively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costs to produce Tablo consoles and consumables, as well as subsequently servicing Tablo for our customers. The Tablo cartridge is currently produced by our contract manufacturer based in Thailand, and, until recently, we exclusively relied on our contract manufacturer based in Morgan Hill, California for production of the Tablo console. Utilizing these contract manufacturers has resulted in higher direct console and cartridge costs. As a result, cost of product revenue was $57.0 million, $27.2 million and $7.8 million for the years ended December 31, 2020, 2019 and 2018, respectively. We are currently undertaking a number of initiatives in order to help reduce these costs. We recently established a new manufacturing facility for the production of Tablo consoles in Tijuana, Mexico which we operate in collaboration with our outsourced business administration service provider, Tacna, and have begun manufacturing in the first quarter of 2021. In addition, we are moving production of a majority of Tablo cartridges from our existing contract manufacturing partner to a new contract manufacturer, also located in Tijuana, Mexico. Our ability to grow our business will depend in part on these and other measures to control the costs of producing Tablo being successful. Likewise, it will be important that we effectively manage the costs of generating our service revenue. Our cost of service and other revenue was $5.9 million, $5.7 million and $0.3 million for the years ended December 31, 2020, 2019 and 2018.</w:t>
      </w:r>
    </w:p>
    <w:p>
      <w:pPr>
        <w:spacing w:after="0" w:line="187" w:lineRule="exact"/>
        <w:rPr>
          <w:rFonts w:ascii="Times New Roman" w:cs="Times New Roman" w:eastAsia="Times New Roman" w:hAnsi="Times New Roman"/>
          <w:sz w:val="18"/>
          <w:szCs w:val="18"/>
          <w:color w:val="auto"/>
        </w:rPr>
      </w:pPr>
    </w:p>
    <w:p>
      <w:pPr>
        <w:ind w:left="1120" w:right="280" w:hanging="370"/>
        <w:spacing w:after="0" w:line="262"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Impacts of the COVID-19 pandemic. </w:t>
      </w:r>
      <w:r>
        <w:rPr>
          <w:rFonts w:ascii="Times New Roman" w:cs="Times New Roman" w:eastAsia="Times New Roman" w:hAnsi="Times New Roman"/>
          <w:sz w:val="18"/>
          <w:szCs w:val="18"/>
          <w:color w:val="auto"/>
        </w:rPr>
        <w:t>In March 2020, the World Health Organization declared the global outbreak of COVID-19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pandemic. Since then, COVID-19 has continued to spread throughout much of the United States and the world causing uncertainty and disruption to business activities. We continue to closely monitor the recent developments surrounding the continued spread and potential resurgence of COVID-19. The results of our business may be impacted by developments related to the COVID-19 pandemic.</w:t>
      </w:r>
    </w:p>
    <w:p>
      <w:pPr>
        <w:spacing w:after="0" w:line="180" w:lineRule="exact"/>
        <w:rPr>
          <w:rFonts w:ascii="Times New Roman" w:cs="Times New Roman" w:eastAsia="Times New Roman" w:hAnsi="Times New Roman"/>
          <w:sz w:val="18"/>
          <w:szCs w:val="18"/>
          <w:color w:val="auto"/>
        </w:rPr>
      </w:pPr>
    </w:p>
    <w:p>
      <w:pPr>
        <w:ind w:left="1140" w:right="4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COVID-19 pandemic has highlighted the limitations of traditional machines and the benefits of Tablo, driving an increase in demand for Tablo during the second and third quarters of 2020. We also believe the advantages of Tablo highlighted by the pandemic are now embedded as one of the many factors driving our customers’ purchasing decisions and do not expect to experience significant revenue driven solely by COVID-19 in future periods. However, the duration and extent of the COVID-19 pandemic are uncertain, and we cannot predict with certainty the full impact of the COVID-19 pandemic and related containment measures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8" w:name="page89"/>
    <w:bookmarkEnd w:id="88"/>
    <w:p>
      <w:pPr>
        <w:ind w:left="1140" w:right="20"/>
        <w:spacing w:after="0" w:line="254" w:lineRule="auto"/>
        <w:rPr>
          <w:sz w:val="20"/>
          <w:szCs w:val="20"/>
          <w:color w:val="auto"/>
        </w:rPr>
      </w:pPr>
      <w:r>
        <w:rPr>
          <w:rFonts w:ascii="Times New Roman" w:cs="Times New Roman" w:eastAsia="Times New Roman" w:hAnsi="Times New Roman"/>
          <w:sz w:val="18"/>
          <w:szCs w:val="18"/>
          <w:color w:val="auto"/>
        </w:rPr>
        <w:t>In order to operate in a safe manner, we are following the health and safety guidelines of the U.S. Centers for Disease Control and Prevention, Occupational Safety and Health Administration, and local and state public health departments where we operate. We have restricted non-essential travel by our employees, and the majority of our employees at our headquarters have been asked to work from home, with only limited access given to employees to work in the office. For roles that require employees to be physically on-site, such as our R&amp;D and manufacturing technical staff, we have and continue to provide protective equipment, practice social distancing, enforce mask wearing, increase sanitizing standards and implement COVID-19 testing at our facilities. In addition,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192" w:lineRule="exact"/>
        <w:rPr>
          <w:sz w:val="20"/>
          <w:szCs w:val="20"/>
          <w:color w:val="auto"/>
        </w:rPr>
      </w:pPr>
    </w:p>
    <w:p>
      <w:pPr>
        <w:ind w:left="1140"/>
        <w:spacing w:after="0" w:line="253" w:lineRule="auto"/>
        <w:rPr>
          <w:sz w:val="20"/>
          <w:szCs w:val="20"/>
          <w:color w:val="auto"/>
        </w:rPr>
      </w:pPr>
      <w:r>
        <w:rPr>
          <w:rFonts w:ascii="Times New Roman" w:cs="Times New Roman" w:eastAsia="Times New Roman" w:hAnsi="Times New Roman"/>
          <w:sz w:val="18"/>
          <w:szCs w:val="18"/>
          <w:color w:val="auto"/>
        </w:rPr>
        <w:t>Our business may also be impacted by an escalation or a continuation of the COVID-19 pandemic. Operations at our contract manufacturing partners’ facilities and our outsourced business administration service provider, Tacna, for our new facility in Tijuana, Mexico, may be disrupted. Additionally, the COVID-19 pandemic has disrupted the operations of certain of our third-party suppliers, resulting in increased lead-times for our purchase of some components and, in certain cases, requiring us to procure materials from alternative sources or incur higher logistics expenses. We have worked closely with our manufacturing partners and suppliers to enable us to source key components and maintain appropriate inventory levels to meet customer demand and have not experienced disruptions in our supply chain to date. However,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There is no assurance that we will not experience more significant disruptions in our supply chain in the future, particularly if the operations of our contract manufacturing partners, our critical single source component providers, or the facility we operate in Tijuana, Mexico in collaboration with Tacna, are more severely impacted by the pandemic and associated containment measures.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60" w:firstLine="749"/>
        <w:spacing w:after="0" w:line="289" w:lineRule="auto"/>
        <w:rPr>
          <w:sz w:val="20"/>
          <w:szCs w:val="20"/>
          <w:color w:val="auto"/>
        </w:rPr>
      </w:pPr>
      <w:r>
        <w:rPr>
          <w:rFonts w:ascii="Times New Roman" w:cs="Times New Roman" w:eastAsia="Times New Roman" w:hAnsi="Times New Roman"/>
          <w:sz w:val="17"/>
          <w:szCs w:val="17"/>
          <w:color w:val="auto"/>
        </w:rPr>
        <w:t>We generate our revenue primarily from the sale of products and services. In addition, we enter into console operating lease arrangements that contain lease and non-lease components. Revenue related to lease arrangements is allocated to the lease and non-lease elements based on their relative standalone selling price, with the lease component recorded in product revenue and the non-lease component recorded in service and other revenue.</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generate product revenue from the sale, and to a lesser extent, leasing of our Tablo consoles and the sale of related consumables, including the Tablo cartridge. Revenue is recognized when control of our Tablo consoles is transferred, generally upon shipment, and excludes the value of the first-year service agreement, which is recognized as service and other revenue. Leases of Tablo consoles are considered operating leases and recognized as revenue over their lease term. Consumables, including the Tablo cartridge, are recognized primarily upon shipment. Our product revenue has been generated by direct sales to customers in the United States.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 Hub, as well as software updates, for Tablo consoles. The service agreements are typically entered into for a one-year term. Revenue from the sale of service agreements, including the revenue associated with the first-year service, is recognized ratably over the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Cost of product revenue primarily consists of finished goods, reserves for excess and obsolete inventories, manufacturing overhead and warranty costs. Manufacturing overhead costs include the cost of quality assurance, material procurement, depreciation expense for equipment, facilities and information technology. We currently partner with contract manufacturers to produce Tablo cartridges and some Tablo consoles. As described above, we have also invested in insourcing Tablo console manufacturing at a facility we recently established in Tijuana, Mexico, where we direct the manufacturing of Tablo consoles, as well as the associated warehousing and product distribution. Cost of product revenue in absolute dollars will increase as our sales volume increases.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Cost of service and other revenue primarily consists of personnel and material expenses related to our employees performing maintenance and support services, including salaries, benefits, stock-based compensation expense and related expenses such as employer taxes, materials and supplies and allocated costs including facilities and information technology. We anticipate that we will continue to invest in personnel to support the expansion of our Tablo fleet while also utilizing our cloud-based data system, as well as enhanced product performance, to lower the cost of service as a percentage of revenue. Cost of service and other revenue in absolute dollars will increase as our sales volume increases.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calculate gross margin as gross profit divided by revenue. Our gross profit has been and will continue to be, affected by a variety of factors, including sales volume of Tablo consoles and related consumables, the success of our cost-reduction strategies, the cost of direct materials, labor and manufacturing overhead, the contribution of console leases and associated services, discounting practices, product yields and headcount. We expect our margin to increase over the long term to the extent we are successful in our ability to lower the costs associated with the production of the Tablo console and consumables, which depends on our ability to drive lower costs with our suppliers, increase our sales volume, and maintain or increase our average selling price, which will enable us to leverage our fixed costs. In addition, sales of our Tablo consumables carry a higher margin than sales of our Tablo consoles. We intend to use our design, engineering and manufacturing capabilities to further advance and improve the efficiency of our manufacturing processes, which, if successful, we believe will lower production costs and enable us to increase our gross margin. While we expect gross margin to increase over the long term, we also anticipate it will likely fluctuate from quarter to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of developing hardware and software enhancements to improve Tablo performance and lower cost of product revenue, software update releases, yield improvement activities and platform extensions, as well as clinical affairs and related clinical studies. Other research and development costs include personnel and related costs, supplies, testing, contract and other outside service fees, depreciation expense and allocated costs including facilities and information technology. In 2020, we experienced a significant increase in our stock-based compensation expense as a result of the cumulative stock-based compensation expense we recorded for outstanding options with performance and market-based vesting conditions when the performance vesting condition was satisfied upon the closing of our IPO. We expect our stock-based compensation expense to decrease in 2021 as compared to 2020 and then continue to increase in future periods, due primarily to potential increases in the value of our common stock and as we issue additional stock-based awards under our equity incentive plan and employee stock purchase plan to attract and retain employees. We plan to continue to invest in our research and development efforts. As a percentage of revenue, we expect research and development expenses to vary over time, depending on the level and timing of new product development initiatives.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expenses including salaries, benefits, sales commissions, travel and stock-based compensation expense. Other sales and marketing expenses include marketing and promotional activities, including trade shows and market research, government affairs and costs of outside consultants. In 2020, we experienced a significant increase in our stock-based compensation expense as a result of the cumulative stock-based compensation expense we recorded for outstanding options with performance and market-based vesting conditions when the performance vesting condition was satisfied upon the closing of our IPO. We expect our stock-based compensation expense to decrease in 2021 as compared to 2020 and then continue to increase in future periods, due primarily to potential increases in the value of our common stock and as we issue additional stock-based awards under our equity incentive plan and employee stock purchase plan to attract and retain employees. Shipping and handling costs, as well as the associated personnel expenses, are included in sales and marketing expenses. As we continue to drive the expansion of Tablo, we expect to continue to invest in our sales and support teams, marketing, and shipping and handling costs. As a result, we expect sales and marketing expenses to increase in absolute dollars in future periods. As a percentage of revenue, however, we expect sales and marketing expenses to continue to decrease over the long-term primarily as and to the extent our revenue grows.</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1" w:right="439"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 expenses, including salaries, benefits, bonuses, travel and stock-based compensation expense. Other general and administrative expenses include professional services fees, such as legal, audit and tax fees, insurance costs, costs of outside consultants, employee recruiting and training costs. Moreover, we expect to incur additional expenses associated with operating as a public company, including legal, accounting, insurance, exchange listing, SEC compliance and investor relations, and as we expand our headcount to support our growth. In 2020, we experienced a significant increase in our stock-based compensation expense as a result of the cumulative stock-based compensation expense we recorded for outstanding options with performance and market-based vesting conditions when the performance vesting condition was satisfied upon the closing of our IPO. We expect our stock-based compensation expense to decrease in 2021 as compared to 2020 and then continue to increase in future periods, due primarily to potential increases in the value of our common stock and as we issue additional stock-based awards under our equity incentive plan and employee stock purchase plan to attract and retain employees. As a result, we expect general and administrative expenses to increase in absolute dollars in future periods. As a percentage of revenue, we expect general and administrative expenses to decrease over the long-term primarily as, and to the extent, our revenue grows.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and other income, net, primarily consists of interest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firstLine="749"/>
        <w:spacing w:after="0" w:line="277" w:lineRule="auto"/>
        <w:rPr>
          <w:sz w:val="20"/>
          <w:szCs w:val="20"/>
          <w:color w:val="auto"/>
        </w:rPr>
      </w:pPr>
      <w:r>
        <w:rPr>
          <w:rFonts w:ascii="Times New Roman" w:cs="Times New Roman" w:eastAsia="Times New Roman" w:hAnsi="Times New Roman"/>
          <w:sz w:val="17"/>
          <w:szCs w:val="17"/>
          <w:color w:val="auto"/>
        </w:rPr>
        <w:t>Interest expense consists of interest on our debt and amortization of associated debt discount. In June 2017, we entered into a senior, secured, delayed draw term facility (the Perceptive Term Loan Agreement) with Perceptive Credit Holdings, LP to borrow up to $40.0 million (the Perceptive Term Loan) as described in Note 7 to our audited financial statements included elsewhere in this Annual Report. We borrowed $30.0 million of the term loan on the closing date of the Perceptive Term Loan Agreement. In July 2020, we used $30.0 million of the proceeds from the SVB Term Loan to repay in full all amounts due under the Perceptive Term Loan Agreement and cash on hand to pay $1.2 million in early prepayment, accrued interest and exit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Liability</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our prior credit agreements and the Perceptive Term Loan Agreement, we issued warrants to purchase shares of our Series A, Series B and Series C redeemable convertible preferred stock to the respective lenders. We classified these warrants as a liability on our balance sheets that were remeasured to fair value at each reporting date with the corresponding change in fair value recognized in our statements of operations. Upon the completion of our IPO, the redeemable convertible preferred stock warrant liability was reclassified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Term Loan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Loss on extinguishment of term loan is related to the repayment of the Perceptive Term Loan in July 2020, which included early prepayment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exit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Provision for income taxes primarily consists of income taxes in certain states in which we conduct business. We have a full valuation allowance for deferred tax assets, including net operating loss carryforwards and tax credits related primarily to research and development.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and 2019 (in thousands, except percentages):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60" w:type="dxa"/>
            <w:vAlign w:val="bottom"/>
          </w:tcPr>
          <w:p>
            <w:pPr>
              <w:spacing w:after="0"/>
              <w:rPr>
                <w:sz w:val="19"/>
                <w:szCs w:val="19"/>
                <w:color w:val="auto"/>
              </w:rPr>
            </w:pP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(26) </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 xml:space="preserve">(118) </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1"/>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warrant liability</w:t>
            </w: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(3,893)</w:t>
            </w:r>
          </w:p>
        </w:tc>
        <w:tc>
          <w:tcPr>
            <w:tcW w:w="2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(53,213)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2"/>
          </w:tcPr>
          <w:p>
            <w:pPr>
              <w:spacing w:after="0"/>
              <w:rPr>
                <w:sz w:val="10"/>
                <w:szCs w:val="10"/>
                <w:color w:val="auto"/>
              </w:rPr>
            </w:pPr>
          </w:p>
        </w:tc>
        <w:tc>
          <w:tcPr>
            <w:tcW w:w="2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Not meaningful</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Product revenue increased by $25.9 million, or 188%, for the year ended December 31, 2020 as compared to the year ended December 31, 2019. The increase was primarily due to a $21.2 million increase in console revenue driven by new customer adoption, fleet expansion across existing customers, sales that we believe were attributable to COVID-19 driven demand, and increased console leasing revenue ($2.6 million). In addition, sales of Tablo consumables, including cartridges, for the year ended December 31, 2020 increased by $4.7 million given our larger console installed base as compared to the prior year period.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Service and other revenue increased by $9.0 million, or 677%, for the year ended December 31, 2020 as compared to the year ended December 31, 2019. The increase was primarily due to services associated with our larger Tablo installed base, including leased consoles, as well as COVID-19 driven demand for services associated with leased consoles.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Cost of product revenue increased by $29.9 million, or 110%, for the year ended December 31, 2020 as compared to the year ended December 31, 2019. This increase was primarily due to higher console and consumable volume of $35.4 million, higher manufacturing overhead of $5.5 million, resulting primarily from our investments in our manufacturing facility in Tijuana, Mexico, and a $0.3 million increase in stock-based compensation expense. This was offset by an $11.3 million reduction in product costs.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Cost of service and other revenue increased by $0.2 million, or 4%, for the year ended December 31, 2020 as compared to the year ended December 31, 2019. This increase was primarily due to additional headcount costs in our service department, which were offset by higher absorption of these costs across our larger installed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Gross profit increased by $4.8 million, or 27%, for the year ended December 31, 2020 as compared to the year ended December 31, 2019. The gross margin percentage improved by 92 percentage points for the year ended December 31, 2020 as compared to the year ended December 31, 2019, driven primarily by $18.3 million related to higher margin sales of our products and $7.6 million in higher service revenue as a result of our larger installed base, including leased consoles. This was offset by $15.9 million in increased costs as a result of selling more product and a $5.5 million increase in in higher manufacturing overhead, which was, in turn, driven by a $2.2 million investment in our new manufacturing facility in Tijuana, Mexico, a $1.0 million increase in allocated costs and a $0.8 million increase in compensation and personnel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$5.5 million, or 24%, for the year ended December 31, 2020 as compared to the year ended December 31, 2019. The increase was primarily due to a $6.1 million increase in compensation and personnel costs, which includes a $4.3 million increase in stock-based compensation expense, and a $0.3 million increase in materials and supplies. These increases were partially offset by a $0.9 million decrease in professional service and consultant service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300" w:firstLine="749"/>
        <w:spacing w:after="0" w:line="277" w:lineRule="auto"/>
        <w:rPr>
          <w:sz w:val="20"/>
          <w:szCs w:val="20"/>
          <w:color w:val="auto"/>
        </w:rPr>
      </w:pPr>
      <w:r>
        <w:rPr>
          <w:rFonts w:ascii="Times New Roman" w:cs="Times New Roman" w:eastAsia="Times New Roman" w:hAnsi="Times New Roman"/>
          <w:sz w:val="17"/>
          <w:szCs w:val="17"/>
          <w:color w:val="auto"/>
        </w:rPr>
        <w:t>Sales and marketing expenses increased by $24.8 million, or 122% for the year ended December 31, 2020 as compared to the year ended December 31, 2019. The increase was primarily due to a $22.4 million increase in compensation and personnel costs as a result of increased headcount, which includes a $4.3 million increase in stock-based compensation expense, and a $10.1 million increase in commission expense as a result of higher orders, a $0.9 million increase in supplies, materials and freight expenses related to increased activities in support of driving penetration of Tablo, a $0.9 million increase in facilities and other allocated costs and a $0.6 million increase in professional service and consultant service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$21.6 million, or 242%, for the year ended December 31, 2020 as compared to the year ended December 31, 2019. The increase was primarily due to a $17.2 million increase in compensation and personnel costs, which includes a $11.8 million increase in stock-based compensation expense, a $4.5 million increase in professional and consultant services associated with being a public company including legal, accounting, and secondary offering costs, and a $0.3 million increase in depreciation expense. The increases were partially offset by a $0.4 million decrease in facilities and other allocated costs.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Net</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net decreased by $2.0 million, or 79%, for the year ended December 31, 2020 as compared to the year ended December 31, 2019. This decrease was driven by lower interest rates and a lower average balance in money market funds and short-term investment securities during 2020.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$1.4 million, or 32%, for the year ended December 31, 2020 as compared to the year ended December 31, 2019. This decrease was primarily due to a lower debt discount amortization expense in the year ended December 31, 2020, the repayment of our Perceptive Term Loan in July 2020 and a lower interest rate under the SVB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Liability</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change in the fair value of redeemable convertible preferred stock warrant liability was driven by the changes in assumptions used to value the warrant liability. Upon the closing of our IPO in September 2020, all shares of our outstanding redeemable convertible preferred stock warrants were either exercised into common stock or automatically converted into warrants to purchase common stock. Accordingly, we have ceased to incur the change in fair value of redeemable convertible preferred stock warrant liability as the entire redeemable convertible preferred stock warrant liability was reclassified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Term Loan</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$1.6 million was recognized for the repayment of the Perceptive Term Loan in July 2020, which included early prepayment and exit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2019 and 2018</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2019 and 2018 (in thousands, except percentages):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2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tcPr>
          <w:p>
            <w:pPr>
              <w:spacing w:after="0"/>
              <w:rPr>
                <w:sz w:val="19"/>
                <w:szCs w:val="19"/>
                <w:color w:val="auto"/>
              </w:rPr>
            </w:pP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19"/>
                <w:szCs w:val="19"/>
                <w:color w:val="auto"/>
              </w:rPr>
            </w:pP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Borders>
              <w:bottom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(118)%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Pr>
          <w:p>
            <w:pPr>
              <w:spacing w:after="0"/>
              <w:rPr>
                <w:sz w:val="19"/>
                <w:szCs w:val="19"/>
                <w:color w:val="auto"/>
              </w:rPr>
            </w:pPr>
          </w:p>
        </w:tc>
      </w:tr>
      <w:tr>
        <w:trPr>
          <w:trHeight w:val="211"/>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warrant liability</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2"/>
          </w:tcPr>
          <w:p>
            <w:pPr>
              <w:spacing w:after="0"/>
              <w:rPr>
                <w:sz w:val="10"/>
                <w:szCs w:val="10"/>
                <w:color w:val="auto"/>
              </w:rPr>
            </w:pPr>
          </w:p>
        </w:tc>
        <w:tc>
          <w:tcPr>
            <w:tcW w:w="2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498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Not meaningful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92</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Product revenue increased by $12.0 million, or 686%, for the year ended December 31, 2019, compared to the year ended December 31, 2018. The increase was primarily due to $10.0 million in higher Tablo console revenue, which was driven by new customer adoption and fleet expansion with existing customers, as well as $0.5 million in increased console leasing revenue and $1.0 million in increased sales of Tablo consumables, including cartridges, given our higher Tablo installed base.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Service and other revenue increased by $1.1 million, or 415%, for the year ended December 31, 2019, compared to the year ended December 31, 2018. The increase was primarily due to growth in service contracts as a result of a higher Tablo installed base, as well as services associated with leased consoles.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Cost of product revenue increased by $19.4 million, or 248%, for the year ended December 31, 2019, compared to the year ended December 31, 2018. This increase was primarily due to higher console and consumable volume of $30.1 million, which was offset by a $10.6 million reduction in product costs and expense associated with upgrading certain prior generation consoles.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Cost of service and other revenue increased by $5.4 million for the year ended December 31, 2019, compared to the year ended December 31, 2018. This increase was primarily due to field service-related expenses resulting from the full rollout of Tablo into the commercial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decreased by $11.7 million, or 191%, for the year ended December 31, 2019, compared to the year ended December 31, 2018. Gross margin increased for the year ended December 31, 2019, compared to the year ended December 31, 2018 by 187 percentage points. The decline in gross profit was primarily attributable to selling more Tablo consoles and cartridges for less than cost, partially offset by the lower materials cost as a result of our cost reduction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$0.4 million, or 2%, for the year ended December 31, 2019, compared to the year ended December 31, 2018. This increase was primarily due to a $1.3 million increase in compensation and personnel costs as a result of increased research and development headcount, a $1.2 million increase in outside service fees to support research and development and a $0.6 million increase in facilities and other allocated costs. Partially offsetting this increase was a decline of $2.2 million in materials and supplies and a $0.6 million decrease in clinical-related and other costs resulting from the completion of development of Tablo in late 2018.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$9.0 million, or 80%, for the year ended December 31, 2019, compared to the year ended December 31, 2018. This increase was primarily due to a $5.0 million increase in compensation and personnel costs, including a $1.4 million increase in commission expense as a result of higher product revenue, a $1.6 million increase in promotional and travel expenses related to an increase in activities in support of driving penetration in the acute care market, a $1.2 million increase in facilities and other allocated costs and a $1.1 million increase in outside service fees related to the clinical adoption of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$2.7 million, or 43%, for the year ended December 31, 2019, compared to the year ended December 31, 2018. This increase was primarily due to a $1.9 million increase in compensation and personnel costs as a result of increased headcount and a $0.7 million increase in outside consultant expenses and professional service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Net</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net increased by $0.8 million, or 45%, for the year ended December 31, 2019, compared to for the year ended December 31, 2018. This increase was primarily due to a higher average balance in money market funds and short-term investment securities during the year ended December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Interest expense decreased by $0.4 million, or 8%, for the year ended December 31, 2019, compared to the year ended December 31, 2018, primarily due to lower debt discount amortization expense for the year ended December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Liability</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change in fair value of the redeemable convertible preferred stock warrant liability increased by $4.1 million for the year ended December 31, 2019, compared to the year ended December 31, 2018, reflecting a decrease in the redeemable convertible preferred stock warrant liability that resulted from the amendment and restatement of our certificate of incorporation in September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and issuances of debt. In September 2020, we completed our IPO for aggregate net proceeds of approximately $254.8 million (inclusive of the full exercise of the underwriters’ option to purchase additional shares), net of offering costs, underwriter discounts and commissions of approximately $23.1 million.</w:t>
      </w:r>
    </w:p>
    <w:p>
      <w:pPr>
        <w:spacing w:after="0" w:line="180"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had cash, cash equivalents and short-term investments of $314.9 million, which are available to fund future operations, and restricted cash of $33.3 million, for a total cash, cash equivalents, restricted cash and short-term investments balance of $348.2 million and an accumulated deficit of $494.1 million.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will be sufficient to meet our anticipated needs for at least the next 12 months from the date of this Annual Report.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(99,015)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(70,292)</w:t>
            </w: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(46,442)</w:t>
            </w:r>
          </w:p>
        </w:tc>
      </w:tr>
      <w:tr>
        <w:trPr>
          <w:trHeight w:val="230"/>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(68,776)</w:t>
            </w:r>
          </w:p>
        </w:tc>
      </w:tr>
      <w:tr>
        <w:trPr>
          <w:trHeight w:val="229"/>
        </w:trPr>
        <w:tc>
          <w:tcPr>
            <w:tcW w:w="46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385,682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134,872</w:t>
            </w:r>
          </w:p>
        </w:tc>
        <w:tc>
          <w:tcPr>
            <w:tcW w:w="8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of $99.0 million for the year ended December 30, 2020 was due to a net loss of $121.5 million and a net cash outflow from the change in our operating assets and liabilities of $5.8 million, partially offset by non-cash adjustments for stock-based compensation expense of $21.4 million, depreciation and amortization of $3.2 million, loss on extinguishment of term loan of $1.6 million, non-cash interest expense of $0.6 million, non-cash lease expense of $0.6 million, provision for inventories of $0.5 million, loss on disposal of property and equipment of $0.2 million, and change in fair value of redeemable convertible preferred stock warrant liability of $0.1 million. The net cash outflow from operating assets and liabilities was primarily due to an increase in inventories of $16.3 million due to the timing of inventory purchases including advance purchases of inventory due to anticipated demand, an increase in prepaid expenses and other assets of $6.2 million, an increase in accounts receivable of $2.6 million due to timing of collections, and an increase in accrued interest of $0.2 million for the SVB Term Loan. The net cash outflow from operating assets and liabilities was partially offset by an increase in accrued payroll and related benefits of $9.9 million due to an increase in headcount, an increase in accrued expenses and other current liabilities of $4.8 million consistent with the growth of our business, an increase in deferred revenue of $2.8 million, an increase in accrued warranty liability of $1.2 million, an increase in accounts payable of $0.7 million due to timing of vendor payments, and an increase in operating lease liability of $0.1 million.</w:t>
      </w:r>
    </w:p>
    <w:p>
      <w:pPr>
        <w:spacing w:after="0" w:line="19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2019 was $70.3 million, attributable to a net loss of $68.3 million and a net cash outflow from the change in our operating assets and liabilities of $1.6 million and net non-cash adjustment of $0.4 million. Non-cash adjustments primarily consisted of $3.8 million in change in fair value of the redeemable convertible preferred stock warrant liability and $1.0 million in amortization of premium on investments, partially offset by $1.5 million in depreciation and amortization, $0.9 million in non-cash interest expense, $0.9 million in stock-based compensation expense, $0.5 million in non-cash lease expense, $0.3 million in loss on disposal of property and equipment and $0.3 million in provision for inventory. The net cash outflow from the change in our operating assets and liabilities was primarily due to a $5.0 million increase in inventory to support the growth in our business, a $2.9 million increase in accounts receivable due to higher revenue, a $0.2 million increase in prepaid expenses and other assets and a $0.5 million decrease in operating lease liability. These changes were partially offset by a $3.1 million increase in accrued payroll and related benefits due to higher headcount, a $1.8 million increase in accounts payable and accrued expenses and other current liabilities attributable to expansion in our operating activities and timing of payment, a $1.4 million increase in accrued warranty liability and a $0.7 million increase in deferred revenue mainly due to the growth of our business.</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2018 was $46.4 million, attributable to a net loss of $49.8 million and a net cash outflow from the change in our operating assets and liabilities of $0.2 million, partially offset by non-cash adjustments of $3.6 million. Non-cash charges primarily consisted of $1.3 million amortization of deferred financing costs and fees, $1.1 million in depreciation, $0.4 million in provision for inventory and $0.4 million in non-cash lease expense, partially offset by $0.8 million in amortization of premium on investments. The change in our net operating assets and liabilities was primarily due to a $3.1 million increase in accounts payable and accrued expenses resulting primarily from expansion in our operating activities and timing of payment and a $0.6 million increase in accrued payroll and related benefits due to increased headcount. These changes were partially offset by a $2.2 million increase in inventories, a $0.6 million increase in accounts receivable due to higher revenue, a $0.5 million increase in prepaid expenses and other current assets, a $0.5 million decrease in operating lease liability, a $0.4 million decrease in accrued warranty liability and a $0.3 million increase in prepaid expenses and other assets.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7" w:name="page98"/>
    <w:bookmarkEnd w:id="9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$3.9 million for the year ended December 31, 2020 was due primarily to purchases of short-term investments of $32.9 million and purchases of property and equipment of $9.1 million, partially offset by the sales and maturities of short-term investments of $45.9 million.</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2019 was $74.3 million and related to the sales and maturities of short-term investments of $169.5 million, partially offset by purchases of short-term investments of $91.9 million and purchases of property and equipment of $3.3 million.</w:t>
      </w:r>
    </w:p>
    <w:p>
      <w:pPr>
        <w:spacing w:after="0" w:line="176" w:lineRule="exact"/>
        <w:rPr>
          <w:sz w:val="20"/>
          <w:szCs w:val="20"/>
          <w:color w:val="auto"/>
        </w:rPr>
      </w:pPr>
    </w:p>
    <w:p>
      <w:pPr>
        <w:ind w:right="7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2018 was $68.8 million and related to the purchases of short-term investments of $132.3 million and the purchases of property and equipment of $1.8 million, partially offset by sales and maturities of short-term investments of $65.3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of $385.7 million for the year ended December 31, 2020 was due primarily to the net proceeds of approximately $254.8 million from the issuance of our common stock in our IPO, net of issuance costs paid to date, the net proceeds of $126.8 million from the issuance of our Series E redeemable convertible preferred stock, the net proceeds of $29.6 million from borrowings on the SVB Loan and Security Agreement, proceeds of $4.3 million from the exercise of the Series C redeemable convertible preferred stock warrants, and proceeds of $1.2 million from the issuance of common stock from exercises of stock options, partially offset by the cash outflow of $31.0 million in repayment of the Perceptive Term Loan which included early prepayment and exit fees.</w:t>
      </w:r>
    </w:p>
    <w:p>
      <w:pPr>
        <w:spacing w:after="0" w:line="187"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2019 was $0.2 million and related to proceeds of $0.3 million from the exercise of stock options and $0.1 million from the exercise of a common stock warrant, partially offset by $0.2 million in paid issuance costs on our Series D redeemable convertible preferred stock issued in November 2018.</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2018 was $134.9 million and related primarily to net proceeds of $134.6 million from the issuance of our Series D redeemable convertible preferred stock and $0.3 million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SVB Loan and Security Agreement</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entered into a senior secured term loan facility with Silicon Valley Bank (SVB) in July 2020 (the SVB Loan and Security Agreement), which provides for a $30.0 million term loan (the SVB Term Loan). We used the SVB Term Loan proceeds to repay in full all amounts due under the Perceptive Term Loan and cash on hand to pay $1.2 million in early prepayment, accrued interest and exit fees.</w:t>
      </w:r>
    </w:p>
    <w:p>
      <w:pPr>
        <w:spacing w:after="0" w:line="176"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a rate per annum equal to the greater of (A) 0.50% above the Prime Rate as reported in the Wall Street Journal and (B) 3.75%.</w:t>
      </w:r>
    </w:p>
    <w:p>
      <w:pPr>
        <w:spacing w:after="0" w:line="17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There is also a final payment equal to 6.75% of the original principal amount of the SVB Term Loan, or approximately $2.0 million, due at maturity (or any earlier date of optional pre-payment or acceleration of principal due to an event of default). We may, at our option, prepay the SVB Term Loan in full, subject to an additional prepayment fee ranging between 1% and 3% of the outstanding principal amount of the SVB Term Loan. The prepayment fee would also be due and payable in the event of an acceleration of the principal amount of the supplemental term loan due to an event of default. The SVB Term Loan is secured by substantially all of our assets, including all of the capital stock held by us, if any (subject to a 65% limitation on pledges of capital stock of foreign subsidiaries), subject to certain exceptions.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Loan and Security Agreement contains customary representations, warranties, affirmative covenants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We are also obligated to maintain a restricted cash balance greater or equal to the outstanding principal balance of $30.0 million of the SVB Term Loan.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40" w:type="dxa"/>
            <w:vAlign w:val="bottom"/>
            <w:gridSpan w:val="11"/>
          </w:tcPr>
          <w:p>
            <w:pPr>
              <w:jc w:val="right"/>
              <w:ind w:right="5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other commitments as of December 31, 2020: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20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 to 5</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20" w:type="dxa"/>
            <w:vAlign w:val="bottom"/>
          </w:tcPr>
          <w:p>
            <w:pPr>
              <w:spacing w:after="0"/>
              <w:rPr>
                <w:sz w:val="20"/>
                <w:szCs w:val="20"/>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 including interest</w:t>
            </w:r>
            <w:r>
              <w:rPr>
                <w:rFonts w:ascii="Times New Roman" w:cs="Times New Roman" w:eastAsia="Times New Roman" w:hAnsi="Times New Roman"/>
                <w:sz w:val="15"/>
                <w:szCs w:val="15"/>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100" w:type="dxa"/>
            <w:vAlign w:val="bottom"/>
            <w:shd w:val="clear" w:color="auto" w:fill="CFF0FC"/>
          </w:tcPr>
          <w:p>
            <w:pPr>
              <w:spacing w:after="0"/>
              <w:rPr>
                <w:sz w:val="19"/>
                <w:szCs w:val="19"/>
                <w:color w:val="auto"/>
              </w:rPr>
            </w:pP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100" w:type="dxa"/>
            <w:vAlign w:val="bottom"/>
          </w:tcPr>
          <w:p>
            <w:pPr>
              <w:spacing w:after="0"/>
              <w:rPr>
                <w:sz w:val="19"/>
                <w:szCs w:val="19"/>
                <w:color w:val="auto"/>
              </w:rPr>
            </w:pPr>
          </w:p>
        </w:tc>
      </w:tr>
      <w:tr>
        <w:trPr>
          <w:trHeight w:val="23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94,401</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0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2" w:lineRule="exact"/>
        <w:rPr>
          <w:sz w:val="20"/>
          <w:szCs w:val="20"/>
          <w:color w:val="auto"/>
        </w:rPr>
      </w:pPr>
    </w:p>
    <w:p>
      <w:pPr>
        <w:ind w:left="380" w:right="600" w:hanging="372"/>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leases for office and laboratory space in San Jose, California with contractual lease periods expiring in 2027 and our new manufacturing facility in Tijuana, Mexico with contractual lease periods expiring in 2026.</w:t>
      </w:r>
    </w:p>
    <w:p>
      <w:pPr>
        <w:spacing w:after="0" w:line="161" w:lineRule="exact"/>
        <w:rPr>
          <w:rFonts w:ascii="Times New Roman" w:cs="Times New Roman" w:eastAsia="Times New Roman" w:hAnsi="Times New Roman"/>
          <w:sz w:val="18"/>
          <w:szCs w:val="18"/>
          <w:color w:val="auto"/>
        </w:rPr>
      </w:pPr>
    </w:p>
    <w:p>
      <w:pPr>
        <w:ind w:left="380" w:right="200" w:hanging="372"/>
        <w:spacing w:after="0" w:line="266"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associated with the SVB Term Loan are included in the above table. Interest expense incurred on the term loan is included in the above table based on the obligations outstanding and the interest rate effective as of December 31, 2020, including a final one-time payment of $0.2 million in 2025.</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obligations under non-cancellable purchase commitments primarily related to our contract manufacturers.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While the significant accounting policies are more fully described in Note 2 to our audited financial statements included elsewhere in this Annual Report, we believe that the following critical accounting policies are most important to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consider each product and each service contract to be a distinct performance obligation. Revenue is recognized when a performance obligation is satisfied, which occurs when control of the promised products or services is transferred to the customer in an amount that reflects the consideration we expect to receive in exchange for those products or services. Revenue from product sales is recognized at a point in time when management has determined that control has transferred to the customer, which is generally when legal title has transferred to the customer. Revenue from support and maintenance contracts is recognized as the output of the service is transferred to the customer over time, typically evenly over the contract term. Revenue is recognized net of allowances for returns and any taxes collected from customers, which are subsequently remitted to governmental authorities.</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Judgment is also required to determine the stand-alone selling price (SSP) for each distinct performance obligation. We use an observable price to estimate SSP for items that are sold separately, including customer support agreements. In instances where SSP is not directly observable, such as when we do not sell the product or service separately, we determine the SSP using information that may include market conditions and other observable inputs. We may offer additional goods or services to customers at the inception of customer contracts at prices not at SSP. This is considered a material right and an additional performance obligation of the contract. SSP is assigned based on the estimated value of the material right.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9" w:name="page100"/>
    <w:bookmarkEnd w:id="99"/>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include commissions. We apply the practical expedient to expense the commissions as incurred as the expected amortization period is one year or less. Commissions are recorded as sales and marketing expenses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Our stock-based compensation expense relates to stock options with a service condition, stock options with performance and market-based vesting conditions, stock purchase rights under our Employee Stock Purchase Plan (ESPP), restricted stock units (RSUs) and performance stock units (PSUs). Stock-based compensation expense for our stock-based awards is based on their grant date fair value.</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Service-based options initially granted to an optionee generally vest at a rate of 25% on the first anniversary of the original vesting date, with the balance vesting monthly over the remaining three years. Any subsequent follow-on options granted to the optionee generally vest monthly over four years. We estimate the fair value of stock options with a service condition and stock purchase rights under our ESPP on the grant date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service-based stock options and stock purchase rights under our ESPP. These variables include the per share fair value of the underlying common stock, exercise price, expected term, risk-free interest rate, expected annual dividend yield and expected stock price volatility over the expected term. For all stock options granted, we calculate the expected term using the simplified method for “plain vanilla” stock option awards. We had no publicly available stock price information prior to our IPO and limited available stock price information subsequent to our IPO; therefore, we have used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For stock options with performance and market-based vesting conditions, stock-based compensation expense is recognized when it is considered probable that the performance vesting condition will be satisfied. Prior to our IPO in September 2020, we had not recognized any stock-based compensation expense as the satisfaction of the performance condition was not considered probable. Upon the closing of our IPO, we recorded a cumulative stock-based compensation expense using the accelerated attribution method as the performance condition was satisfied. Stock-based compensation expense related to these options is not reversed if the achievement of the market condition does not occur. The fair value of these stock options is estimated using the Monte Carlo approach.</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RSUs initially granted to an optionee generally vest at a rate of 25% on the first anniversary of the original vesting date, with the balance vesting quarterly over the remaining three years. The fair value of RSUs is based on the market price of our common stock on the date of grant. The determination of fair value of performance stock units requires the use of certain estimates and assumptions that affect the amount of stock-based compensation expense recognized in our statements of operations. At each reported period, we reassess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we have recorded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standard cost method, which approximates actual costs as determined on a first-in, first-out basis. The carrying value of inventories is reduced for any difference between cost and net realizable value of inventories that is determined to be obsolete or unmarketable, based upon assumptions about future demand and market conditions. We also review our inventory value to determine if it reflects the lower of cost or net realizable value based on factors such as inventory items sold at negative gross margins and non-cancellable purchase commitments. Adjustments to the value of inventory establish a new cost basis and are considered permanent even if circumstances later suggest that increased carrying amounts are recoverable. If demand is higher than expected, we may sell inventory that had previously been written down.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Prior to our IPO, there was no public market for our common stock. As such, the estimated fair value of our common stock and underlying stock options has been determined at each grant date by our board of directors, with input from management, based on the information known to us on the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0" w:name="page101"/>
    <w:bookmarkEnd w:id="100"/>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valuations after the completion of our IPO, the fair value of each share of underlying common stock is based on the closing price of our common stock as reported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accounted for our freestanding warrants to purchase shares of our redeemable convertible preferred stock prior to our IPO as liabilities at fair value upon issuance primarily because the shares underlying the warrants contained contingent redemption features outside of our control. The warrants were subject to re-measurement at each balance sheet date and any change in fair value was recognized in the statements of operations as the change in fair value of redeemable convertible preferred stock warrant liability. Upon the completion of our IPO, the liability on the redeemable convertible preferred stock warrants was reclassified to additional paid-in capital.</w:t>
      </w:r>
    </w:p>
    <w:p>
      <w:pPr>
        <w:spacing w:after="0" w:line="18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estimated the fair value of these liabilities using the Black-Scholes option pricing model and assumptions that were based on the individual characteristics of the warrants on the valuation date, as well as assumptions for future financings, expected volatility, expected life, yield, and risk-free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our audited financial statements included in Part II, Item 8 of this Annual Report for a discussion of recent accounting pronouncements that may impact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cash, cash equivalents, restricted cash and short-term investments as of December 31, 2020 consist of $348.2 million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w:t>
      </w:r>
    </w:p>
    <w:p>
      <w:pPr>
        <w:spacing w:after="0" w:line="183" w:lineRule="exact"/>
        <w:rPr>
          <w:sz w:val="20"/>
          <w:szCs w:val="20"/>
          <w:color w:val="auto"/>
        </w:rPr>
      </w:pPr>
    </w:p>
    <w:p>
      <w:pPr>
        <w:ind w:right="380" w:firstLine="749"/>
        <w:spacing w:after="0" w:line="276" w:lineRule="auto"/>
        <w:rPr>
          <w:sz w:val="20"/>
          <w:szCs w:val="20"/>
          <w:color w:val="auto"/>
        </w:rPr>
      </w:pPr>
      <w:r>
        <w:rPr>
          <w:rFonts w:ascii="Times New Roman" w:cs="Times New Roman" w:eastAsia="Times New Roman" w:hAnsi="Times New Roman"/>
          <w:sz w:val="17"/>
          <w:szCs w:val="17"/>
          <w:color w:val="auto"/>
        </w:rPr>
        <w:t>As of December 31, 2020, we had $30.0 million in variable rate debt outstanding. The SVB Term Loan matures on November 1, 2025, with interest-only monthly payments until June 2023. The term loan accrues interest at a rate per annum equal to the greater of (A) one-half of one percent</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(0.50%) above the Prime Rate as reported in the Wall Street Journal then in effect (which shall not be less than zero) and (B) three and three-quarters of one percent (3.75%). An immediate 100 basis point change in the prime rate would not have a material impact on our debt-related obligations, financial position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supply contracts with vendors with payments denominated in foreign currencies. We are subject to foreign currency transaction gains or losses on our contracts denominated in foreign currencies. To date, foreign currency transaction gains and losses have not been material to our financial statements.</w:t>
      </w:r>
    </w:p>
    <w:p>
      <w:pPr>
        <w:spacing w:after="0" w:line="176"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Unfavorable changes in foreign exchange rates versus the U.S. dollar could increase our product costs, thus reducing our gross profit. We have not engaged in the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6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0600" w:type="dxa"/>
            <w:vAlign w:val="bottom"/>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r>
      <w:tr>
        <w:trPr>
          <w:trHeight w:val="407"/>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r>
      <w:tr>
        <w:trPr>
          <w:trHeight w:val="216"/>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Balance Sheets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r>
      <w:tr>
        <w:trPr>
          <w:trHeight w:val="216"/>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Statements of Operations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r>
      <w:tr>
        <w:trPr>
          <w:trHeight w:val="216"/>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Statements of Comprehensive Loss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r>
      <w:tr>
        <w:trPr>
          <w:trHeight w:val="216"/>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Statements of Redeemable Convertible Preferred Stock and Stockholders’ Equity (Deficit)</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r>
        <w:trPr>
          <w:trHeight w:val="216"/>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Statements of Cash Flows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r>
      <w:tr>
        <w:trPr>
          <w:trHeight w:val="234"/>
        </w:trPr>
        <w:tc>
          <w:tcPr>
            <w:tcW w:w="10600" w:type="dxa"/>
            <w:vAlign w:val="bottom"/>
          </w:tcPr>
          <w:p>
            <w:pPr>
              <w:ind w:left="20"/>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Notes to Financial Statements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r>
      <w:tr>
        <w:trPr>
          <w:trHeight w:val="648"/>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Outset Medical, Inc.:</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Outset Medical, Inc. (the Company) as of December 31, 2020 and 2019, the related statements of operations, comprehensive loss, redeemable convertible preferred stock and stockholders’ equity (deficit), and cash flows for each of the years in the three-year period ended December 31, 2020, and the related notes (collectively, the financial statements). In our opinion, the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294,972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345,911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403,829</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Labilities, redeemable convertible preferred stock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 loan, current</w:t>
            </w: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36,692</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noncurrent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$0.001 par value; no shares authorized and no shares issued and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2020; 154,592 shares authorized and 147,214 shares issued and outstanding as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December 31, 2019</w:t>
            </w: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and no shares issued and outstanding as of</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December 31, 2020 and 2019</w:t>
            </w: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300,000 and 240,000 shares authorized as of December 31, 2020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2019, respectively; 42,722 and 922 shares issued and outstanding as of December 31, 2020 and 2019,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822,624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(494,059)</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(372,567)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328,609</w:t>
            </w:r>
          </w:p>
        </w:tc>
        <w:tc>
          <w:tcPr>
            <w:tcW w:w="2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403,829</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(4,257)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1"/>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liability</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(68,279)</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620" w:type="dxa"/>
            <w:vAlign w:val="bottom"/>
            <w:shd w:val="clear" w:color="auto" w:fill="CFF0FC"/>
          </w:tcPr>
          <w:p>
            <w:pPr>
              <w:ind w:left="260"/>
              <w:spacing w:after="0" w:line="192" w:lineRule="exact"/>
              <w:rPr>
                <w:sz w:val="20"/>
                <w:szCs w:val="20"/>
                <w:color w:val="auto"/>
              </w:rPr>
            </w:pPr>
            <w:r>
              <w:rPr>
                <w:rFonts w:ascii="Times New Roman" w:cs="Times New Roman" w:eastAsia="Times New Roman" w:hAnsi="Times New Roman"/>
                <w:sz w:val="18"/>
                <w:szCs w:val="18"/>
                <w:color w:val="auto"/>
              </w:rPr>
              <w:t>Adjustment to redemption value on redeemable convertible preferred</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(134,760)</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(23,300)</w:t>
            </w: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redeemable convertible preferred stock</w:t>
            </w: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Deemed dividend on settlement of accrued dividend</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(85,461)</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attributable to</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Redeemable Convertible Preferred Stock and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220"/>
          </w:cols>
          <w:pgMar w:left="320" w:top="549" w:right="35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60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600" w:type="dxa"/>
            <w:vAlign w:val="bottom"/>
            <w:gridSpan w:val="6"/>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142"/>
        </w:trPr>
        <w:tc>
          <w:tcPr>
            <w:tcW w:w="3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2017</w:t>
            </w: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60" w:type="dxa"/>
            <w:vAlign w:val="bottom"/>
            <w:vMerge w:val="continue"/>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103,862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234,418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Issuance of Series D redeemable convertible preferred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Adjustment to redemption value on redeemable convertible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option exercises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386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Balance as of December 31, 2018</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147,214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392,284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 warrant exercises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Adjustment to redemption value on redeemable convertible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on extinguishment of redeemable convertible preferred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(117,417)</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Costs to adjust the redemption value on redeemable convertible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option exercises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386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147,214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409,446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Issuance of Series E redeemable convertible preferred stock, net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common stock on settlement of accrued dividend</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(41,763)</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Deemed dividend on settlement of accrued dividend</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(42,530)</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Adjustment to redemption value on redeemable convertible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Issuance of common stock upon net exercises of Series B</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redeemable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convertible preferred stock warrants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Cash exercises of Series C redeemable convertible preferred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Series A redeemable convertible preferred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 common stock warrants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redeemable convertible preferred stock to common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stock upon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initial public offering</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(206,651)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(456,561)</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Issuance of common stock upon initial public offering, net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Reclassification of redeemable convertible preferred stock warrant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liability</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 equity</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common stock for settlement of RSUs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option exercises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5"/>
        </w:trPr>
        <w:tc>
          <w:tcPr>
            <w:tcW w:w="158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42"/>
        </w:trPr>
        <w:tc>
          <w:tcPr>
            <w:tcW w:w="6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0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2"/>
                <w:szCs w:val="12"/>
                <w:color w:val="auto"/>
              </w:rPr>
            </w:pPr>
          </w:p>
        </w:tc>
        <w:tc>
          <w:tcPr>
            <w:tcW w:w="820" w:type="dxa"/>
            <w:vAlign w:val="bottom"/>
            <w:gridSpan w:val="2"/>
          </w:tcPr>
          <w:p>
            <w:pPr>
              <w:jc w:val="right"/>
              <w:ind w:right="35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158"/>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(215,915)</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(215,937)</w:t>
            </w:r>
          </w:p>
        </w:tc>
        <w:tc>
          <w:tcPr>
            <w:tcW w:w="40" w:type="dxa"/>
            <w:vAlign w:val="bottom"/>
          </w:tcPr>
          <w:p>
            <w:pPr>
              <w:spacing w:after="0"/>
              <w:rPr>
                <w:sz w:val="13"/>
                <w:szCs w:val="13"/>
                <w:color w:val="auto"/>
              </w:rPr>
            </w:pPr>
          </w:p>
        </w:tc>
      </w:tr>
      <w:tr>
        <w:trPr>
          <w:trHeight w:val="279"/>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6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(1,103)</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(22,196)</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(23,299)</w:t>
            </w: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40" w:type="dxa"/>
            <w:vAlign w:val="bottom"/>
          </w:tcPr>
          <w:p>
            <w:pPr>
              <w:spacing w:after="0"/>
              <w:rPr>
                <w:sz w:val="12"/>
                <w:szCs w:val="12"/>
                <w:color w:val="auto"/>
              </w:rPr>
            </w:pP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40" w:type="dxa"/>
            <w:vAlign w:val="bottom"/>
          </w:tcPr>
          <w:p>
            <w:pPr>
              <w:spacing w:after="0"/>
              <w:rPr>
                <w:sz w:val="12"/>
                <w:szCs w:val="12"/>
                <w:color w:val="auto"/>
              </w:rPr>
            </w:pP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(49,780)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(49,780)</w:t>
            </w:r>
          </w:p>
        </w:tc>
      </w:tr>
      <w:tr>
        <w:trPr>
          <w:trHeight w:val="137"/>
        </w:trPr>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789</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(60)</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(287,891)</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(287,950)</w:t>
            </w:r>
          </w:p>
        </w:tc>
        <w:tc>
          <w:tcPr>
            <w:tcW w:w="40" w:type="dxa"/>
            <w:vAlign w:val="bottom"/>
          </w:tcPr>
          <w:p>
            <w:pPr>
              <w:spacing w:after="0"/>
              <w:rPr>
                <w:sz w:val="11"/>
                <w:szCs w:val="11"/>
                <w:color w:val="auto"/>
              </w:rPr>
            </w:pPr>
          </w:p>
        </w:tc>
      </w:tr>
      <w:tr>
        <w:trPr>
          <w:trHeight w:val="164"/>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40" w:type="dxa"/>
            <w:vAlign w:val="bottom"/>
          </w:tcPr>
          <w:p>
            <w:pPr>
              <w:spacing w:after="0"/>
              <w:rPr>
                <w:sz w:val="14"/>
                <w:szCs w:val="14"/>
                <w:color w:val="auto"/>
              </w:rPr>
            </w:pPr>
          </w:p>
        </w:tc>
      </w:tr>
      <w:tr>
        <w:trPr>
          <w:trHeight w:val="26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(966)</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(133,794)</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(134,760)</w:t>
            </w:r>
          </w:p>
        </w:tc>
      </w:tr>
      <w:tr>
        <w:trPr>
          <w:trHeight w:val="164"/>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117,417</w:t>
            </w:r>
          </w:p>
        </w:tc>
        <w:tc>
          <w:tcPr>
            <w:tcW w:w="40" w:type="dxa"/>
            <w:vAlign w:val="bottom"/>
          </w:tcPr>
          <w:p>
            <w:pPr>
              <w:spacing w:after="0"/>
              <w:rPr>
                <w:sz w:val="14"/>
                <w:szCs w:val="14"/>
                <w:color w:val="auto"/>
              </w:rPr>
            </w:pPr>
          </w:p>
        </w:tc>
      </w:tr>
      <w:tr>
        <w:trPr>
          <w:trHeight w:val="26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40" w:type="dxa"/>
            <w:vAlign w:val="bottom"/>
          </w:tcPr>
          <w:p>
            <w:pPr>
              <w:spacing w:after="0"/>
              <w:rPr>
                <w:sz w:val="12"/>
                <w:szCs w:val="12"/>
                <w:color w:val="auto"/>
              </w:rPr>
            </w:pP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40" w:type="dxa"/>
            <w:vAlign w:val="bottom"/>
          </w:tcPr>
          <w:p>
            <w:pPr>
              <w:spacing w:after="0"/>
              <w:rPr>
                <w:sz w:val="12"/>
                <w:szCs w:val="12"/>
                <w:color w:val="auto"/>
              </w:rPr>
            </w:pP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40" w:type="dxa"/>
            <w:vAlign w:val="bottom"/>
          </w:tcPr>
          <w:p>
            <w:pPr>
              <w:spacing w:after="0"/>
              <w:rPr>
                <w:sz w:val="12"/>
                <w:szCs w:val="12"/>
                <w:color w:val="auto"/>
              </w:rPr>
            </w:pPr>
          </w:p>
        </w:tc>
      </w:tr>
      <w:tr>
        <w:trPr>
          <w:trHeight w:val="15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(68,299)</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(68,299)</w:t>
            </w:r>
          </w:p>
        </w:tc>
      </w:tr>
      <w:tr>
        <w:trPr>
          <w:trHeight w:val="158"/>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(372,567)</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(372,187)</w:t>
            </w:r>
          </w:p>
        </w:tc>
        <w:tc>
          <w:tcPr>
            <w:tcW w:w="40" w:type="dxa"/>
            <w:vAlign w:val="bottom"/>
          </w:tcPr>
          <w:p>
            <w:pPr>
              <w:spacing w:after="0"/>
              <w:rPr>
                <w:sz w:val="13"/>
                <w:szCs w:val="13"/>
                <w:color w:val="auto"/>
              </w:rPr>
            </w:pPr>
          </w:p>
        </w:tc>
      </w:tr>
      <w:tr>
        <w:trPr>
          <w:trHeight w:val="26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41,763</w:t>
            </w:r>
          </w:p>
        </w:tc>
        <w:tc>
          <w:tcPr>
            <w:tcW w:w="40" w:type="dxa"/>
            <w:vAlign w:val="bottom"/>
          </w:tcPr>
          <w:p>
            <w:pPr>
              <w:spacing w:after="0"/>
              <w:rPr>
                <w:sz w:val="12"/>
                <w:szCs w:val="12"/>
                <w:color w:val="auto"/>
              </w:rPr>
            </w:pPr>
          </w:p>
        </w:tc>
      </w:tr>
      <w:tr>
        <w:trPr>
          <w:trHeight w:val="164"/>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42,530</w:t>
            </w:r>
          </w:p>
        </w:tc>
        <w:tc>
          <w:tcPr>
            <w:tcW w:w="40" w:type="dxa"/>
            <w:vAlign w:val="bottom"/>
          </w:tcPr>
          <w:p>
            <w:pPr>
              <w:spacing w:after="0"/>
              <w:rPr>
                <w:sz w:val="14"/>
                <w:szCs w:val="14"/>
                <w:color w:val="auto"/>
              </w:rPr>
            </w:pPr>
          </w:p>
        </w:tc>
      </w:tr>
      <w:tr>
        <w:trPr>
          <w:trHeight w:val="28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419"/>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8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41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40" w:type="dxa"/>
            <w:vAlign w:val="bottom"/>
          </w:tcPr>
          <w:p>
            <w:pPr>
              <w:spacing w:after="0"/>
              <w:rPr>
                <w:sz w:val="24"/>
                <w:szCs w:val="24"/>
                <w:color w:val="auto"/>
              </w:rPr>
            </w:pPr>
          </w:p>
        </w:tc>
      </w:tr>
      <w:tr>
        <w:trPr>
          <w:trHeight w:val="41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456,535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456,561</w:t>
            </w:r>
          </w:p>
        </w:tc>
        <w:tc>
          <w:tcPr>
            <w:tcW w:w="40" w:type="dxa"/>
            <w:vAlign w:val="bottom"/>
          </w:tcPr>
          <w:p>
            <w:pPr>
              <w:spacing w:after="0"/>
              <w:rPr>
                <w:sz w:val="24"/>
                <w:szCs w:val="24"/>
                <w:color w:val="auto"/>
              </w:rPr>
            </w:pPr>
          </w:p>
        </w:tc>
      </w:tr>
      <w:tr>
        <w:trPr>
          <w:trHeight w:val="284"/>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254,805</w:t>
            </w:r>
          </w:p>
        </w:tc>
        <w:tc>
          <w:tcPr>
            <w:tcW w:w="40" w:type="dxa"/>
            <w:vAlign w:val="bottom"/>
          </w:tcPr>
          <w:p>
            <w:pPr>
              <w:spacing w:after="0"/>
              <w:rPr>
                <w:sz w:val="24"/>
                <w:szCs w:val="24"/>
                <w:color w:val="auto"/>
              </w:rPr>
            </w:pPr>
          </w:p>
        </w:tc>
      </w:tr>
      <w:tr>
        <w:trPr>
          <w:trHeight w:val="40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40" w:type="dxa"/>
            <w:vAlign w:val="bottom"/>
          </w:tcPr>
          <w:p>
            <w:pPr>
              <w:spacing w:after="0"/>
              <w:rPr>
                <w:sz w:val="24"/>
                <w:szCs w:val="24"/>
                <w:color w:val="auto"/>
              </w:rPr>
            </w:pPr>
          </w:p>
        </w:tc>
      </w:tr>
      <w:tr>
        <w:trPr>
          <w:trHeight w:val="149"/>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40" w:type="dxa"/>
            <w:vAlign w:val="bottom"/>
          </w:tcPr>
          <w:p>
            <w:pPr>
              <w:spacing w:after="0"/>
              <w:rPr>
                <w:sz w:val="12"/>
                <w:szCs w:val="12"/>
                <w:color w:val="auto"/>
              </w:rPr>
            </w:pPr>
          </w:p>
        </w:tc>
      </w:tr>
      <w:tr>
        <w:trPr>
          <w:trHeight w:val="149"/>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21,439</w:t>
            </w:r>
          </w:p>
        </w:tc>
        <w:tc>
          <w:tcPr>
            <w:tcW w:w="40" w:type="dxa"/>
            <w:vAlign w:val="bottom"/>
          </w:tcPr>
          <w:p>
            <w:pPr>
              <w:spacing w:after="0"/>
              <w:rPr>
                <w:sz w:val="12"/>
                <w:szCs w:val="12"/>
                <w:color w:val="auto"/>
              </w:rPr>
            </w:pPr>
          </w:p>
        </w:tc>
      </w:tr>
      <w:tr>
        <w:trPr>
          <w:trHeight w:val="148"/>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3"/>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(121,492)</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(121,492)</w:t>
            </w:r>
          </w:p>
        </w:tc>
      </w:tr>
      <w:tr>
        <w:trPr>
          <w:trHeight w:val="142"/>
        </w:trPr>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42,722</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822,624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(494,059</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328,609</w:t>
            </w:r>
          </w:p>
        </w:tc>
        <w:tc>
          <w:tcPr>
            <w:tcW w:w="40" w:type="dxa"/>
            <w:vAlign w:val="bottom"/>
          </w:tcPr>
          <w:p>
            <w:pPr>
              <w:spacing w:after="0"/>
              <w:rPr>
                <w:sz w:val="12"/>
                <w:szCs w:val="1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-4911090</wp:posOffset>
            </wp:positionV>
            <wp:extent cx="7132320" cy="4911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460" w:space="280"/>
            <w:col w:w="5480"/>
          </w:cols>
          <w:pgMar w:left="320" w:top="549"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(121,492)</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(68,299)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(49,780)</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(accretion) of premium (discount) on investments,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(983)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Provision for inventories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 liability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(2,566)</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(2,886)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(16,287)</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(2,212)</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(6,245)</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payroll and related benefits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warranty liability</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2"/>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(99,015)</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(70,292)</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(46,442)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(9,108)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(3,293)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(32,884)</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(91,878)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(132,310)</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Sales and maturities of short-term investments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169,468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 from sales of property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74,297</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stock upon initial public offering,</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of issuance costs paid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254,805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cash exercise of redeemable convertible preferred stock warrants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 issuance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126,758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term loan, net of issuance costs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term loan and extinguishment costs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(30,985)</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 of finance lease</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exercise of common stock warrant</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 of redeemable convertible preferred stock issuance costs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385,682</w:t>
            </w:r>
          </w:p>
        </w:tc>
        <w:tc>
          <w:tcPr>
            <w:tcW w:w="2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134,872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290,614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328,283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37,669</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22"/>
                <w:szCs w:val="22"/>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investing and financing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tcPr>
          <w:p>
            <w:pPr>
              <w:spacing w:after="0"/>
              <w:rPr>
                <w:sz w:val="22"/>
                <w:szCs w:val="22"/>
                <w:color w:val="auto"/>
              </w:rPr>
            </w:pP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 of inventories to property and equipment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Deemed dividend on settlement of accrued dividend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 to redemption value on redeemable convertible preferred stock</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134,760</w:t>
            </w:r>
          </w:p>
        </w:tc>
        <w:tc>
          <w:tcPr>
            <w:tcW w:w="26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of redeemable convertible preferred stock into common stock upon</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initial public offering</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456,561</w:t>
            </w:r>
          </w:p>
        </w:tc>
        <w:tc>
          <w:tcPr>
            <w:tcW w:w="56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Reclassification of redeemable convertible preferred stock warrant liability for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Series A redeemable preferred stock warrants into common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warrants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5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Reclassification of redeemable convertible preferred stock warrant liability to</w:t>
            </w: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Issuance of common stock on settlement of accrued dividend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vMerge w:val="continue"/>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41,763</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extinguishment of redeemable convertible preferred stock</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117,598</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Outset Medical, Inc. (the Company) was originally incorporated on May 5, 2003 in the state of Delaware under the name Home Dialysis Plus, Ltd. The name of the Company was changed to Outset Medical, Inc. on January 5, 2015. Outset Medical, Inc. is a medical technology company pioneering a first-of-its-kind technology to reduce the cost and complexity of dialysis. The Tablo Hemodialysis System, FDA cleared for use from the hospital to the home, represents a significant technological advancement designed to transform the dialysis experience for patients and operationally simplify it for providers. Tablo serves as a single enterprise solution that designed to be utilized across the continuum of care, allowing dialysis to be delivered anytime, anywhere and by anyone. The integration of water purification and on-demand dialysate production enables Tablo to serve as a dialysis clinic on wheels, with 2-way wireless data transmission and a proprietary data analytics platform powering a new holistic approach to dialysis care. The Company’s headquarters are located in San Jose, CA.</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Company’s registration statement on Form S-1 related to its initial public offering (IPO) was declared effective by the Securities and Exchange Commission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approximately $254.8 million after deducting offering costs, underwriting discounts and commissions of approximately $23.1 million.</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recognized $18.5 million of cumulative stock-based compensation expense associated with stock options that vest upon the achievement of market and performance conditions satisfied on the effectiveness of the IPO (see Note 9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financial statements and related notes have been retrospectively adjusted to reflect the effect of the Reverse Stock Split for all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years ended December 31, 2020, 2019 and 2018, the Company incurred net losses of $121.5 million, $68.3 million and $49.8 million, respectively. As of December 31, 2020, the Company had an accumulated deficit of $494.1 million.</w:t>
      </w:r>
    </w:p>
    <w:p>
      <w:pPr>
        <w:spacing w:after="0" w:line="176"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had cash, cash equivalents and short-term investments of $314.9 million, which are available to fund future operations, and restricted cash of $33.3 million, for a total cash, cash equivalents, restricted cash and short-term investments balance of $348.2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cash generated from revenues from its products, as well as services and other sales, will be sufficient to meet its anticipated needs for at least the next 12 months from the issuance date of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U.S. generally accepted accounting principles (U.S. GAAP). All share amounts disclosed in the notes to the financial statements are rounded to the nearest thousand except for per share amounts.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doubtful accounts, inventory valuation and write-downs, warranty obligations, the fair value of common stock and redeemable convertible preferred stock, the fair value of stock options, the fair value of the redeemable convertible preferred stock warrant liability, valuation of investments, recoverability of the Company’s net deferred tax assets and the related valuation allowance,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its Chief Executive Officer, reviews financial information on an aggregate basis for the purposes of allocating resources and evaluating financial performance. The Company’s primary operation is in the United States and it has derived its revenue from sales to customers in the United States. The Company has operated a manufacturing facility in Mexico since 2020. The Company's long-lived tangible assets, as well as the Company's operating lease right-of-use assets recognized on the balance sheets, located in Mexico were $6.0 million as of December 31,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2020, the restricted cash balance of $33.3 million primarily relates to contractual obligations under the SVB Loan and Security Agreement (see Note 7) and collateral for the building leases in San Jose, CA and Tijuana, Mexico. The restricted cash balance of $0.7 million as of December 31, 2019 relates to collateral for the building leases.</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at the date of purchase to be cash equivalents. As of December 31, 2020 and 2019, the Company’s cash equivalents were held in institutions in the United States and include deposits in a money market fund which were unrestricted as to withdrawal or use.</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that sum to the total of the amounts shown in the statements of cash flows (in thousands):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3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294,972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Short-term investments have been classified as available-for-sale and are carried at estimated fair value as determined based upon quoted market prices or pricing models for similar securities. The Company determines the appropriate classification of its investments in debt securities at the time of purchase. Available-for-sale securities with original maturities beyond three months at the date of purchase are classified as current based on their availability for use in current operations.</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are recorded at fair value based on the fair value hierarchy. Money market funds and U.S. Treasury securities are classified within Level 1 of the fair value hierarchy. Commercial paper, corporate debt and asset-backed securities are within Level 2 of the fair value hierarchy. Unrealized gains and losses, deemed temporary in nature, are reported as a separate component of accumulated other comprehensive income (loss).</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security. Premiums (discounts) are amortized (accreted)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deposits may, at times, exceed federally insured limits or may not be covered by deposit insurance at all. The Company has not experienced any credit losses on its cash and cash equivalents, restricted cash or short-term investments through December 31, 2020.</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2020, three customers accounted for 22%, 19% and 16% of revenues, respectively. One customer accounted for 11% of revenues for the year ended December 31, 2019. Accounts receivable are unsecured and the Company does not require collateral; however, the Company does assess the collectability of accounts receivable based on a number of factors, including past transaction history with, and the creditworthiness of, the customer. Accordingly, the Company is exposed to credit risk associated with accounts receivable. Two customers accounted for 22% and 16% of accounts receivable, respectively, as of December 31, 2020. Four customers accounted for 22%, 13%, 11% and 10% of accounts receivable, respectively, as of December 31, 2019.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As a result, the Company believes that its accounts receivable credit risk exposure is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 fair value hierarchy has been established which gives precedence to fair value measurements calculated using observable inputs over those using unobservable inputs. This hierarchy prioritized the inputs into three broad levels as follows: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Quoted prices in active markets for identical instruments;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 Other significant observable inputs (including quoted prices in active markets for similar instruments); and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 Significant unobservable inputs (including assumptions in determining the fair value of certain investments).</w:t>
      </w:r>
    </w:p>
    <w:p>
      <w:pPr>
        <w:spacing w:after="0" w:line="22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restricted cash, short-term investments, accounts receivable, accounts payable and accrued liabilities approximate their fair value due to their short maturities. Management believes that its term loan bears interest at the prevailing market rates for instruments with similar characteristics; accordingly, the carrying value of this instrument approximates its fair value. Money market funds are highly liquid investments and are actively traded. The pricing information on the Company’s money market funds are readily available and can be independently validated as of the measurement date. This approach results in the classification of these securities as Level 1 of the fair value hierarchy.</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has issued redeemable convertible preferred stock warrants and estimated the fair value of these warrants using the Black-Scholes option pricing model, which is considered to be a Level 3 fair value measurement. The assumptions were based on the individual characteristics of the warrants on the valuation date, as well as assumptions for future financings, expected volatility, expected life, yield, and risk-free interest rate. Effective on the date of the IPO, the redeemable convertible preferred stock warrants were considered to be indexed to the Company’s stock, and accordingly, the fair value of redeemable convertible preferred stock warrant liability was remeasured immediately prior to the IPO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at invoice value, net of any allowance for doubtful accounts. Estimates of the allowance for doubtful accounts are determined based on existing contractual payment terms, historical payment patterns of customers and individual customer circumstances. The allowance for doubtful accounts was not significant as of December 31, 2020 and 2019,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standard cost method, which approximates actual costs as determined on a first-in, first-out basis. The carrying value of inventories is reduced for any difference between cost and net realizable value of inventories that is determined to be obsolete or unmarketable, based upon assumptions about future demand and market conditions. The Company also reviews its inventory value to determine if it reflects the lower of cost or net realizable value based on factors such as inventory items sold at negative gross margins and purchase commitments. Adjustments to the value of inventory establish a new cost basis and are considered permanent even if circumstances later suggest that increased carrying amounts are recoverable. If demand is higher than expected, the Company may sell inventory that had previously been written down. Costs associated with the write-down of inventory are recorded to cost of revenue on the Company’s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Property and equipment, net is stated at cost, net of accumulated depreciation. Depreciation is generally computed using the straight-line method based on the estimated useful lives of the assets, which is generally two to five years. Certain Tablo consoles under operating leases are depreciated using the accelerated method. Leasehold improvements are amortized using the straight-line method over the shorter of the assets estimated useful lives or the remaining term of the lease. 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Company’s statements of operations in the period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2020 and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187"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spacing w:after="0" w:line="180"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Liability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 Deferred Revenue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deferred revenue when revenue is recognized subsequent to invoicing. For multi-year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 has accounted for its freestanding warrants to purchase shares of the Company’s redeemable convertible preferred stock as liabilities at fair value upon issuance primarily because the shares underlying the warrants contained contingent redemption features outside of the Company’s control. The warrants were subject to re-measurement at each balance sheet date and any change in fair value was recognized in the statements of operations as the change in fair value of redeemable convertible preferred stock warrant liability. The carrying value of the warrants would continue to be adjusted until these instruments are exercised, expire or convert into warrants to purchase shares of the Company’s common stock upon the completion of a liquidation event, including the completion of the IPO, which occurred on September 15, 2020. Upon the closing of the IPO, the liabilities were reclassified to additional paid-in capital, a component of Stockholders’ equity (deficit).</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these liabilities using the Black-Scholes option pricing model and assumptions that were based on the individual characteristics of the warrants on the valuation date, as well as assumptions for future financings, expected volatility, expected life, yield, and risk-free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under Section 401(k) of the Internal Revenue Code. This plan allows eligible employees to defer a portion of their annual compensation on a pre-tax basis. The Company is authorized to make matching contributions but has not made such contributions for the years ended December 31, 2020,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Company’s revenue is generated primarily from the sale of its products and services. Product revenue consists primarily of sales of the Tablo console and related consumables, including Tablo cartridges, used in treatment delivery. Service and other revenue consists primarily of revenue generated from consoles service contracts and other revenue from shipping and handling charged to customers.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considers each product and each service contract to be a distinct performance obligation. Revenue is recognized when a performance obligation is satisfied, which occurs when control of the promised products or services is transferred to the customer in an amount that reflects the consideration the Company expects to receive in exchange for those products or services. Revenue from product sales is recognized at a point in time when management has determined that control has transferred to the customer, which is generally when legal title has transferred to the customer. Revenue from service contracts is recognized as the output of the service is transferred to the customer over time, typically evenly over the contract term. Revenue is recognized net of allowances for returns and any taxes collected from customers, which are subsequently remitted to governmental authorities.</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Judgment is also required to determine the stand-alone selling price (SSP) for each distinct performance obligation. The Company uses an observable price to estimate SSP for items that are sold separately, including customer support agreements. In instances where SSP is not directly observable, such as when the Company does not sell the product or service separately, the Company determines the SSP using information that may include market conditions and other observable inputs. The Company may offer additional goods or services to customers at the inception of customer contracts at prices not at SSP. This is considered a material right and an additional performance obligation of the contract. SSP is assigned based on the estimated value of the material right.</w:t>
      </w:r>
    </w:p>
    <w:p>
      <w:pPr>
        <w:spacing w:after="0" w:line="19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4" w:name="page115"/>
    <w:bookmarkEnd w:id="114"/>
    <w:p>
      <w:pPr>
        <w:ind w:left="760"/>
        <w:spacing w:after="0"/>
        <w:rPr>
          <w:sz w:val="20"/>
          <w:szCs w:val="20"/>
          <w:color w:val="auto"/>
        </w:rPr>
      </w:pPr>
      <w:r>
        <w:rPr>
          <w:rFonts w:ascii="Times New Roman" w:cs="Times New Roman" w:eastAsia="Times New Roman" w:hAnsi="Times New Roman"/>
          <w:sz w:val="18"/>
          <w:szCs w:val="18"/>
          <w:i w:val="1"/>
          <w:iCs w:val="1"/>
          <w:color w:val="auto"/>
        </w:rPr>
        <w:t>Operating Lease Arrangements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three months to one year, in the statements of operations. The costs of the leased Tablo consoles are included in property and equipment, net in the balance sheets and amortized to cost of product revenue.</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Shipping and handling charged to customers are recorded as revenue. Shipping and handling costs are expensed as incurred and are included in sales and marketing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relates to stock options with a service condition, stock options with performance and market-based vesting conditions, stock purchase rights under our Employee Stock Purchase Plan (ESPP), restricted stock units (RSUs) and performance stock units (PSUs). Stock-based compensation expense for the Company’s stock-based awards is based on their grant date fair value.</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Service-based options initially granted to an optionee generally vest at a rate of 25% on the first anniversary of the original vesting date, with the balance vesting monthly over the remaining three years. Any subsequent follow-on options granted to the optionee generally vest monthly over four years. 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 The Company had no publicly available stock price information prior to the IPO and limited available stock price information subsequent to the IPO; therefore, the Company has used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For stock options with performance and market-based vesting conditions, stock-based compensation expense is recognized when it is considered probably that the performance vesting condition will be satisfied. Prior to the IPO in September 2020, the Company had not recognized any stock-based compensation expense as the satisfaction of the performance condition was not considered probable. Upon the closing of the IPO, the Company recorded a cumulative stock-based compensation expense using the accelerated attribution method as the performance condition was satisfied. Stock-based compensation expense related to these options is not reversed if the achievement of the market condition does not occur. The fair value of these stock options is estimated using the Monte Carlo approach.</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RSUs initially granted to an optionee generally vest at a rate of 25% on the first anniversary of the original vesting date, with the balance vesting quarterly over the remaining three years. The fair value of RSUs and PSUs is based on the market price of the Company’s common stock on the date of grant. The determination of the stock-based compensation expense related to PSUs to be recognized in the Company’s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the Company has recorded in the current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These expenses include the costs of proprietary research and development efforts, quality engineering, clinical studies and trials and regulatory affairs. Costs include personnel and related costs, supplies, testing, contract and other outside service fees, depreciation expense and allocated costs including facilities and information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Advertising costs are expensed as incurred. The advertising costs for years ended December 31, 2020, 2019 and 2018 were not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includes any penalties and interest expense related to income taxes as a component of other expense, net, as necessary.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for potential dilutive securities.</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weighted-average number of common shares and common share equivalents of potentially dilutive securities outstanding for the period. For purposes of the diluted net loss per share calculation, redeemable convertible preferred stock, awards under the Company’s equity compensation plan and warrants are considered to be potentially dilutive securities. For periods in which the Company reports net losses, basic net loss per share attributable to common stockholders is the same as diluted net loss per share attributable to common stockholders because the effects of potentially dilutive securities are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Disclosure Framework—Changes to the Disclosure Requirements for Fair Value Measurement </w:t>
      </w:r>
      <w:r>
        <w:rPr>
          <w:rFonts w:ascii="Times New Roman" w:cs="Times New Roman" w:eastAsia="Times New Roman" w:hAnsi="Times New Roman"/>
          <w:sz w:val="18"/>
          <w:szCs w:val="18"/>
          <w:color w:val="auto"/>
        </w:rPr>
        <w:t>(ASU 2018-13).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on changes in unrealized gains and losses recognized in other comprehensive income categorized within Level 3, the range and weighted average of significant unobservable inputs used to develop Level 3 fair value measurements, and the narrative description of measurement uncertainty should be applied prospectively in the initial fiscal year of adoption. All other amendments should be applied retrospectively to all periods presented upon their effective date. The Company adopted ASU 2018-13 as of January 1, 2020, which did not have a material impact on its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requires an entity to utilize a new impairment model known as the current expected credit loss (CECL) model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6" w:name="page117"/>
    <w:bookmarkEnd w:id="116"/>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of the first reporting period in which the guidance is effective. In November 2019, the FASB issued ASU 2019-10,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 Derivatives and Hedging (Topic 815) and Leases (Topic 842): Effective Dates</w:t>
      </w:r>
      <w:r>
        <w:rPr>
          <w:rFonts w:ascii="Times New Roman" w:cs="Times New Roman" w:eastAsia="Times New Roman" w:hAnsi="Times New Roman"/>
          <w:sz w:val="18"/>
          <w:szCs w:val="18"/>
          <w:color w:val="auto"/>
        </w:rPr>
        <w:t>, which defers the effective date of ASU 2016-13 to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183" w:lineRule="exact"/>
        <w:rPr>
          <w:sz w:val="20"/>
          <w:szCs w:val="20"/>
          <w:color w:val="auto"/>
        </w:rPr>
      </w:pPr>
    </w:p>
    <w:p>
      <w:pPr>
        <w:jc w:val="both"/>
        <w:ind w:right="200" w:firstLine="7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simplifies the accounting for income taxes, primarily by eliminating certain exceptions to ASC 740. This standard is effective for fiscal periods beginning after December 15, 2021. The Company is currently evaluating this standard and the impact it may have on its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Revenue by source consisted of the following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46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Consumables</w:t>
            </w: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product revenue</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2019, $3.1 million and $0.5 million of consoles revenue were from console operating lease arrangements. There was no such lease revenue for the year ended December 31, 2018.</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maturity of the Company’s operating leases as of December 31, 2020 was as follows (in thousands):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6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38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7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Borders>
              <w:bottom w:val="single" w:sz="8" w:color="CFF0FC"/>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72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2020, the aggregate amount of the transaction price allocated to the remaining performance obligations related to customer service contracts that are unsatisfied or partially unsatisfied was $3.8 million, which is recorded as deferred revenue on the Company’s balance sheet. Of that amount, $3.2 million will be recognized as revenue during the year ended December 31, 2021 and approximately $0.6 million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related to console service agreements and for prepayments for products or services yet to be delivered. Revenue under these agreements is recognized over the related service period. The following table summarizes the Company’s contract liabilities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8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revenue</w:t>
            </w:r>
          </w:p>
        </w:tc>
        <w:tc>
          <w:tcPr>
            <w:tcW w:w="1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8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1" w:right="319" w:bottom="1440" w:gutter="0" w:footer="0" w:header="0"/>
        </w:sectPr>
      </w:pPr>
    </w:p>
    <w:bookmarkStart w:id="117" w:name="page118"/>
    <w:bookmarkEnd w:id="117"/>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2019 and 2018, the Company recognized $0.9 million, $0.3 million, and $0.3 million of revenue, respectively, that was included in the deferred revenue balance at the beginning of the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left="71"/>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ind w:right="63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left="131"/>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1</w:t>
            </w:r>
          </w:p>
        </w:tc>
        <w:tc>
          <w:tcPr>
            <w:tcW w:w="38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29,761</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17,357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65,190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3</w:t>
            </w:r>
          </w:p>
        </w:tc>
        <w:tc>
          <w:tcPr>
            <w:tcW w:w="38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7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Company’s Level 2 securities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2020, the remaining contractual maturities for available-for-sale securities were less than one year.</w:t>
      </w:r>
    </w:p>
    <w:p>
      <w:pPr>
        <w:spacing w:after="0" w:line="225"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Impairment assessments are made at the individual security level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As of December 31, 2020 and December 31, 2019, none of the Company’s available-for-sale securities were in an unrealized loss position.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valuation of the Company’s redeemable convertible preferred stock warrant liability contained unobservable inputs that reflected the Company’s own assumptions for which there was little, if any, market activity at the measurement date. Accordingly, the Company’s redeemable convertible preferred stock warrant liability was measured at fair value on a recurring basis using unobservable inputs and were classified as Level 3 inputs, and any change in fair value of the redeemable convertible preferred stock warrant liability was recognized in the statements of operations.</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Effective on the date of the IPO, the redeemable convertible preferred stock warrants were considered to be indexed to the Company’s stock and now meet the criteria to be classified in equity. The Company remeasured the warrants immediately prior to the IPO. The fair value of the Series A redeemable convertible preferred stock warrants which were converted into common stock warrants was determined using the Black-Scholes option-pricing model and deemed a Level 3 fair value measurement. The fair value of Series B and C redeemable convertible preferred stock warrants which were exercised was determined using the intrinsic method based on the IPO price of $27.00 per share and deemed a Level 2 fair value measurement. Subsequently, the entire redeemable convertible preferred stock warrants liability was reclassified to additional paid-in capital.</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warrants, prior to the IPO, was determined using the Black-Scholes option pricing model and the following assumptions:</w:t>
      </w:r>
    </w:p>
    <w:p>
      <w:pPr>
        <w:sectPr>
          <w:pgSz w:w="11900" w:h="16838" w:orient="portrait"/>
          <w:cols w:equalWidth="0" w:num="1">
            <w:col w:w="11260"/>
          </w:cols>
          <w:pgMar w:left="320" w:top="6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80" w:right="560" w:hanging="134"/>
        <w:spacing w:after="0" w:line="261" w:lineRule="auto"/>
        <w:rPr>
          <w:sz w:val="20"/>
          <w:szCs w:val="20"/>
          <w:color w:val="auto"/>
        </w:rPr>
      </w:pPr>
      <w:r>
        <w:rPr>
          <w:rFonts w:ascii="Times New Roman" w:cs="Times New Roman" w:eastAsia="Times New Roman" w:hAnsi="Times New Roman"/>
          <w:sz w:val="18"/>
          <w:szCs w:val="18"/>
          <w:color w:val="auto"/>
        </w:rPr>
        <w:t>Fair value of shares of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283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$1.39 –</w:t>
            </w:r>
          </w:p>
        </w:tc>
        <w:tc>
          <w:tcPr>
            <w:tcW w:w="180" w:type="dxa"/>
            <w:vAlign w:val="bottom"/>
          </w:tcPr>
          <w:p>
            <w:pPr>
              <w:spacing w:after="0"/>
              <w:rPr>
                <w:sz w:val="17"/>
                <w:szCs w:val="17"/>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$1.36 – $2.40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$2.05 – $3.25</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3.24 – 7.25</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3.74 – 7.50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4.74 – 8.50</w:t>
            </w: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53.7% –</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48.1%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48.8% –</w:t>
            </w:r>
          </w:p>
        </w:tc>
        <w:tc>
          <w:tcPr>
            <w:tcW w:w="0" w:type="dxa"/>
            <w:vAlign w:val="bottom"/>
          </w:tcPr>
          <w:p>
            <w:pPr>
              <w:spacing w:after="0"/>
              <w:rPr>
                <w:sz w:val="1"/>
                <w:szCs w:val="1"/>
                <w:color w:val="auto"/>
              </w:rPr>
            </w:pPr>
          </w:p>
        </w:tc>
      </w:tr>
      <w:tr>
        <w:trPr>
          <w:trHeight w:val="23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w:t>
            </w:r>
          </w:p>
        </w:tc>
        <w:tc>
          <w:tcPr>
            <w:tcW w:w="1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0.18% –</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1.76%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 –</w:t>
            </w:r>
          </w:p>
        </w:tc>
        <w:tc>
          <w:tcPr>
            <w:tcW w:w="0" w:type="dxa"/>
            <w:vAlign w:val="bottom"/>
          </w:tcPr>
          <w:p>
            <w:pPr>
              <w:spacing w:after="0"/>
              <w:rPr>
                <w:sz w:val="1"/>
                <w:szCs w:val="1"/>
                <w:color w:val="auto"/>
              </w:rPr>
            </w:pPr>
          </w:p>
        </w:tc>
      </w:tr>
      <w:tr>
        <w:trPr>
          <w:trHeight w:val="229"/>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w:t>
            </w:r>
          </w:p>
        </w:tc>
        <w:tc>
          <w:tcPr>
            <w:tcW w:w="1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40" w:space="720"/>
            <w:col w:w="4800"/>
          </w:cols>
          <w:pgMar w:left="320" w:top="657" w:right="31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change in fair value of the redeemable convertible preferred stock warrant liability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warrants to common stock warrants upon the</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9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closing of the IPO</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Reclassified to additional paid-in capital</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1,143</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2,611</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4,596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1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700" w:type="dxa"/>
            <w:vAlign w:val="bottom"/>
          </w:tcPr>
          <w:p>
            <w:pPr>
              <w:spacing w:after="0"/>
              <w:rPr>
                <w:sz w:val="19"/>
                <w:szCs w:val="19"/>
                <w:color w:val="auto"/>
              </w:rPr>
            </w:pPr>
          </w:p>
        </w:tc>
        <w:tc>
          <w:tcPr>
            <w:tcW w:w="54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Tablos under operating leases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(2,670)</w:t>
            </w:r>
          </w:p>
        </w:tc>
      </w:tr>
      <w:tr>
        <w:trPr>
          <w:trHeight w:val="223"/>
        </w:trPr>
        <w:tc>
          <w:tcPr>
            <w:tcW w:w="170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Total depreciation and amortization expense for the years ended December 31, 2020, 2019 and 2018 was $3.2 million, $1.5 million and $1.1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Liability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change in accrued warranty liability is presented in the following table (in thousands):</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 to cost of product revenue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Consumption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September 2019, the Company entered into an operating lease agreement for its new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an operating lease agreement for its new manufacturing facility in Tijuana, Mexico that commenced in May 2020 and will expire in August 2026. The Company took initial possession of the building with 48,437 square feet in May 2020 and will take possession of the second space with 38,750 square feet in June 2021.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0" w:name="page121"/>
    <w:bookmarkEnd w:id="120"/>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Both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also had a finance lease for office equipment that expired in 2020.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Company’s ROU assets and lease liabilities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Classification</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78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Finance</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ROU assets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780" w:type="dxa"/>
            <w:vAlign w:val="bottom"/>
            <w:gridSpan w:val="2"/>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6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9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4480" w:type="dxa"/>
            <w:vAlign w:val="bottom"/>
            <w:tcBorders>
              <w:top w:val="single" w:sz="8" w:color="CFF0FC"/>
              <w:bottom w:val="single" w:sz="8" w:color="CFF0FC"/>
            </w:tcBorders>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lease costs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40" w:type="dxa"/>
            <w:vAlign w:val="bottom"/>
            <w:tcBorders>
              <w:bottom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19"/>
                <w:szCs w:val="19"/>
                <w:color w:val="auto"/>
              </w:rPr>
            </w:pPr>
          </w:p>
        </w:tc>
        <w:tc>
          <w:tcPr>
            <w:tcW w:w="3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119</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21" w:name="page122"/>
    <w:bookmarkEnd w:id="121"/>
    <w:p>
      <w:pPr>
        <w:ind w:left="76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2020 were as follows (in thousands):</w:t>
      </w:r>
    </w:p>
    <w:p>
      <w:pPr>
        <w:spacing w:after="0" w:line="262"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3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obligations under non-cancellable purchase commitments totaling $46.5 million, all of which will require payment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or investigations our reputation, business and financial condition and divert the attention of our management from the operation of our business. The Company is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its arrangements with its partners, customer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Term loans consist of the following (in thousands):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term loan</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term loan, current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Term loan, noncurrent</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June 30, 2017, the Company entered into a senior, secured, delayed-draw term loan facility (the Perceptive Term Loan Agreement) with Perceptive Credit Holdings, LP, as the administrative agent and the collateral agent, for various related Perceptive group companies to borrow up to $40.0 million (the Perceptive Term Loans). The Perceptive Term Loans bore interest at a rate of 8.55%, plus the greater of the three-month London Inter-bank Offered Rate (LIBOR) and 2.00%.</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2" w:name="page123"/>
    <w:bookmarkEnd w:id="122"/>
    <w:p>
      <w:pPr>
        <w:ind w:right="20" w:firstLine="749"/>
        <w:spacing w:after="0" w:line="289" w:lineRule="auto"/>
        <w:rPr>
          <w:sz w:val="20"/>
          <w:szCs w:val="20"/>
          <w:color w:val="auto"/>
        </w:rPr>
      </w:pPr>
      <w:r>
        <w:rPr>
          <w:rFonts w:ascii="Times New Roman" w:cs="Times New Roman" w:eastAsia="Times New Roman" w:hAnsi="Times New Roman"/>
          <w:sz w:val="17"/>
          <w:szCs w:val="17"/>
          <w:color w:val="auto"/>
        </w:rPr>
        <w:t>In July 2020, the Company used the SVB Term Loan (see below) to repay in full all amounts due under the Perceptive Term Loan and cash on hand to pay $1.2 million in early prepayment, accrued interest and exit fees. The repayment of the Perceptive Term Loan was accounted for as a debt extinguishment, which resulted in a loss on extinguishment of $1.6 million recorded in the statements of operations for the year ended December 31,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Loan and Security Agreement</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(3.75% as of December 31, 2020). The Company is obligated to maintain a restricted cash balance greater or equal to the outstanding principal balance of $30.0 million of the SVB Term Loan.</w:t>
      </w:r>
    </w:p>
    <w:p>
      <w:pPr>
        <w:spacing w:after="0" w:line="180"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 As of December 31, 2020, the unamortized debt discount was $0.3 million, which is recorded as a direct deduction from the SVB Term Loan on the balance sheets.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annual payments due on the SVB Term Loan as of December 31, 2020 were as follows (in thousands):</w:t>
      </w:r>
    </w:p>
    <w:p>
      <w:pPr>
        <w:spacing w:after="0" w:line="262"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payments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8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final payment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w:t>
            </w:r>
          </w:p>
        </w:tc>
        <w:tc>
          <w:tcPr>
            <w:tcW w:w="14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net of debt discount</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and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Company’s IPO, all of the outstanding shares of redeemable convertible preferred stock converted into 25,958,000 shares of common stock, excluding the 274,000 shares of common stock that were issued on the exercise of outstanding redeemable convertible preferred stock warrants.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Upon the closing of the IPO, the Company’s amended and restated certificate of incorporation authorized 5,000,000 shares of undesignated preferred stock, $0.001 par value per share, the rights, preferences and privileges of which may be designated from time to time by the Company’s board of directors. As of December 31, 2020, no shares of the preferred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 and Common Stock Warrants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the closing of the IPO, the aggregate outstanding Series A redeemable convertible preferred stock warrants of 500,000 shares converted into 63,000 common stock warrants with an exercise price of $7.96 per share, which resulted in the reclassification of the convertible preferred stock warrant liability of $1.2 million to additional paid-in capital. The common stock warrants expire in September 2025.</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the closing of the IPO, the aggregate outstanding Series B redeemable convertible preferred stock warrants of 2,176,000 shares were net exercised with an exercise price of $2.2674 per share, which resulted in the issuance of 65,000 shares of the Company’s common stock based on the IPO price of $27.00 per share. In addition, the aggregate outstanding Series C redeemable convertible preferred stock warrants of 1,655,000 shares were cash exercised at an exercise price of $2.5915 per share, which resulted in the issuance of 209,000 shares of the Company’s common stock with total aggregate cash proceeds of $4.3 million.</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2009, the Company issued a warrant to purchase 8,860 shares of common stock with an exercise price of $8.61 per share and a fair value of $30,000 in connection with a product development agreement. The warrant was fully vested and exercised during the first quarter of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on an as-if converted basis, for issuance as of December 31, 2020 as follows (in thousands):</w:t>
      </w:r>
    </w:p>
    <w:p>
      <w:pPr>
        <w:sectPr>
          <w:pgSz w:w="11900" w:h="16838" w:orient="portrait"/>
          <w:cols w:equalWidth="0" w:num="1">
            <w:col w:w="11220"/>
          </w:cols>
          <w:pgMar w:left="320" w:top="549"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-136525</wp:posOffset>
            </wp:positionV>
            <wp:extent cx="427736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Restricted stock units outstanding</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Performance stock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Shares available for future purchase under ESPP</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Shares available for future grant under 2020 Plan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40"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63</w:t>
      </w:r>
    </w:p>
    <w:p>
      <w:pPr>
        <w:spacing w:after="0" w:line="27"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4,763</w:t>
      </w:r>
    </w:p>
    <w:p>
      <w:pPr>
        <w:spacing w:after="0" w:line="23"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44</w:t>
      </w:r>
    </w:p>
    <w:p>
      <w:pPr>
        <w:spacing w:after="0" w:line="23"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687</w:t>
      </w:r>
    </w:p>
    <w:p>
      <w:pPr>
        <w:spacing w:after="0" w:line="23"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3,537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14605</wp:posOffset>
            </wp:positionV>
            <wp:extent cx="7112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9,118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17145</wp:posOffset>
            </wp:positionV>
            <wp:extent cx="7112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34290</wp:posOffset>
            </wp:positionV>
            <wp:extent cx="7112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7380" w:space="720"/>
            <w:col w:w="3120"/>
          </w:cols>
          <w:pgMar w:left="320" w:top="549" w:right="359" w:bottom="1440" w:gutter="0" w:footer="0" w:header="0"/>
          <w:type w:val="continuous"/>
        </w:sectPr>
      </w:pPr>
    </w:p>
    <w:p>
      <w:pPr>
        <w:spacing w:after="0" w:line="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September 2020, the Company adopted the 2020 Equity Incentive Plan (the 2020 Plan, and together with the Prior Plans, the Plans), which became effective in connection with the IPO. As a result, the Company may not grant any additional awards under the Prior Plans. The Prior Plans will continue to govern outstanding equity awards previously granted thereunder. The Company has initially reserved 3,665,000 shares of common stock for the issuance of awards under the 2020 Plan. In addition, the number of shares of common stock available under the 2020 Plan will automatically increase on the first day of each fiscal year, commencing January 2021,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Options under the 2020 Plan have a contractual term of 10 years. The exercise price of an option shall not be less than 100% of the fair market value of the shares on the date of grant.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under the Plans is set forth below (in thousands, except exercise price and remaining contractual life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8,618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7.71</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240,504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2020</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84,226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to employees was $7.97, $2.77 and $1.90 per share during the years ended December 31, 2020, 2019 and 2018, respectively. The total intrinsic value of options exercised during the years ended December 31, 2020, 2019 and 2018 was $8.2 million, $0.2 million and $0.1 million, respectively. The intrinsic value is the difference between the estimated fair value of the Company’s common stock at the time of exercise and the exercise price of the stock option.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2020, 2019 and 2018 was $3.3 million, $0.7 million and</w:t>
      </w:r>
    </w:p>
    <w:p>
      <w:pPr>
        <w:spacing w:after="0" w:line="2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$0.7 million, respectively. As of December 31, 2020, the total unrecognized stock-based compensation expense related to the stock options, excluding stock options with market and performance conditions, was $6.2 million, which will be recognized over a weighted-average period of approximately 1.32 years.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Stock Options with Performance and Market Conditions</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granted 504,000, 632,000 and 321,000 shares of stock options with performance and market-based conditions to employees and executive officers. The options vest over the requisite service period if the Company achieves both (i) a performance condition tied to a liquidity event, which includes the effectiveness of an IPO, and (ii) certain market conditions, provided the optionee is providing services on the date of the event. In February 2020, the Company modified the market conditions, which resulted in a new grant date fair value for 1,457,000 stock options with performance and market-based conditions as of the modification date. As of December 31, 2020, 1,933,000 shares of these stock options were outstanding.</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the Company recorded cumulative stock-based compensation expense of $18.5 million related to all outstanding stock options with performance and market-based vesting conditions as the performance vesting condition was satisfied upon the closing of the IPO. As of December 31, 2020, 152,000 shares of these options were fully vested. Unamortized stock-based compensation expense amounted to $4.8 million as of December 31, 2020, which the Company expects to recognize over an estimated weighted-average period of 0.29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 Assumptions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following assumptions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3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26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5.06 – 10.00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5.05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4.98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52.1% – 62.7%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50.9%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48.8%</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0.35% – 1.54%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2.48%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3.02%</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9"/>
              </w:rPr>
              <w:t>0%</w:t>
            </w:r>
          </w:p>
        </w:tc>
        <w:tc>
          <w:tcPr>
            <w:tcW w:w="240" w:type="dxa"/>
            <w:vAlign w:val="bottom"/>
          </w:tcPr>
          <w:p>
            <w:pPr>
              <w:spacing w:after="0"/>
              <w:rPr>
                <w:sz w:val="20"/>
                <w:szCs w:val="20"/>
                <w:color w:val="auto"/>
              </w:rPr>
            </w:pPr>
          </w:p>
        </w:tc>
        <w:tc>
          <w:tcPr>
            <w:tcW w:w="11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1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70"/>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issues RSUs and PSUs, both of which are considered restricted stock. The Company grants restricted stock pursuant to the 2020 Plan and satisfies such grants through the issuance of new shares. RSUs are share awards that, upon vesting, will deliver to the holder shares of our common stock. The PSUs vest over the requisite service period if the Company achieves specified revenue targets. The PSUs vest in a range between 0% and 200% of the units approved based on the performance relative to specified revenue targets.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Restricted stock activity was as follows (in thousands, except per share amounts):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5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52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23"/>
        </w:trPr>
        <w:tc>
          <w:tcPr>
            <w:tcW w:w="52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(PSU)</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PSU</w:t>
            </w:r>
          </w:p>
        </w:tc>
        <w:tc>
          <w:tcPr>
            <w:tcW w:w="12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RSUs vested for the year ended December 31, 2020 was $0.2 million. There were no RSUs granted prior to 2020. As of December 31, 2020, the total unrecognized stock-based compensation expense related to the RSUs was $2.2 million, which will be recognized over a weighted-average period of approximately 3.12 years.</w:t>
      </w:r>
    </w:p>
    <w:p>
      <w:pPr>
        <w:spacing w:after="0" w:line="176"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2020, the achievement of the performance goal for PSUs was not considered probable. As a result, no associated expense was recognized during the year ended December 31, 2020. There were no PSUs granted prior to 2020. The total unrecognized stock-based compensation expense related to the PSUs was $1.3 million as of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Stock Purchase Plan (ESPP)</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September 2020, the Company adopted the Employee Stock Purchase Plan (ESPP). The Company has initially reserved 687,000 shares of common stock for purchase under the ESPP. In addition, the number of shares of common stock available for issuance under the ESPP will automatically increase on the first day of each fiscal year, commencing January 2021 and continuing until (and including) the fiscal year ending December 31, 2030, with such annual increase equal to the lesser of (i) 687,000 shares, (ii) 1% of the number of common stock issued and outstanding on December 31 of the immediately preceding fiscal year, and (iii) an amount determined by the Company’s board of directors.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Subject to any limitations contained therein, the ESPP allows eligible participants to contribute, through payroll deductions, up to 15% of their eligible compensation to purchase the Company’s common stock at a purchase price equal to 85% of the fair market value of the common stock on the first day of the offering period or purchase date, whichever is lower. The ESPP generally provides for consecutive 6-month offering periods. The initial offering period began on September 15, 2020 and ran through February 26, 2021.</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stock purchase rights under the ESPP is estimated using the Black-Scholes option pricing model.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the grant date fair value was $8.00 and estimated using the following assumptions:</w:t>
      </w:r>
    </w:p>
    <w:p>
      <w:pPr>
        <w:spacing w:after="0" w:line="252"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9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0.42</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9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20" w:type="dxa"/>
            <w:vAlign w:val="bottom"/>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2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ESPP commenced in September 2020. No shares of common stock were purchased pursuant to the ESPP in 2020. As of December 31, 2020, the total unrecognized stock-based compensation expense related to the ESPP was $0.2 million, which will be recognized over a weighted-average period of approximately 0.17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Company’s statements of operations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9"/>
                <w:szCs w:val="19"/>
                <w:color w:val="auto"/>
              </w:rPr>
            </w:pPr>
          </w:p>
        </w:tc>
      </w:tr>
      <w:tr>
        <w:trPr>
          <w:trHeight w:val="229"/>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FF0FC"/>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zero, $20,000 and $25,000 for the years ended December 31, 2020, 2019 and 2018, respectively.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effective tax rate of the provision for income taxes differs from the federal statutory rate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22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7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deferred tax adjustment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major components of deferred tax assets were as follows as of the dates indicated (in thousands):</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52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76,838</w:t>
            </w:r>
          </w:p>
        </w:tc>
        <w:tc>
          <w:tcPr>
            <w:tcW w:w="160" w:type="dxa"/>
            <w:vAlign w:val="bottom"/>
          </w:tcPr>
          <w:p>
            <w:pPr>
              <w:spacing w:after="0"/>
              <w:rPr>
                <w:sz w:val="19"/>
                <w:szCs w:val="19"/>
                <w:color w:val="auto"/>
              </w:rPr>
            </w:pPr>
          </w:p>
        </w:tc>
        <w:tc>
          <w:tcPr>
            <w:tcW w:w="5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80" w:type="dxa"/>
            <w:vAlign w:val="bottom"/>
            <w:shd w:val="clear" w:color="auto" w:fill="CFF0FC"/>
          </w:tcPr>
          <w:p>
            <w:pPr>
              <w:spacing w:after="0"/>
              <w:rPr>
                <w:sz w:val="19"/>
                <w:szCs w:val="19"/>
                <w:color w:val="auto"/>
              </w:rPr>
            </w:pPr>
          </w:p>
        </w:tc>
      </w:tr>
      <w:tr>
        <w:trPr>
          <w:trHeight w:val="229"/>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Accrual and reserves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Tangible and intangible assets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82,865</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(82,865)</w:t>
            </w:r>
          </w:p>
        </w:tc>
      </w:tr>
      <w:tr>
        <w:trPr>
          <w:trHeight w:val="223"/>
        </w:trPr>
        <w:tc>
          <w:tcPr>
            <w:tcW w:w="3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Realization of the deferred tax assets is dependent upon future taxable income, if any, the amount and timing of which are uncertain. The Company has established a valuation allowance to offset deferred tax assets as of December 31, 2020 and 2019 due to the uncertainty of realizing future tax benefits from its net operating loss carryforwards and other deferred tax assets. The valuation allowance increased by $28.3 million, $24.0 million and $13.6 million during the years ended December 31, 2020, 2019 and 2018,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Tax Credit Carryforwards</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had a net operating loss carryforward for federal income tax purposes of $301.3 million. Federal net operating losses of $173.5 million incurred after 2017 do not expire. The remaining $127.8 million of federal net operating loss carryforward will begin to expire in 2024 and continue to expire through 2037. The Company had a total state net operating loss carryforward of $174.0 million. State net operating losses of $30.9 million do not expire. The remaining state net operating loss carryforward of $143.1 million will begin to expire in 2021 and continue to expire through 2040.</w:t>
      </w:r>
    </w:p>
    <w:p>
      <w:pPr>
        <w:spacing w:after="0" w:line="183"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The Company had federal research and development credits of $5.8 million, which will begin to expire in 2030 and state research and development credits of $4.3 million which have no expiration date. These tax credits are subject to the same limitations discussed above.</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at December 31, 2020 have been recorded as an offset to federal and state research and development credit carryforwards.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reconciliation of the total unrecognized tax benefits for the year ended December 31, 2020 was as follows (in thousands):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2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current year positions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accrued interest or penalties associated with unrecognized tax benefits. The Company does not believe it is reasonably possible that its unrecognized tax benefits will significantly change within the next twelve months.</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various states. The Company is not currently under examination by income tax authorities in federal, state or other jurisdictions. All tax returns remain open for examination by federal and state authorities for three and four years, respectively, from the date of utilization of any net operating loss or credits.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229"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attributable to common stockholders was as follows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(68,299)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(49,780)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 to redemption value on redeemable convertible preferred</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(134,760)</w:t>
            </w:r>
          </w:p>
        </w:tc>
        <w:tc>
          <w:tcPr>
            <w:tcW w:w="3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Deemed dividend on settlement of accrued dividend</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extinguishment of redeemable convertible preferred stock</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6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(79,324)</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(85,461)</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Weighted-average shares of common stock, basic and diluted</w:t>
            </w: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28" w:name="page129"/>
    <w:bookmarkEnd w:id="128"/>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have been excluded from the calculation of diluted net loss per share due to their anti-dilutive effect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7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w w:val="97"/>
              </w:rPr>
              <w:t>Years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on an as-if converted basis</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r>
      <w:tr>
        <w:trPr>
          <w:trHeight w:val="223"/>
        </w:trPr>
        <w:tc>
          <w:tcPr>
            <w:tcW w:w="6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Selected Quarterly Information</w:t>
      </w:r>
    </w:p>
    <w:p>
      <w:pPr>
        <w:spacing w:after="0" w:line="229" w:lineRule="exact"/>
        <w:rPr>
          <w:sz w:val="20"/>
          <w:szCs w:val="20"/>
          <w:color w:val="auto"/>
        </w:rPr>
      </w:pPr>
    </w:p>
    <w:p>
      <w:pPr>
        <w:jc w:val="both"/>
        <w:ind w:right="58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tables present certain unaudited quarterly financial information for each of the eight quarters in the two-year period ended December 31, 2020. This quarterly information has been prepared on the same basis as the audited financial statements and includes all adjustments necessary to state fairly the information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2020 Quarter Ended (Unaudited)</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7,190</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11,742</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13,756</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(42,294)</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(32,043)</w:t>
            </w: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(42,294)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(32,043)</w:t>
            </w: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diluted</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4,161</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(42,294)</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(32,043)</w:t>
            </w:r>
          </w:p>
        </w:tc>
      </w:tr>
      <w:tr>
        <w:trPr>
          <w:trHeight w:val="21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r>
      <w:tr>
        <w:trPr>
          <w:trHeight w:val="234"/>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 basic</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r>
      <w:tr>
        <w:trPr>
          <w:trHeight w:val="234"/>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diluted</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2019 Quarter Ended (Unaudited)</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2,491</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2,872</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2,630</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(5,294)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(2,780)</w:t>
            </w: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(15,402)</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(19,446)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(19,446)</w:t>
            </w:r>
          </w:p>
        </w:tc>
      </w:tr>
      <w:tr>
        <w:trPr>
          <w:trHeight w:val="21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(18.93)</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r>
      <w:tr>
        <w:trPr>
          <w:trHeight w:val="234"/>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that occurred during the quarter ended December 31, 2020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30" w:name="page131"/>
    <w:bookmarkEnd w:id="1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with respect to executive officers may be found under the heading “Information About Our Executive Officers” in Part I, Item 1 of this Annual Report.</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w:t>
      </w:r>
    </w:p>
    <w:p>
      <w:pPr>
        <w:spacing w:after="0" w:line="17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remaining information required by this Item 10 is incorporated by reference from the sections entitled “</w:t>
      </w:r>
      <w:r>
        <w:rPr>
          <w:rFonts w:ascii="Times New Roman" w:cs="Times New Roman" w:eastAsia="Times New Roman" w:hAnsi="Times New Roman"/>
          <w:sz w:val="18"/>
          <w:szCs w:val="18"/>
          <w:i w:val="1"/>
          <w:iCs w:val="1"/>
          <w:color w:val="auto"/>
        </w:rPr>
        <w:t>Board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“Audit Matters”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Delinquent Section 16(a) Reports</w:t>
      </w:r>
      <w:r>
        <w:rPr>
          <w:rFonts w:ascii="Times New Roman" w:cs="Times New Roman" w:eastAsia="Times New Roman" w:hAnsi="Times New Roman"/>
          <w:sz w:val="18"/>
          <w:szCs w:val="18"/>
          <w:color w:val="auto"/>
        </w:rPr>
        <w:t>” to be included in our definitive proxy statement to be filed with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Commission in connection with our 2021 Annual Meeting of Stockholders within 120 days of our fiscal year ended December 31, 2020 (the “Proxy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ind w:right="420" w:firstLine="749"/>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11 will be set forth in the sections entitled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Committee Interlocks and Insider Participation</w:t>
      </w:r>
      <w:r>
        <w:rPr>
          <w:rFonts w:ascii="Times New Roman" w:cs="Times New Roman" w:eastAsia="Times New Roman" w:hAnsi="Times New Roman"/>
          <w:sz w:val="18"/>
          <w:szCs w:val="18"/>
          <w:color w:val="auto"/>
        </w:rPr>
        <w:t>” to be included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ind w:right="700" w:firstLine="749"/>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12 will be set forth in the section entitled “</w:t>
      </w:r>
      <w:r>
        <w:rPr>
          <w:rFonts w:ascii="Times New Roman" w:cs="Times New Roman" w:eastAsia="Times New Roman" w:hAnsi="Times New Roman"/>
          <w:sz w:val="18"/>
          <w:szCs w:val="18"/>
          <w:i w:val="1"/>
          <w:iCs w:val="1"/>
          <w:color w:val="auto"/>
        </w:rPr>
        <w:t>Security Ownership of Certain Beneficial Owners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Equity Plan Information</w:t>
      </w:r>
      <w:r>
        <w:rPr>
          <w:rFonts w:ascii="Times New Roman" w:cs="Times New Roman" w:eastAsia="Times New Roman" w:hAnsi="Times New Roman"/>
          <w:sz w:val="18"/>
          <w:szCs w:val="18"/>
          <w:color w:val="auto"/>
        </w:rPr>
        <w:t>” to be included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ind w:right="240" w:firstLine="749"/>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13 will be set forth in the sections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to be included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7"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in the section entitled “</w:t>
      </w:r>
      <w:r>
        <w:rPr>
          <w:rFonts w:ascii="Times New Roman" w:cs="Times New Roman" w:eastAsia="Times New Roman" w:hAnsi="Times New Roman"/>
          <w:sz w:val="18"/>
          <w:szCs w:val="18"/>
          <w:i w:val="1"/>
          <w:iCs w:val="1"/>
          <w:color w:val="auto"/>
        </w:rPr>
        <w:t>Audit Matters</w:t>
      </w:r>
      <w:r>
        <w:rPr>
          <w:rFonts w:ascii="Times New Roman" w:cs="Times New Roman" w:eastAsia="Times New Roman" w:hAnsi="Times New Roman"/>
          <w:sz w:val="18"/>
          <w:szCs w:val="18"/>
          <w:color w:val="auto"/>
        </w:rPr>
        <w:t>” to be included in the Proxy Statement and is incorporated herein by reference.</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31" w:name="page132"/>
    <w:bookmarkEnd w:id="1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225" w:lineRule="exact"/>
        <w:rPr>
          <w:sz w:val="20"/>
          <w:szCs w:val="20"/>
          <w:color w:val="auto"/>
        </w:rPr>
      </w:pPr>
    </w:p>
    <w:p>
      <w:pPr>
        <w:ind w:left="1120" w:hanging="370"/>
        <w:spacing w:after="0" w:line="282" w:lineRule="auto"/>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included in “Index to Financial Statements” in Part II, Item 8 are filed as part of this Annual Report.</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Exhibit Index are filed or incorporated by reference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32" w:name="page133"/>
    <w:bookmarkEnd w:id="132"/>
    <w:tbl>
      <w:tblPr>
        <w:tblLayout w:type="fixed"/>
        <w:tblInd w:w="10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c>
          <w:tcPr>
            <w:tcW w:w="0" w:type="dxa"/>
            <w:vAlign w:val="bottom"/>
          </w:tcPr>
          <w:p>
            <w:pPr>
              <w:spacing w:after="0"/>
              <w:rPr>
                <w:sz w:val="1"/>
                <w:szCs w:val="1"/>
                <w:color w:val="auto"/>
              </w:rPr>
            </w:pPr>
          </w:p>
        </w:tc>
      </w:tr>
      <w:tr>
        <w:trPr>
          <w:trHeight w:val="187"/>
        </w:trPr>
        <w:tc>
          <w:tcPr>
            <w:tcW w:w="7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3.1</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Form of Amended and Restated Certificate of Incorporation of Outset Medical, Inc.</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256"/>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Form of Amended and Restated Bylaws of Outset Medical, Inc.</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257"/>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4.1</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Form of Common Stock Certificate</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257"/>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4.2</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Amended and Restated Registration Rights Agreement</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57"/>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4.3</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Form of Series A Warrant Agreement #1</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56"/>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4.4</w:t>
            </w:r>
          </w:p>
        </w:tc>
        <w:tc>
          <w:tcPr>
            <w:tcW w:w="6520" w:type="dxa"/>
            <w:vAlign w:val="bottom"/>
            <w:gridSpan w:val="3"/>
          </w:tcPr>
          <w:p>
            <w:pPr>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Form of Series A Warrant Agreement #2</w:t>
              </w:r>
            </w:hyperlink>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16"/>
        </w:trPr>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4.5*</w:t>
            </w:r>
          </w:p>
        </w:tc>
        <w:tc>
          <w:tcPr>
            <w:tcW w:w="63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36">
              <w:r>
                <w:rPr>
                  <w:rFonts w:ascii="Times New Roman" w:cs="Times New Roman" w:eastAsia="Times New Roman" w:hAnsi="Times New Roman"/>
                  <w:sz w:val="18"/>
                  <w:szCs w:val="18"/>
                  <w:color w:val="0000EE"/>
                  <w:w w:val="99"/>
                </w:rPr>
                <w:t>Description of Outset Medical, Inc.’s Securities Registered Pursuant to Section 12 of the</w:t>
              </w:r>
            </w:hyperlink>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20" w:type="dxa"/>
            <w:vAlign w:val="bottom"/>
            <w:vMerge w:val="restart"/>
          </w:tcPr>
          <w:p>
            <w:pPr>
              <w:spacing w:after="0" w:line="196" w:lineRule="exact"/>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Exchange Act</w:t>
              </w:r>
            </w:hyperlink>
          </w:p>
        </w:tc>
        <w:tc>
          <w:tcPr>
            <w:tcW w:w="5500" w:type="dxa"/>
            <w:vAlign w:val="bottom"/>
            <w:gridSpan w:val="2"/>
            <w:vMerge w:val="restart"/>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5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60"/>
          </w:cols>
          <w:pgMar w:left="320" w:top="333" w:right="319" w:bottom="1440" w:gutter="0" w:footer="0" w:header="0"/>
        </w:sectPr>
      </w:pPr>
    </w:p>
    <w:p>
      <w:pPr>
        <w:ind w:left="220"/>
        <w:spacing w:after="0"/>
        <w:rPr>
          <w:sz w:val="20"/>
          <w:szCs w:val="20"/>
          <w:color w:val="auto"/>
        </w:rPr>
      </w:pPr>
      <w:r>
        <w:rPr>
          <w:rFonts w:ascii="Times New Roman" w:cs="Times New Roman" w:eastAsia="Times New Roman" w:hAnsi="Times New Roman"/>
          <w:sz w:val="18"/>
          <w:szCs w:val="18"/>
          <w:color w:val="auto"/>
        </w:rPr>
        <w:t>10.1†</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10.5†*</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10.6†*</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10.7†*</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Form of Indemnification Agreement</w:t>
              </w:r>
            </w:hyperlink>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333-248225</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57"/>
        </w:trPr>
        <w:tc>
          <w:tcPr>
            <w:tcW w:w="1900" w:type="dxa"/>
            <w:vAlign w:val="bottom"/>
          </w:tcPr>
          <w:p>
            <w:pPr>
              <w:spacing w:after="0"/>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Outset Medical, Inc. 2010</w:t>
              </w:r>
            </w:hyperlink>
          </w:p>
        </w:tc>
        <w:tc>
          <w:tcPr>
            <w:tcW w:w="4160" w:type="dxa"/>
            <w:vAlign w:val="bottom"/>
          </w:tcPr>
          <w:p>
            <w:pPr>
              <w:ind w:left="20"/>
              <w:spacing w:after="0"/>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Equity Incentive Plan and related form agreements</w:t>
              </w:r>
            </w:hyperlink>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333-248225</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August 21, 2020</w:t>
            </w:r>
          </w:p>
        </w:tc>
      </w:tr>
      <w:tr>
        <w:trPr>
          <w:trHeight w:val="257"/>
        </w:trPr>
        <w:tc>
          <w:tcPr>
            <w:tcW w:w="1900" w:type="dxa"/>
            <w:vAlign w:val="bottom"/>
          </w:tcPr>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Outset Medical, Inc. 2019</w:t>
              </w:r>
            </w:hyperlink>
          </w:p>
        </w:tc>
        <w:tc>
          <w:tcPr>
            <w:tcW w:w="4160" w:type="dxa"/>
            <w:vAlign w:val="bottom"/>
          </w:tcPr>
          <w:p>
            <w:pPr>
              <w:ind w:left="2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Equity Incentive Plan and related form agreements</w:t>
              </w:r>
            </w:hyperlink>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333-248225</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August 21, 2020</w:t>
            </w:r>
          </w:p>
        </w:tc>
      </w:tr>
      <w:tr>
        <w:trPr>
          <w:trHeight w:val="257"/>
        </w:trPr>
        <w:tc>
          <w:tcPr>
            <w:tcW w:w="1900" w:type="dxa"/>
            <w:vAlign w:val="bottom"/>
          </w:tcPr>
          <w:p>
            <w:pPr>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Outset Medical, Inc. 2020</w:t>
              </w:r>
            </w:hyperlink>
          </w:p>
        </w:tc>
        <w:tc>
          <w:tcPr>
            <w:tcW w:w="4160" w:type="dxa"/>
            <w:vAlign w:val="bottom"/>
          </w:tcPr>
          <w:p>
            <w:pPr>
              <w:ind w:left="20"/>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Equity Incentive Plan</w:t>
              </w:r>
            </w:hyperlink>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333-248225</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9, 2020</w:t>
            </w:r>
          </w:p>
        </w:tc>
      </w:tr>
    </w:tbl>
    <w:p>
      <w:pPr>
        <w:spacing w:after="0" w:line="22" w:lineRule="exact"/>
        <w:rPr>
          <w:sz w:val="20"/>
          <w:szCs w:val="20"/>
          <w:color w:val="auto"/>
        </w:rPr>
      </w:pPr>
    </w:p>
    <w:p>
      <w:pPr>
        <w:ind w:right="3940"/>
        <w:spacing w:after="0" w:line="273" w:lineRule="auto"/>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Form of Stock Option Grant Notice and Option Agreement for Outset Medical, Inc. 2020</w:t>
        </w:r>
      </w:hyperlink>
      <w:r>
        <w:rPr>
          <w:rFonts w:ascii="Times New Roman" w:cs="Times New Roman" w:eastAsia="Times New Roman" w:hAnsi="Times New Roman"/>
          <w:sz w:val="18"/>
          <w:szCs w:val="18"/>
          <w:u w:val="single" w:color="auto"/>
          <w:color w:val="0000EE"/>
        </w:rPr>
        <w:t xml:space="preserve"> </w:t>
      </w:r>
      <w:hyperlink w:anchor="page142">
        <w:r>
          <w:rPr>
            <w:rFonts w:ascii="Times New Roman" w:cs="Times New Roman" w:eastAsia="Times New Roman" w:hAnsi="Times New Roman"/>
            <w:sz w:val="18"/>
            <w:szCs w:val="18"/>
            <w:u w:val="single" w:color="auto"/>
            <w:color w:val="0000EE"/>
          </w:rPr>
          <w:t>Equity Incentive Plan</w:t>
        </w:r>
      </w:hyperlink>
    </w:p>
    <w:p>
      <w:pPr>
        <w:spacing w:after="0" w:line="2" w:lineRule="exact"/>
        <w:rPr>
          <w:sz w:val="20"/>
          <w:szCs w:val="20"/>
          <w:color w:val="auto"/>
        </w:rPr>
      </w:pPr>
    </w:p>
    <w:p>
      <w:pPr>
        <w:ind w:right="4260"/>
        <w:spacing w:after="0" w:line="273" w:lineRule="auto"/>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Form of Restricted Stock Unit Award Grant Notice and Award Agreement for Outset</w:t>
        </w:r>
      </w:hyperlink>
      <w:r>
        <w:rPr>
          <w:rFonts w:ascii="Times New Roman" w:cs="Times New Roman" w:eastAsia="Times New Roman" w:hAnsi="Times New Roman"/>
          <w:sz w:val="18"/>
          <w:szCs w:val="18"/>
          <w:u w:val="single" w:color="auto"/>
          <w:color w:val="0000EE"/>
        </w:rPr>
        <w:t xml:space="preserve"> </w:t>
      </w:r>
      <w:hyperlink w:anchor="page154">
        <w:r>
          <w:rPr>
            <w:rFonts w:ascii="Times New Roman" w:cs="Times New Roman" w:eastAsia="Times New Roman" w:hAnsi="Times New Roman"/>
            <w:sz w:val="18"/>
            <w:szCs w:val="18"/>
            <w:u w:val="single" w:color="auto"/>
            <w:color w:val="0000EE"/>
          </w:rPr>
          <w:t>Medical, Inc. 2020 Equity Incentive Plan</w:t>
        </w:r>
      </w:hyperlink>
    </w:p>
    <w:p>
      <w:pPr>
        <w:spacing w:after="0" w:line="2" w:lineRule="exact"/>
        <w:rPr>
          <w:sz w:val="20"/>
          <w:szCs w:val="20"/>
          <w:color w:val="auto"/>
        </w:rPr>
      </w:pPr>
    </w:p>
    <w:p>
      <w:pPr>
        <w:ind w:right="3940"/>
        <w:spacing w:after="0" w:line="273" w:lineRule="auto"/>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Form of Restricted Stock Award Grant Notice and Award Agreement for Outset Medical,</w:t>
        </w:r>
      </w:hyperlink>
      <w:r>
        <w:rPr>
          <w:rFonts w:ascii="Times New Roman" w:cs="Times New Roman" w:eastAsia="Times New Roman" w:hAnsi="Times New Roman"/>
          <w:sz w:val="18"/>
          <w:szCs w:val="18"/>
          <w:u w:val="single" w:color="auto"/>
          <w:color w:val="0000EE"/>
        </w:rPr>
        <w:t xml:space="preserve"> </w:t>
      </w:r>
      <w:hyperlink w:anchor="page162">
        <w:r>
          <w:rPr>
            <w:rFonts w:ascii="Times New Roman" w:cs="Times New Roman" w:eastAsia="Times New Roman" w:hAnsi="Times New Roman"/>
            <w:sz w:val="18"/>
            <w:szCs w:val="18"/>
            <w:u w:val="single" w:color="auto"/>
            <w:color w:val="0000EE"/>
          </w:rPr>
          <w:t>Inc. 2020 Equity Incentive Plan</w:t>
        </w:r>
      </w:hyperlink>
    </w:p>
    <w:p>
      <w:pPr>
        <w:spacing w:after="0" w:line="2" w:lineRule="exact"/>
        <w:rPr>
          <w:sz w:val="20"/>
          <w:szCs w:val="20"/>
          <w:color w:val="auto"/>
        </w:rPr>
      </w:pPr>
    </w:p>
    <w:p>
      <w:pPr>
        <w:ind w:right="4080"/>
        <w:spacing w:after="0" w:line="273" w:lineRule="auto"/>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Form of Performance Stock Unit Award Grant Notice and Award Agreement for Outset</w:t>
        </w:r>
      </w:hyperlink>
      <w:r>
        <w:rPr>
          <w:rFonts w:ascii="Times New Roman" w:cs="Times New Roman" w:eastAsia="Times New Roman" w:hAnsi="Times New Roman"/>
          <w:sz w:val="18"/>
          <w:szCs w:val="18"/>
          <w:u w:val="single" w:color="auto"/>
          <w:color w:val="0000EE"/>
        </w:rPr>
        <w:t xml:space="preserve"> </w:t>
      </w:r>
      <w:hyperlink w:anchor="page170">
        <w:r>
          <w:rPr>
            <w:rFonts w:ascii="Times New Roman" w:cs="Times New Roman" w:eastAsia="Times New Roman" w:hAnsi="Times New Roman"/>
            <w:sz w:val="18"/>
            <w:szCs w:val="18"/>
            <w:u w:val="single" w:color="auto"/>
            <w:color w:val="0000EE"/>
          </w:rPr>
          <w:t>Medical, Inc. 2020 Equity Incentive Plan</w:t>
        </w:r>
      </w:hyperlink>
    </w:p>
    <w:p>
      <w:pPr>
        <w:spacing w:after="0" w:line="2" w:lineRule="exact"/>
        <w:rPr>
          <w:sz w:val="20"/>
          <w:szCs w:val="20"/>
          <w:color w:val="auto"/>
        </w:rPr>
      </w:pPr>
    </w:p>
    <w:p>
      <w:pPr>
        <w:sectPr>
          <w:pgSz w:w="11900" w:h="16838" w:orient="portrait"/>
          <w:cols w:equalWidth="0" w:num="2">
            <w:col w:w="660" w:space="220"/>
            <w:col w:w="10380"/>
          </w:cols>
          <w:pgMar w:left="320" w:top="333"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6480" w:type="dxa"/>
            <w:vAlign w:val="bottom"/>
            <w:gridSpan w:val="22"/>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Outset Medical, Inc. 2020 Employee Stock Purchase Plan</w:t>
              </w:r>
            </w:hyperlink>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62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Employment Agreement by and between Outset Medical and Leslie Trigg, dated as of</w:t>
              </w:r>
            </w:hyperlink>
          </w:p>
        </w:tc>
        <w:tc>
          <w:tcPr>
            <w:tcW w:w="28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6480" w:type="dxa"/>
            <w:vAlign w:val="bottom"/>
            <w:gridSpan w:val="22"/>
            <w:vMerge w:val="restart"/>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February 23, 2015</w:t>
              </w:r>
            </w:hyperlink>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480" w:type="dxa"/>
            <w:vAlign w:val="bottom"/>
            <w:gridSpan w:val="2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6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Form of Amended and Restated Change in Control and Severance Agreement for Chief</w:t>
              </w:r>
            </w:hyperlink>
          </w:p>
        </w:tc>
        <w:tc>
          <w:tcPr>
            <w:tcW w:w="160" w:type="dxa"/>
            <w:vAlign w:val="bottom"/>
            <w:gridSpan w:val="3"/>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6480" w:type="dxa"/>
            <w:vAlign w:val="bottom"/>
            <w:gridSpan w:val="22"/>
            <w:vMerge w:val="restart"/>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Executive Officer</w:t>
              </w:r>
            </w:hyperlink>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6480" w:type="dxa"/>
            <w:vAlign w:val="bottom"/>
            <w:gridSpan w:val="2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Form of Amended and Restated Change in Control and Severance Agreement for non-</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3060" w:type="dxa"/>
            <w:vAlign w:val="bottom"/>
            <w:tcBorders>
              <w:top w:val="single" w:sz="8" w:color="0000EE"/>
            </w:tcBorders>
            <w:gridSpan w:val="8"/>
            <w:vMerge w:val="restart"/>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Chief Executive Officer executive officers</w:t>
              </w:r>
            </w:hyperlink>
          </w:p>
        </w:tc>
        <w:tc>
          <w:tcPr>
            <w:tcW w:w="3180" w:type="dxa"/>
            <w:vAlign w:val="bottom"/>
            <w:tcBorders>
              <w:top w:val="single" w:sz="8" w:color="0000EE"/>
            </w:tcBorders>
            <w:gridSpan w:val="9"/>
            <w:vMerge w:val="restart"/>
          </w:tcPr>
          <w:p>
            <w:pPr>
              <w:spacing w:after="0"/>
              <w:rPr>
                <w:sz w:val="11"/>
                <w:szCs w:val="11"/>
                <w:color w:val="auto"/>
              </w:rPr>
            </w:pPr>
          </w:p>
        </w:tc>
        <w:tc>
          <w:tcPr>
            <w:tcW w:w="240" w:type="dxa"/>
            <w:vAlign w:val="bottom"/>
            <w:gridSpan w:val="5"/>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72"/>
        </w:trPr>
        <w:tc>
          <w:tcPr>
            <w:tcW w:w="880" w:type="dxa"/>
            <w:vAlign w:val="bottom"/>
          </w:tcPr>
          <w:p>
            <w:pPr>
              <w:spacing w:after="0"/>
              <w:rPr>
                <w:sz w:val="5"/>
                <w:szCs w:val="5"/>
                <w:color w:val="auto"/>
              </w:rPr>
            </w:pPr>
          </w:p>
        </w:tc>
        <w:tc>
          <w:tcPr>
            <w:tcW w:w="3060" w:type="dxa"/>
            <w:vAlign w:val="bottom"/>
            <w:tcBorders>
              <w:bottom w:val="single" w:sz="8" w:color="0000EE"/>
            </w:tcBorders>
            <w:gridSpan w:val="8"/>
            <w:vMerge w:val="continue"/>
          </w:tcPr>
          <w:p>
            <w:pPr>
              <w:spacing w:after="0"/>
              <w:rPr>
                <w:sz w:val="5"/>
                <w:szCs w:val="5"/>
                <w:color w:val="auto"/>
              </w:rPr>
            </w:pPr>
          </w:p>
        </w:tc>
        <w:tc>
          <w:tcPr>
            <w:tcW w:w="3180" w:type="dxa"/>
            <w:vAlign w:val="bottom"/>
            <w:gridSpan w:val="9"/>
            <w:vMerge w:val="continue"/>
          </w:tcPr>
          <w:p>
            <w:pPr>
              <w:spacing w:after="0"/>
              <w:rPr>
                <w:sz w:val="5"/>
                <w:szCs w:val="5"/>
                <w:color w:val="auto"/>
              </w:rPr>
            </w:pPr>
          </w:p>
        </w:tc>
        <w:tc>
          <w:tcPr>
            <w:tcW w:w="240" w:type="dxa"/>
            <w:vAlign w:val="bottom"/>
            <w:gridSpan w:val="5"/>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480" w:type="dxa"/>
            <w:vAlign w:val="bottom"/>
            <w:gridSpan w:val="22"/>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Amended and Restated Stockholders Agreement by and among the Institutional</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6480" w:type="dxa"/>
            <w:vAlign w:val="bottom"/>
            <w:gridSpan w:val="2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Investors, the Other Investors, the Key Common Holders and Outset Medical, dated as of</w:t>
              </w:r>
            </w:hyperlink>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January 27, 2020</w:t>
              </w:r>
            </w:hyperlink>
          </w:p>
        </w:tc>
        <w:tc>
          <w:tcPr>
            <w:tcW w:w="516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3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Lease by and between WH Silicon Valley IV LP and Outset Medical, Inc., dated as of</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6180" w:type="dxa"/>
            <w:vAlign w:val="bottom"/>
            <w:tcBorders>
              <w:top w:val="single" w:sz="8" w:color="0000EE"/>
            </w:tcBorders>
            <w:gridSpan w:val="15"/>
            <w:vMerge w:val="restart"/>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September 19, 2019</w:t>
              </w:r>
            </w:hyperlink>
          </w:p>
        </w:tc>
        <w:tc>
          <w:tcPr>
            <w:tcW w:w="300" w:type="dxa"/>
            <w:vAlign w:val="bottom"/>
            <w:gridSpan w:val="7"/>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180" w:type="dxa"/>
            <w:vAlign w:val="bottom"/>
            <w:gridSpan w:val="15"/>
            <w:vMerge w:val="continue"/>
          </w:tcPr>
          <w:p>
            <w:pPr>
              <w:spacing w:after="0"/>
              <w:rPr>
                <w:sz w:val="5"/>
                <w:szCs w:val="5"/>
                <w:color w:val="auto"/>
              </w:rPr>
            </w:pPr>
          </w:p>
        </w:tc>
        <w:tc>
          <w:tcPr>
            <w:tcW w:w="300" w:type="dxa"/>
            <w:vAlign w:val="bottom"/>
            <w:gridSpan w:val="7"/>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6480" w:type="dxa"/>
            <w:vAlign w:val="bottom"/>
            <w:gridSpan w:val="22"/>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Sublease Agreement by and among Inmobiliaria IAMSA, S.A. de C.V. (Sublessor), Baja</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10.15#</w:t>
            </w:r>
          </w:p>
        </w:tc>
        <w:tc>
          <w:tcPr>
            <w:tcW w:w="63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Fur S.A. de C.V. (Sublessee) and Outset Medical, Inc. (Guarantor), dated as of May 5,</w:t>
              </w:r>
            </w:hyperlink>
          </w:p>
        </w:tc>
        <w:tc>
          <w:tcPr>
            <w:tcW w:w="1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2020</w:t>
              </w:r>
            </w:hyperlink>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10.11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6480" w:type="dxa"/>
            <w:vAlign w:val="bottom"/>
            <w:gridSpan w:val="22"/>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First Amendment Agreement by and among Inmobiliaria IAMSA, S.A. de C.V.</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10.16#</w:t>
            </w:r>
          </w:p>
        </w:tc>
        <w:tc>
          <w:tcPr>
            <w:tcW w:w="6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(Sublessor), Baja Fur S.A. de C.V. (Sublessee) and Outset Medical, Inc. (Guarantor),</w:t>
              </w:r>
            </w:hyperlink>
          </w:p>
        </w:tc>
        <w:tc>
          <w:tcPr>
            <w:tcW w:w="36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dated as of June 26, 2020</w:t>
              </w:r>
            </w:hyperlink>
          </w:p>
        </w:tc>
        <w:tc>
          <w:tcPr>
            <w:tcW w:w="4640" w:type="dxa"/>
            <w:vAlign w:val="bottom"/>
            <w:gridSpan w:val="17"/>
          </w:tcPr>
          <w:p>
            <w:pPr>
              <w:spacing w:after="0"/>
              <w:rPr>
                <w:sz w:val="17"/>
                <w:szCs w:val="17"/>
                <w:color w:val="auto"/>
              </w:rPr>
            </w:pPr>
          </w:p>
        </w:tc>
        <w:tc>
          <w:tcPr>
            <w:tcW w:w="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3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10.17#</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Guaranty by and between Inmobiliaria IAMSA, S.A. de C.V. and Outset Medical, Inc</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6160" w:type="dxa"/>
            <w:vAlign w:val="bottom"/>
            <w:tcBorders>
              <w:top w:val="single" w:sz="8" w:color="0000EE"/>
            </w:tcBorders>
            <w:gridSpan w:val="14"/>
            <w:vMerge w:val="restart"/>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dated as of May 6, 2020</w:t>
              </w:r>
            </w:hyperlink>
          </w:p>
        </w:tc>
        <w:tc>
          <w:tcPr>
            <w:tcW w:w="320" w:type="dxa"/>
            <w:vAlign w:val="bottom"/>
            <w:gridSpan w:val="8"/>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160" w:type="dxa"/>
            <w:vAlign w:val="bottom"/>
            <w:gridSpan w:val="14"/>
            <w:vMerge w:val="continue"/>
          </w:tcPr>
          <w:p>
            <w:pPr>
              <w:spacing w:after="0"/>
              <w:rPr>
                <w:sz w:val="5"/>
                <w:szCs w:val="5"/>
                <w:color w:val="auto"/>
              </w:rPr>
            </w:pPr>
          </w:p>
        </w:tc>
        <w:tc>
          <w:tcPr>
            <w:tcW w:w="320" w:type="dxa"/>
            <w:vAlign w:val="bottom"/>
            <w:gridSpan w:val="8"/>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10.18#</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Loan and Security Agreement by and between Silicon Valley Bank and Outset Medical,</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2040" w:type="dxa"/>
            <w:vAlign w:val="bottom"/>
            <w:tcBorders>
              <w:top w:val="single" w:sz="8" w:color="0000EE"/>
            </w:tcBorders>
            <w:gridSpan w:val="6"/>
            <w:vMerge w:val="restart"/>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Inc. dated as of July 2, 2020</w:t>
              </w:r>
            </w:hyperlink>
          </w:p>
        </w:tc>
        <w:tc>
          <w:tcPr>
            <w:tcW w:w="4280" w:type="dxa"/>
            <w:vAlign w:val="bottom"/>
            <w:tcBorders>
              <w:top w:val="single" w:sz="8" w:color="0000EE"/>
            </w:tcBorders>
            <w:gridSpan w:val="13"/>
            <w:vMerge w:val="restart"/>
          </w:tcPr>
          <w:p>
            <w:pPr>
              <w:spacing w:after="0"/>
              <w:rPr>
                <w:sz w:val="11"/>
                <w:szCs w:val="11"/>
                <w:color w:val="auto"/>
              </w:rPr>
            </w:pPr>
          </w:p>
        </w:tc>
        <w:tc>
          <w:tcPr>
            <w:tcW w:w="160" w:type="dxa"/>
            <w:vAlign w:val="bottom"/>
            <w:gridSpan w:val="3"/>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2040" w:type="dxa"/>
            <w:vAlign w:val="bottom"/>
            <w:tcBorders>
              <w:bottom w:val="single" w:sz="8" w:color="0000EE"/>
            </w:tcBorders>
            <w:gridSpan w:val="6"/>
            <w:vMerge w:val="continue"/>
          </w:tcPr>
          <w:p>
            <w:pPr>
              <w:spacing w:after="0"/>
              <w:rPr>
                <w:sz w:val="5"/>
                <w:szCs w:val="5"/>
                <w:color w:val="auto"/>
              </w:rPr>
            </w:pPr>
          </w:p>
        </w:tc>
        <w:tc>
          <w:tcPr>
            <w:tcW w:w="4280" w:type="dxa"/>
            <w:vAlign w:val="bottom"/>
            <w:gridSpan w:val="13"/>
            <w:vMerge w:val="continue"/>
          </w:tcPr>
          <w:p>
            <w:pPr>
              <w:spacing w:after="0"/>
              <w:rPr>
                <w:sz w:val="5"/>
                <w:szCs w:val="5"/>
                <w:color w:val="auto"/>
              </w:rPr>
            </w:pPr>
          </w:p>
        </w:tc>
        <w:tc>
          <w:tcPr>
            <w:tcW w:w="16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10.19#</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Manufacturing Services Agreement by and between Paramit Corporation and Outset</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6080" w:type="dxa"/>
            <w:vAlign w:val="bottom"/>
            <w:tcBorders>
              <w:top w:val="single" w:sz="8" w:color="0000EE"/>
            </w:tcBorders>
            <w:gridSpan w:val="12"/>
            <w:vMerge w:val="restart"/>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Medical, Inc. dated as of April 15, 2016</w:t>
              </w:r>
            </w:hyperlink>
          </w:p>
        </w:tc>
        <w:tc>
          <w:tcPr>
            <w:tcW w:w="400" w:type="dxa"/>
            <w:vAlign w:val="bottom"/>
            <w:gridSpan w:val="10"/>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080" w:type="dxa"/>
            <w:vAlign w:val="bottom"/>
            <w:gridSpan w:val="12"/>
            <w:vMerge w:val="continue"/>
          </w:tcPr>
          <w:p>
            <w:pPr>
              <w:spacing w:after="0"/>
              <w:rPr>
                <w:sz w:val="5"/>
                <w:szCs w:val="5"/>
                <w:color w:val="auto"/>
              </w:rPr>
            </w:pPr>
          </w:p>
        </w:tc>
        <w:tc>
          <w:tcPr>
            <w:tcW w:w="400" w:type="dxa"/>
            <w:vAlign w:val="bottom"/>
            <w:gridSpan w:val="10"/>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10.20#</w:t>
            </w:r>
          </w:p>
        </w:tc>
        <w:tc>
          <w:tcPr>
            <w:tcW w:w="6480" w:type="dxa"/>
            <w:vAlign w:val="bottom"/>
            <w:gridSpan w:val="2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Amendment to Contract Manufacturer Agreement by and between Paramit Corporation</w:t>
              </w:r>
            </w:hyperlink>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6300" w:type="dxa"/>
            <w:vAlign w:val="bottom"/>
            <w:tcBorders>
              <w:top w:val="single" w:sz="8" w:color="0000EE"/>
            </w:tcBorders>
            <w:gridSpan w:val="18"/>
            <w:vMerge w:val="restart"/>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and Outset Medical, Inc. dated as of January 26, 2018</w:t>
              </w:r>
            </w:hyperlink>
          </w:p>
        </w:tc>
        <w:tc>
          <w:tcPr>
            <w:tcW w:w="180" w:type="dxa"/>
            <w:vAlign w:val="bottom"/>
            <w:gridSpan w:val="4"/>
            <w:vMerge w:val="restart"/>
          </w:tcPr>
          <w:p>
            <w:pPr>
              <w:spacing w:after="0"/>
              <w:rPr>
                <w:sz w:val="11"/>
                <w:szCs w:val="11"/>
                <w:color w:val="auto"/>
              </w:rPr>
            </w:pPr>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300" w:type="dxa"/>
            <w:vAlign w:val="bottom"/>
            <w:gridSpan w:val="18"/>
            <w:vMerge w:val="continue"/>
          </w:tcPr>
          <w:p>
            <w:pPr>
              <w:spacing w:after="0"/>
              <w:rPr>
                <w:sz w:val="5"/>
                <w:szCs w:val="5"/>
                <w:color w:val="auto"/>
              </w:rPr>
            </w:pPr>
          </w:p>
        </w:tc>
        <w:tc>
          <w:tcPr>
            <w:tcW w:w="180" w:type="dxa"/>
            <w:vAlign w:val="bottom"/>
            <w:gridSpan w:val="4"/>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10.21#</w:t>
            </w:r>
          </w:p>
        </w:tc>
        <w:tc>
          <w:tcPr>
            <w:tcW w:w="6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Manufacturing Services Agreement by and between Tacna Services, Inc. and Outset</w:t>
              </w:r>
            </w:hyperlink>
          </w:p>
        </w:tc>
        <w:tc>
          <w:tcPr>
            <w:tcW w:w="42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6480" w:type="dxa"/>
            <w:vAlign w:val="bottom"/>
            <w:gridSpan w:val="22"/>
            <w:vMerge w:val="restart"/>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Medical, Inc. dated as of January 15, 2020</w:t>
              </w:r>
            </w:hyperlink>
          </w:p>
        </w:tc>
        <w:tc>
          <w:tcPr>
            <w:tcW w:w="5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480" w:type="dxa"/>
            <w:vAlign w:val="bottom"/>
            <w:gridSpan w:val="2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80" w:type="dxa"/>
            <w:vAlign w:val="bottom"/>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26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type w:val="continuous"/>
        </w:sectPr>
      </w:pPr>
    </w:p>
    <w:bookmarkStart w:id="133" w:name="page134"/>
    <w:bookmarkEnd w:id="133"/>
    <w:p>
      <w:pPr>
        <w:spacing w:after="0" w:line="12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10.22#</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10.23#</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10.24#</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10.25#</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10.26#</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10.27#</w:t>
      </w:r>
    </w:p>
    <w:p>
      <w:pPr>
        <w:spacing w:after="0" w:line="26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10.28#</w:t>
      </w:r>
    </w:p>
    <w:p>
      <w:pPr>
        <w:spacing w:after="0" w:line="266"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10.29#*</w:t>
      </w:r>
    </w:p>
    <w:p>
      <w:pPr>
        <w:spacing w:after="0" w:line="266"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10.30#*</w:t>
      </w:r>
    </w:p>
    <w:p>
      <w:pPr>
        <w:spacing w:after="0" w:line="15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23.1*</w:t>
      </w:r>
    </w:p>
    <w:p>
      <w:pPr>
        <w:spacing w:after="0" w:line="5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24.1*</w:t>
      </w:r>
    </w:p>
    <w:p>
      <w:pPr>
        <w:spacing w:after="0" w:line="15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31.1*</w:t>
      </w:r>
    </w:p>
    <w:p>
      <w:pPr>
        <w:spacing w:after="0" w:line="37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8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Authorized Reseller Agreement by and between SDV Office Systems, LLC dba SDV</w:t>
              </w:r>
            </w:hyperlink>
          </w:p>
        </w:tc>
        <w:tc>
          <w:tcPr>
            <w:tcW w:w="30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4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Medical and Outset Medical, Inc. dated as of October 14, 2019</w:t>
              </w:r>
            </w:hyperlink>
          </w:p>
        </w:tc>
        <w:tc>
          <w:tcPr>
            <w:tcW w:w="1920" w:type="dxa"/>
            <w:vAlign w:val="bottom"/>
            <w:gridSpan w:val="7"/>
          </w:tcPr>
          <w:p>
            <w:pPr>
              <w:spacing w:after="0"/>
              <w:rPr>
                <w:sz w:val="17"/>
                <w:szCs w:val="17"/>
                <w:color w:val="auto"/>
              </w:rPr>
            </w:pPr>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5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August 21, 2020</w:t>
            </w:r>
          </w:p>
        </w:tc>
      </w:tr>
      <w:tr>
        <w:trPr>
          <w:trHeight w:val="237"/>
        </w:trPr>
        <w:tc>
          <w:tcPr>
            <w:tcW w:w="5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Amendment 1 to the Authorized Reseller Agreement by and between SDV Office</w:t>
              </w:r>
            </w:hyperlink>
          </w:p>
        </w:tc>
        <w:tc>
          <w:tcPr>
            <w:tcW w:w="560" w:type="dxa"/>
            <w:vAlign w:val="bottom"/>
            <w:gridSpan w:val="6"/>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7"/>
        </w:trPr>
        <w:tc>
          <w:tcPr>
            <w:tcW w:w="6460" w:type="dxa"/>
            <w:vAlign w:val="bottom"/>
            <w:gridSpan w:val="12"/>
          </w:tcPr>
          <w:p>
            <w:pPr>
              <w:spacing w:after="0"/>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Systems, LLC dba SDV Medical and Outset Medical, Inc. dated as of March 26, 2020</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August 21, 2020</w:t>
            </w:r>
          </w:p>
        </w:tc>
      </w:tr>
      <w:tr>
        <w:trPr>
          <w:trHeight w:val="216"/>
        </w:trPr>
        <w:tc>
          <w:tcPr>
            <w:tcW w:w="5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Amendment 2 to the Authorized Reseller Agreement by and between SDV Office</w:t>
              </w:r>
            </w:hyperlink>
          </w:p>
        </w:tc>
        <w:tc>
          <w:tcPr>
            <w:tcW w:w="56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7"/>
        </w:trPr>
        <w:tc>
          <w:tcPr>
            <w:tcW w:w="6460" w:type="dxa"/>
            <w:vAlign w:val="bottom"/>
            <w:gridSpan w:val="12"/>
          </w:tcPr>
          <w:p>
            <w:pPr>
              <w:spacing w:after="0"/>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Systems, LLC dba SDV Medical and Outset Medical, Inc. dated as of May 6, 2020</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August 21, 2020</w:t>
            </w:r>
          </w:p>
        </w:tc>
      </w:tr>
      <w:tr>
        <w:trPr>
          <w:trHeight w:val="216"/>
        </w:trPr>
        <w:tc>
          <w:tcPr>
            <w:tcW w:w="6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Purchasing Agreement by and between HCA Management Services, L.P. and Outset</w:t>
              </w:r>
            </w:hyperlink>
          </w:p>
        </w:tc>
        <w:tc>
          <w:tcPr>
            <w:tcW w:w="3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6460" w:type="dxa"/>
            <w:vAlign w:val="bottom"/>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Medical, Inc. dated as of May 1, 2020</w:t>
              </w:r>
            </w:hyperlink>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5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August 21, 2020</w:t>
            </w:r>
          </w:p>
        </w:tc>
      </w:tr>
      <w:tr>
        <w:trPr>
          <w:trHeight w:val="20"/>
        </w:trPr>
        <w:tc>
          <w:tcPr>
            <w:tcW w:w="2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6460" w:type="dxa"/>
            <w:vAlign w:val="bottom"/>
            <w:gridSpan w:val="12"/>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Award/Contract from the Biomedical Advanced Research and Development Authority to</w:t>
              </w:r>
            </w:hyperlink>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96"/>
        </w:trPr>
        <w:tc>
          <w:tcPr>
            <w:tcW w:w="3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Outset Medical, Inc., effective September 30, 2019</w:t>
              </w:r>
            </w:hyperlink>
          </w:p>
        </w:tc>
        <w:tc>
          <w:tcPr>
            <w:tcW w:w="272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5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August 21, 2020</w:t>
            </w:r>
          </w:p>
        </w:tc>
      </w:tr>
      <w:tr>
        <w:trPr>
          <w:trHeight w:val="237"/>
        </w:trPr>
        <w:tc>
          <w:tcPr>
            <w:tcW w:w="6460" w:type="dxa"/>
            <w:vAlign w:val="bottom"/>
            <w:gridSpan w:val="12"/>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Amendment of Solicitation/Modification of Contract from the Biomedical Advanced</w:t>
              </w:r>
            </w:hyperlink>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7"/>
        </w:trPr>
        <w:tc>
          <w:tcPr>
            <w:tcW w:w="6120" w:type="dxa"/>
            <w:vAlign w:val="bottom"/>
            <w:tcBorders>
              <w:top w:val="single" w:sz="8" w:color="0000EE"/>
            </w:tcBorders>
            <w:gridSpan w:val="8"/>
          </w:tcPr>
          <w:p>
            <w:pPr>
              <w:spacing w:after="0"/>
              <w:rPr>
                <w:rFonts w:ascii="Times New Roman" w:cs="Times New Roman" w:eastAsia="Times New Roman" w:hAnsi="Times New Roman"/>
                <w:sz w:val="18"/>
                <w:szCs w:val="18"/>
                <w:u w:val="single" w:color="auto"/>
                <w:color w:val="0000EE"/>
                <w:w w:val="99"/>
              </w:rPr>
            </w:pPr>
            <w:hyperlink r:id="rId211">
              <w:r>
                <w:rPr>
                  <w:rFonts w:ascii="Times New Roman" w:cs="Times New Roman" w:eastAsia="Times New Roman" w:hAnsi="Times New Roman"/>
                  <w:sz w:val="18"/>
                  <w:szCs w:val="18"/>
                  <w:u w:val="single" w:color="auto"/>
                  <w:color w:val="0000EE"/>
                  <w:w w:val="99"/>
                </w:rPr>
                <w:t>Research and Development Authority to Outset Medical, Inc., effective May 9, 2020</w:t>
              </w:r>
            </w:hyperlink>
          </w:p>
        </w:tc>
        <w:tc>
          <w:tcPr>
            <w:tcW w:w="340" w:type="dxa"/>
            <w:vAlign w:val="bottom"/>
            <w:gridSpan w:val="4"/>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August 21, 2020</w:t>
            </w:r>
          </w:p>
        </w:tc>
      </w:tr>
      <w:tr>
        <w:trPr>
          <w:trHeight w:val="216"/>
        </w:trPr>
        <w:tc>
          <w:tcPr>
            <w:tcW w:w="6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Solicitation/Contract/Order for Commercial Items from ASPR/SNS to Outset Medical,</w:t>
              </w:r>
            </w:hyperlink>
          </w:p>
        </w:tc>
        <w:tc>
          <w:tcPr>
            <w:tcW w:w="2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2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Inc., effective August 17, 2020</w:t>
              </w:r>
            </w:hyperlink>
          </w:p>
        </w:tc>
        <w:tc>
          <w:tcPr>
            <w:tcW w:w="4220" w:type="dxa"/>
            <w:vAlign w:val="bottom"/>
            <w:gridSpan w:val="11"/>
          </w:tcPr>
          <w:p>
            <w:pPr>
              <w:spacing w:after="0"/>
              <w:rPr>
                <w:sz w:val="17"/>
                <w:szCs w:val="17"/>
                <w:color w:val="auto"/>
              </w:rPr>
            </w:pPr>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333-248225</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5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September 9, 2020</w:t>
            </w:r>
          </w:p>
        </w:tc>
      </w:tr>
      <w:tr>
        <w:trPr>
          <w:trHeight w:val="237"/>
        </w:trPr>
        <w:tc>
          <w:tcPr>
            <w:tcW w:w="6460" w:type="dxa"/>
            <w:vAlign w:val="bottom"/>
            <w:gridSpan w:val="12"/>
          </w:tcPr>
          <w:p>
            <w:pPr>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Amendment to Solicitation/Modification of Contract from ASPR-BARDA to Outset</w:t>
              </w:r>
            </w:hyperlink>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96"/>
        </w:trPr>
        <w:tc>
          <w:tcPr>
            <w:tcW w:w="2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78">
              <w:r>
                <w:rPr>
                  <w:rFonts w:ascii="Times New Roman" w:cs="Times New Roman" w:eastAsia="Times New Roman" w:hAnsi="Times New Roman"/>
                  <w:sz w:val="18"/>
                  <w:szCs w:val="18"/>
                  <w:color w:val="0000EE"/>
                  <w:w w:val="99"/>
                </w:rPr>
                <w:t>Medical, Inc., dated November 25, 2020</w:t>
              </w:r>
            </w:hyperlink>
          </w:p>
        </w:tc>
        <w:tc>
          <w:tcPr>
            <w:tcW w:w="3160" w:type="dxa"/>
            <w:vAlign w:val="bottom"/>
            <w:tcBorders>
              <w:top w:val="single" w:sz="8" w:color="0000EE"/>
            </w:tcBorders>
            <w:gridSpan w:val="4"/>
          </w:tcPr>
          <w:p>
            <w:pPr>
              <w:spacing w:after="0"/>
              <w:rPr>
                <w:sz w:val="17"/>
                <w:szCs w:val="17"/>
                <w:color w:val="auto"/>
              </w:rPr>
            </w:pPr>
          </w:p>
        </w:tc>
        <w:tc>
          <w:tcPr>
            <w:tcW w:w="3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49" w:lineRule="exact"/>
        <w:rPr>
          <w:sz w:val="20"/>
          <w:szCs w:val="20"/>
          <w:color w:val="auto"/>
        </w:rPr>
      </w:pPr>
    </w:p>
    <w:p>
      <w:pPr>
        <w:ind w:right="4000"/>
        <w:spacing w:after="0" w:line="273" w:lineRule="auto"/>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Supply Agreement by and between Carlisle Interconnect Technologies, Inc. and Outset</w:t>
        </w:r>
      </w:hyperlink>
      <w:r>
        <w:rPr>
          <w:rFonts w:ascii="Times New Roman" w:cs="Times New Roman" w:eastAsia="Times New Roman" w:hAnsi="Times New Roman"/>
          <w:sz w:val="18"/>
          <w:szCs w:val="18"/>
          <w:u w:val="single" w:color="auto"/>
          <w:color w:val="0000EE"/>
        </w:rPr>
        <w:t xml:space="preserve"> </w:t>
      </w:r>
      <w:hyperlink w:anchor="page180">
        <w:r>
          <w:rPr>
            <w:rFonts w:ascii="Times New Roman" w:cs="Times New Roman" w:eastAsia="Times New Roman" w:hAnsi="Times New Roman"/>
            <w:sz w:val="18"/>
            <w:szCs w:val="18"/>
            <w:u w:val="single" w:color="auto"/>
            <w:color w:val="0000EE"/>
          </w:rPr>
          <w:t>Medical, Inc., dated January 12, 2021</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Consent of KPMG LLP, independent registered public accounting firm</w:t>
        </w:r>
      </w:hyperlink>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Power of Attorney (included on the signature page)</w:t>
        </w:r>
      </w:hyperlink>
    </w:p>
    <w:p>
      <w:pPr>
        <w:spacing w:after="0" w:line="50" w:lineRule="exact"/>
        <w:rPr>
          <w:sz w:val="20"/>
          <w:szCs w:val="20"/>
          <w:color w:val="auto"/>
        </w:rPr>
      </w:pPr>
    </w:p>
    <w:p>
      <w:pPr>
        <w:jc w:val="both"/>
        <w:ind w:right="3820"/>
        <w:spacing w:after="0" w:line="290" w:lineRule="auto"/>
        <w:rPr>
          <w:rFonts w:ascii="Times New Roman" w:cs="Times New Roman" w:eastAsia="Times New Roman" w:hAnsi="Times New Roman"/>
          <w:sz w:val="17"/>
          <w:szCs w:val="17"/>
          <w:u w:val="single" w:color="auto"/>
          <w:color w:val="0000EE"/>
        </w:rPr>
      </w:pPr>
      <w:hyperlink w:anchor="page211">
        <w:r>
          <w:rPr>
            <w:rFonts w:ascii="Times New Roman" w:cs="Times New Roman" w:eastAsia="Times New Roman" w:hAnsi="Times New Roman"/>
            <w:sz w:val="17"/>
            <w:szCs w:val="17"/>
            <w:u w:val="single" w:color="auto"/>
            <w:color w:val="0000EE"/>
          </w:rPr>
          <w:t>Certification of Principal Executive Officer pursuant to Rules 13a-14(a) and 15d-14(a) of</w:t>
        </w:r>
      </w:hyperlink>
      <w:r>
        <w:rPr>
          <w:rFonts w:ascii="Times New Roman" w:cs="Times New Roman" w:eastAsia="Times New Roman" w:hAnsi="Times New Roman"/>
          <w:sz w:val="17"/>
          <w:szCs w:val="17"/>
          <w:u w:val="single" w:color="auto"/>
          <w:color w:val="0000EE"/>
        </w:rPr>
        <w:t xml:space="preserve"> </w:t>
      </w:r>
      <w:hyperlink w:anchor="page211">
        <w:r>
          <w:rPr>
            <w:rFonts w:ascii="Times New Roman" w:cs="Times New Roman" w:eastAsia="Times New Roman" w:hAnsi="Times New Roman"/>
            <w:sz w:val="17"/>
            <w:szCs w:val="17"/>
            <w:u w:val="single" w:color="auto"/>
            <w:color w:val="0000EE"/>
          </w:rPr>
          <w:t>the Exchange Act, as adopted pursuant to Section 302 of the Sarbanes-Oxley Act of 2002</w:t>
        </w:r>
      </w:hyperlink>
    </w:p>
    <w:p>
      <w:pPr>
        <w:jc w:val="both"/>
        <w:ind w:right="3820"/>
        <w:spacing w:after="0" w:line="266" w:lineRule="auto"/>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Certification of Principal Financial Officer pursuant to Rules 13a-14(a) and 15d-14(a) of</w:t>
        </w:r>
      </w:hyperlink>
      <w:r>
        <w:rPr>
          <w:rFonts w:ascii="Times New Roman" w:cs="Times New Roman" w:eastAsia="Times New Roman" w:hAnsi="Times New Roman"/>
          <w:sz w:val="18"/>
          <w:szCs w:val="18"/>
          <w:u w:val="single" w:color="auto"/>
          <w:color w:val="0000EE"/>
        </w:rPr>
        <w:t xml:space="preserve"> </w:t>
      </w:r>
      <w:hyperlink w:anchor="page212">
        <w:r>
          <w:rPr>
            <w:rFonts w:ascii="Times New Roman" w:cs="Times New Roman" w:eastAsia="Times New Roman" w:hAnsi="Times New Roman"/>
            <w:sz w:val="18"/>
            <w:szCs w:val="18"/>
            <w:u w:val="single" w:color="auto"/>
            <w:color w:val="0000EE"/>
          </w:rPr>
          <w:t>the Exchange Act of 1934, as adopted pursuant to Section 302 of the Sarbanes-Oxley Act</w:t>
        </w:r>
      </w:hyperlink>
      <w:r>
        <w:rPr>
          <w:rFonts w:ascii="Times New Roman" w:cs="Times New Roman" w:eastAsia="Times New Roman" w:hAnsi="Times New Roman"/>
          <w:sz w:val="18"/>
          <w:szCs w:val="18"/>
          <w:u w:val="single" w:color="auto"/>
          <w:color w:val="0000EE"/>
        </w:rPr>
        <w:t xml:space="preserve"> </w:t>
      </w:r>
      <w:hyperlink w:anchor="page212">
        <w:r>
          <w:rPr>
            <w:rFonts w:ascii="Times New Roman" w:cs="Times New Roman" w:eastAsia="Times New Roman" w:hAnsi="Times New Roman"/>
            <w:sz w:val="18"/>
            <w:szCs w:val="18"/>
            <w:u w:val="single" w:color="auto"/>
            <w:color w:val="0000EE"/>
          </w:rPr>
          <w:t>of 2002</w:t>
        </w:r>
      </w:hyperlink>
    </w:p>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Certification of Principal Executive Officer and Principal Financial Officer pursuant to</w:t>
        </w:r>
      </w:hyperlink>
    </w:p>
    <w:p>
      <w:pPr>
        <w:spacing w:after="0" w:line="2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18 U.S.C. Section 1350, as adopted pursuant to Section 906 of the Sarbanes-Oxley Act of</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2002</w:t>
        </w:r>
      </w:hyperlink>
    </w:p>
    <w:p>
      <w:pPr>
        <w:spacing w:after="0" w:line="31"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12" w:space="160"/>
            <w:col w:w="10260"/>
          </w:cols>
          <w:pgMar w:left="328" w:top="337" w:right="439" w:bottom="1440" w:gutter="0" w:footer="0" w:header="0"/>
        </w:sectPr>
      </w:pPr>
    </w:p>
    <w:tbl>
      <w:tblPr>
        <w:tblLayout w:type="fixed"/>
        <w:tblInd w:w="72" w:type="dxa"/>
        <w:tblCellMar>
          <w:top w:w="0" w:type="dxa"/>
          <w:left w:w="0" w:type="dxa"/>
          <w:bottom w:w="0" w:type="dxa"/>
          <w:right w:w="0" w:type="dxa"/>
        </w:tblCellMar>
      </w:tblPr>
      <w:tr>
        <w:trPr>
          <w:trHeight w:val="23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5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5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171" w:lineRule="exact"/>
        <w:rPr>
          <w:rFonts w:ascii="Times New Roman" w:cs="Times New Roman" w:eastAsia="Times New Roman" w:hAnsi="Times New Roman"/>
          <w:sz w:val="18"/>
          <w:szCs w:val="18"/>
          <w:u w:val="single" w:color="auto"/>
          <w:color w:val="0000EE"/>
        </w:rPr>
      </w:pPr>
    </w:p>
    <w:p>
      <w:pPr>
        <w:ind w:left="372" w:hanging="372"/>
        <w:spacing w:after="0"/>
        <w:tabs>
          <w:tab w:leader="none" w:pos="3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rFonts w:ascii="Times New Roman" w:cs="Times New Roman" w:eastAsia="Times New Roman" w:hAnsi="Times New Roman"/>
          <w:sz w:val="18"/>
          <w:szCs w:val="18"/>
          <w:u w:val="single" w:color="auto"/>
          <w:color w:val="0000EE"/>
        </w:rPr>
      </w:pPr>
    </w:p>
    <w:p>
      <w:pPr>
        <w:ind w:left="372" w:hanging="372"/>
        <w:spacing w:after="0"/>
        <w:tabs>
          <w:tab w:leader="none" w:pos="3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50" w:lineRule="exact"/>
        <w:rPr>
          <w:rFonts w:ascii="Times New Roman" w:cs="Times New Roman" w:eastAsia="Times New Roman" w:hAnsi="Times New Roman"/>
          <w:sz w:val="18"/>
          <w:szCs w:val="18"/>
          <w:u w:val="single" w:color="auto"/>
          <w:color w:val="0000EE"/>
        </w:rPr>
      </w:pPr>
    </w:p>
    <w:p>
      <w:pPr>
        <w:ind w:left="372" w:hanging="372"/>
        <w:spacing w:after="0"/>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the </w:t>
      </w:r>
      <w:r>
        <w:rPr>
          <w:rFonts w:ascii="Times New Roman" w:cs="Times New Roman" w:eastAsia="Times New Roman" w:hAnsi="Times New Roman"/>
          <w:sz w:val="12"/>
          <w:szCs w:val="12"/>
          <w:color w:val="auto"/>
        </w:rPr>
        <w:t>exhibit have been or will be excluded because it both (i) is not material and (ii) would be competitively harmful if publicly disclosed.</w:t>
      </w:r>
    </w:p>
    <w:p>
      <w:pPr>
        <w:spacing w:after="0" w:line="225" w:lineRule="exact"/>
        <w:rPr>
          <w:rFonts w:ascii="Times New Roman" w:cs="Times New Roman" w:eastAsia="Times New Roman" w:hAnsi="Times New Roman"/>
          <w:sz w:val="18"/>
          <w:szCs w:val="18"/>
          <w:u w:val="single" w:color="auto"/>
          <w:color w:val="0000EE"/>
        </w:rPr>
      </w:pPr>
    </w:p>
    <w:p>
      <w:pPr>
        <w:jc w:val="center"/>
        <w:ind w:right="-91"/>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85725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32"/>
          </w:cols>
          <w:pgMar w:left="328" w:top="337" w:right="43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Outset Medical, Inc.</w:t>
      </w:r>
    </w:p>
    <w:p>
      <w:pPr>
        <w:spacing w:after="0" w:line="252"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March 22, 2021</w:t>
      </w:r>
      <w:r>
        <w:rPr>
          <w:sz w:val="20"/>
          <w:szCs w:val="20"/>
          <w:color w:val="auto"/>
        </w:rPr>
        <w:tab/>
      </w:r>
      <w:r>
        <w:rPr>
          <w:rFonts w:ascii="Times New Roman" w:cs="Times New Roman" w:eastAsia="Times New Roman" w:hAnsi="Times New Roman"/>
          <w:sz w:val="18"/>
          <w:szCs w:val="18"/>
          <w:color w:val="auto"/>
        </w:rPr>
        <w:t xml:space="preserve">By:/s/ </w:t>
      </w:r>
      <w:r>
        <w:rPr>
          <w:rFonts w:ascii="Times New Roman" w:cs="Times New Roman" w:eastAsia="Times New Roman" w:hAnsi="Times New Roman"/>
          <w:sz w:val="16"/>
          <w:szCs w:val="16"/>
          <w:color w:val="auto"/>
        </w:rPr>
        <w:t>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Leslie Trigg</w:t>
      </w:r>
    </w:p>
    <w:p>
      <w:pPr>
        <w:spacing w:after="0" w:line="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7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Leslie Trigg and Rebecca Chambers,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18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554"/>
        </w:trPr>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Leslie Trigg</w:t>
            </w:r>
          </w:p>
        </w:tc>
        <w:tc>
          <w:tcPr>
            <w:tcW w:w="220" w:type="dxa"/>
            <w:vAlign w:val="bottom"/>
          </w:tcPr>
          <w:p>
            <w:pPr>
              <w:spacing w:after="0"/>
              <w:rPr>
                <w:sz w:val="24"/>
                <w:szCs w:val="24"/>
                <w:color w:val="auto"/>
              </w:rPr>
            </w:pPr>
          </w:p>
        </w:tc>
        <w:tc>
          <w:tcPr>
            <w:tcW w:w="4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President and Chief Executive Officer; Director (</w:t>
            </w:r>
            <w:r>
              <w:rPr>
                <w:rFonts w:ascii="Times New Roman" w:cs="Times New Roman" w:eastAsia="Times New Roman" w:hAnsi="Times New Roman"/>
                <w:sz w:val="18"/>
                <w:szCs w:val="18"/>
                <w:i w:val="1"/>
                <w:iCs w:val="1"/>
                <w:color w:val="auto"/>
                <w:w w:val="99"/>
              </w:rPr>
              <w:t>Principal</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Leslie Trigg</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Chambers</w:t>
            </w:r>
          </w:p>
        </w:tc>
        <w:tc>
          <w:tcPr>
            <w:tcW w:w="220" w:type="dxa"/>
            <w:vAlign w:val="bottom"/>
          </w:tcPr>
          <w:p>
            <w:pPr>
              <w:spacing w:after="0"/>
              <w:rPr>
                <w:sz w:val="20"/>
                <w:szCs w:val="20"/>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Rebecca Chambers</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 Keith Grossman</w:t>
            </w:r>
          </w:p>
        </w:tc>
        <w:tc>
          <w:tcPr>
            <w:tcW w:w="220" w:type="dxa"/>
            <w:vAlign w:val="bottom"/>
          </w:tcPr>
          <w:p>
            <w:pPr>
              <w:spacing w:after="0"/>
              <w:rPr>
                <w:sz w:val="24"/>
                <w:szCs w:val="24"/>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Keith Grossman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Karen Drexler</w:t>
            </w:r>
          </w:p>
        </w:tc>
        <w:tc>
          <w:tcPr>
            <w:tcW w:w="220" w:type="dxa"/>
            <w:vAlign w:val="bottom"/>
          </w:tcPr>
          <w:p>
            <w:pPr>
              <w:spacing w:after="0"/>
              <w:rPr>
                <w:sz w:val="24"/>
                <w:szCs w:val="24"/>
                <w:color w:val="auto"/>
              </w:rPr>
            </w:pPr>
          </w:p>
        </w:tc>
        <w:tc>
          <w:tcPr>
            <w:tcW w:w="4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Drexler</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T. Hackett</w:t>
            </w:r>
          </w:p>
        </w:tc>
        <w:tc>
          <w:tcPr>
            <w:tcW w:w="220" w:type="dxa"/>
            <w:vAlign w:val="bottom"/>
          </w:tcPr>
          <w:p>
            <w:pPr>
              <w:spacing w:after="0"/>
              <w:rPr>
                <w:sz w:val="24"/>
                <w:szCs w:val="24"/>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Patrick T. Hackett</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Jim Hinrichs</w:t>
            </w:r>
          </w:p>
        </w:tc>
        <w:tc>
          <w:tcPr>
            <w:tcW w:w="220" w:type="dxa"/>
            <w:vAlign w:val="bottom"/>
          </w:tcPr>
          <w:p>
            <w:pPr>
              <w:spacing w:after="0"/>
              <w:rPr>
                <w:sz w:val="24"/>
                <w:szCs w:val="24"/>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Jim Hinrichs</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 Osman</w:t>
            </w:r>
          </w:p>
        </w:tc>
        <w:tc>
          <w:tcPr>
            <w:tcW w:w="220" w:type="dxa"/>
            <w:vAlign w:val="bottom"/>
          </w:tcPr>
          <w:p>
            <w:pPr>
              <w:spacing w:after="0"/>
              <w:rPr>
                <w:sz w:val="24"/>
                <w:szCs w:val="24"/>
                <w:color w:val="auto"/>
              </w:rPr>
            </w:pPr>
          </w:p>
        </w:tc>
        <w:tc>
          <w:tcPr>
            <w:tcW w:w="4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22, 2021</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 Osman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3180" w:type="dxa"/>
            <w:vAlign w:val="bottom"/>
          </w:tcPr>
          <w:p>
            <w:pPr>
              <w:spacing w:after="0"/>
              <w:rPr>
                <w:sz w:val="24"/>
                <w:szCs w:val="24"/>
                <w:color w:val="auto"/>
              </w:rPr>
            </w:pPr>
          </w:p>
        </w:tc>
        <w:tc>
          <w:tcPr>
            <w:tcW w:w="46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74" w:right="339" w:bottom="1440" w:gutter="0" w:footer="0" w:header="0"/>
        </w:sectPr>
      </w:pPr>
    </w:p>
    <w:bookmarkStart w:id="135" w:name="page136"/>
    <w:bookmarkEnd w:id="135"/>
    <w:p>
      <w:pPr>
        <w:ind w:left="10400"/>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5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describes the capital stock of Outset Medical, Inc. (the “Company,” “we,” “us,” and “our”) and the material provisions of our amended and restated certificate of incorporation and our amended and restated bylaws, the amended and restated registration rights agreement to which we and certain stockholders are parties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and amended and restated registration rights agreement, copies of which are incorporated by reference as exhibits to our Annual Report on Form 10-K.</w:t>
      </w:r>
    </w:p>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2020, Outset Medical, Inc. (“Outset”) had common stock, $0.001 par value per share, registered under Section 12 of the Securities Exchange Act of 1934, as amended (the “Exchange Act”), and listed on The Nasdaq Global Select Market under the trading symbol “OM.”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300,000,000 shares of common stock, $0.001 par value per share, and 5,000,000 shares of undesignated preferred stock, $0.001 par value per share, the rights, preferences and privileges of which may be designated from time to time by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 As of December 31, 2020, no shares of preferred stock were outstanding, and we have no present plan to issue any shares of preferred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dated as of January 27, 2020 by and among Outset and certain of our stockholders (the “RRA”), the holders of an aggregate of 26,712,495 shares of our common stock are entitled to rights with respect to the registration of such shares under the Securities Act of 1933, as amended (the “Securities Act”). These shares are referred to as registrable securities. These rights are provided under the terms of the RRA, which registration rights include demand registration rights, shelf registration rights and piggyback registration rights. All fees, costs and expenses incurred in connection with the registration of registrable securities, including reasonable fees and disbursements of one special counsel to the selling stockholders and one accounting firm, will be borne by us and all selling expenses, including underwriting discounts and selling commissions, will be borne by the holders of the shares being registered.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terms of the RRA, if we receive a written request from Warburg Pincus at any time, or a written request from The Vertical Group or D1 Capital Partners at any time after 180 days following the effective date of our initial public offering, that we file a registration statement under the Securities Act covering the registration of registrable securities, then we will be required to file as soon as practicable, and in any event no later than (i) 90 days following such request, in the case of a request for registration on Form S-1, or (ii) 30 days in the case of a request for registration on Form S-3 (if we are then eligible to file on such form), a registration statement covering all registrable securities requested to be registered for public resale. We may defer the filing of a registration statement for up to two times in any 12-month period, for an aggregate of no more than 90 days if our Chief Executive Officer or an equivalent senior executive officer of the Company certifies that the filing would require us to make an adverse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Rights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under the RRA to use our reasonable best efforts to become eligible to file a registration statement on Form S-3 for secondary sales. Under the terms of the RRA, promptly following the date on which we become eligible to file a registration statement on Form S-3 for secondary sales, we must notify (the “Eligibility Notice”) certain of our stockholders (the “Initial S-3 Holders”) in writing of our eligibility and intention to file and maintain a registration statement on Form S-3 covering the registrable securities held by such Initial S-3 Holders. Each Initial S-3 Holder will have ten days after receipt of the Eligibility Notice to provide us with a notice (each, an “S-3 Shelf Notice”) specifying the aggregate amount of registrable securities held by such Initial S-3 Holders to be included in the registration statement. Under the terms of the RRA, we will be obligated to file promptly, and no later than the earlier of (i) 30 days following receipt of the S-3 Shelf Notices and (ii) 40 days following our delivery of the Eligibility Notice, a registration statement on Form S-3 covering all registrable securities requested to be registered in the S-3 Shelf Notices and additional registrable securities held by certain of our stockholders other than the Initial S-3 Holders who request the inclusion of their registrable securities in the registration statement in accordance with the terms of the RRA. If we are not eligible to file or maintain a registration statement on Form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ind w:right="60"/>
        <w:spacing w:after="0" w:line="261" w:lineRule="auto"/>
        <w:rPr>
          <w:sz w:val="20"/>
          <w:szCs w:val="20"/>
          <w:color w:val="auto"/>
        </w:rPr>
      </w:pPr>
      <w:r>
        <w:rPr>
          <w:rFonts w:ascii="Times New Roman" w:cs="Times New Roman" w:eastAsia="Times New Roman" w:hAnsi="Times New Roman"/>
          <w:sz w:val="18"/>
          <w:szCs w:val="18"/>
          <w:color w:val="auto"/>
        </w:rPr>
        <w:t>3 for secondary sales at any time following the first anniversary of our initial public offering, Warburg Pincus, The Vertical Group or D1 Capital Partners may require us to file a shelf registration statement on Form S-1 registering the registrable securities requested by such stockholder, and additional registrable securities held by certain of our stockholders who request the inclusion of their registrable securities in the registration statement in accordance with the terms of the RRA.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If we register any of our securities for public sale, each holder of registrable securities has a right to request the inclusion of any then- outstanding registrable securities held by them on our registration statement. However, this right does not apply to (i) certain registrations effected under the terms of the RRA, (ii) a registration statement on Form S-4 or S-8 (or such other similar successor forms then in effect under the Securities Act), (iii) a registration of securities solely relating to an offering and sale to employees, directors or consultants of the Company or our subsidiaries pursuant to any employee stock plan or other employee benefit plan arrangement, (iv) a registration pursuant to which we offer to exchange our own securities for other securities,</w:t>
      </w:r>
    </w:p>
    <w:p>
      <w:pPr>
        <w:spacing w:after="0" w:line="3" w:lineRule="exact"/>
        <w:rPr>
          <w:sz w:val="20"/>
          <w:szCs w:val="20"/>
          <w:color w:val="auto"/>
        </w:rPr>
      </w:pPr>
    </w:p>
    <w:p>
      <w:pPr>
        <w:ind w:firstLine="8"/>
        <w:spacing w:after="0" w:line="251"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relating solely to dividend reinvestment or similar plans, or (vi) a shelf registration statement pursuant to which only the initial purchasers and subsequent transferees of debt securities of the Company or any of our subsidiaries that are convertible or exchangeable for shares of our common stock and that are initially issued pursuant to Rule 144A and/or Regulation S (or any successor provisions) of the Securities Act may resell such notes and sell the shares of our common stock into which such notes may be converted or exchanged.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in accordance with the terms of the RRA. However, the number of registrable securities to be registered cannot be reduced unless all other securities are first entirely excluded from the underwriting.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80" w:lineRule="exact"/>
        <w:rPr>
          <w:sz w:val="20"/>
          <w:szCs w:val="20"/>
          <w:color w:val="auto"/>
        </w:rPr>
      </w:pPr>
    </w:p>
    <w:p>
      <w:pPr>
        <w:ind w:left="1340" w:right="400" w:hanging="333"/>
        <w:spacing w:after="0" w:line="282" w:lineRule="auto"/>
        <w:tabs>
          <w:tab w:leader="none" w:pos="1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1340" w:right="80" w:hanging="333"/>
        <w:spacing w:after="0" w:line="261" w:lineRule="auto"/>
        <w:tabs>
          <w:tab w:leader="none" w:pos="1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79" w:lineRule="exact"/>
        <w:rPr>
          <w:rFonts w:ascii="Times New Roman" w:cs="Times New Roman" w:eastAsia="Times New Roman" w:hAnsi="Times New Roman"/>
          <w:sz w:val="18"/>
          <w:szCs w:val="18"/>
          <w:color w:val="auto"/>
        </w:rPr>
      </w:pPr>
    </w:p>
    <w:p>
      <w:pPr>
        <w:jc w:val="both"/>
        <w:ind w:left="1340" w:right="100" w:hanging="333"/>
        <w:spacing w:after="0" w:line="266" w:lineRule="auto"/>
        <w:tabs>
          <w:tab w:leader="none" w:pos="1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38" w:name="page139"/>
    <w:bookmarkEnd w:id="138"/>
    <w:p>
      <w:pPr>
        <w:ind w:left="118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1340" w:hanging="333"/>
        <w:spacing w:after="0"/>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1340" w:right="400" w:hanging="333"/>
        <w:spacing w:after="0" w:line="282" w:lineRule="auto"/>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1340" w:right="240" w:hanging="333"/>
        <w:spacing w:after="0" w:line="282" w:lineRule="auto"/>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1340" w:right="40" w:hanging="333"/>
        <w:spacing w:after="0" w:line="282" w:lineRule="auto"/>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Bylaw Provisions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22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Removed Only for Cause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remove directors only for cause.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Requirements for Amendments of Our Amended and Restated Certificate of Incorporation and Bylaws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common stock is required to amend or repeal our bylaws, although our bylaws may be amended by a simple majority vote of our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are not be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194" w:lineRule="exact"/>
        <w:rPr>
          <w:sz w:val="20"/>
          <w:szCs w:val="20"/>
          <w:color w:val="auto"/>
        </w:rPr>
      </w:pPr>
    </w:p>
    <w:p>
      <w:pPr>
        <w:ind w:left="1340" w:hanging="333"/>
        <w:spacing w:after="0"/>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proposing persons;</w:t>
      </w:r>
    </w:p>
    <w:p>
      <w:pPr>
        <w:spacing w:after="0" w:line="225" w:lineRule="exact"/>
        <w:rPr>
          <w:rFonts w:ascii="Times New Roman" w:cs="Times New Roman" w:eastAsia="Times New Roman" w:hAnsi="Times New Roman"/>
          <w:sz w:val="18"/>
          <w:szCs w:val="18"/>
          <w:color w:val="auto"/>
        </w:rPr>
      </w:pPr>
    </w:p>
    <w:p>
      <w:pPr>
        <w:ind w:left="1340" w:right="220" w:hanging="333"/>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proposing persons of our capital stock and any derivative interest or short interest in any of our securities held by the proposing persons;</w:t>
      </w:r>
    </w:p>
    <w:p>
      <w:pPr>
        <w:spacing w:after="0" w:line="161" w:lineRule="exact"/>
        <w:rPr>
          <w:rFonts w:ascii="Times New Roman" w:cs="Times New Roman" w:eastAsia="Times New Roman" w:hAnsi="Times New Roman"/>
          <w:sz w:val="18"/>
          <w:szCs w:val="18"/>
          <w:color w:val="auto"/>
        </w:rPr>
      </w:pPr>
    </w:p>
    <w:p>
      <w:pPr>
        <w:ind w:left="1340" w:right="500" w:hanging="333"/>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any material relationships and interest between the proposing persons and us, any of our affiliates and any of our principal competitors;</w:t>
      </w:r>
    </w:p>
    <w:p>
      <w:pPr>
        <w:spacing w:after="0" w:line="161" w:lineRule="exact"/>
        <w:rPr>
          <w:rFonts w:ascii="Times New Roman" w:cs="Times New Roman" w:eastAsia="Times New Roman" w:hAnsi="Times New Roman"/>
          <w:sz w:val="18"/>
          <w:szCs w:val="18"/>
          <w:color w:val="auto"/>
        </w:rPr>
      </w:pPr>
    </w:p>
    <w:p>
      <w:pPr>
        <w:ind w:left="1340" w:right="120" w:hanging="333"/>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61" w:lineRule="exact"/>
        <w:rPr>
          <w:rFonts w:ascii="Times New Roman" w:cs="Times New Roman" w:eastAsia="Times New Roman" w:hAnsi="Times New Roman"/>
          <w:sz w:val="18"/>
          <w:szCs w:val="18"/>
          <w:color w:val="auto"/>
        </w:rPr>
      </w:pPr>
    </w:p>
    <w:p>
      <w:pPr>
        <w:ind w:left="1340" w:right="80" w:hanging="333"/>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(1)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w:t>
      </w:r>
    </w:p>
    <w:p>
      <w:pPr>
        <w:sectPr>
          <w:pgSz w:w="11900" w:h="16838" w:orient="portrait"/>
          <w:cols w:equalWidth="0" w:num="1">
            <w:col w:w="11220"/>
          </w:cols>
          <w:pgMar w:left="320" w:top="578" w:right="35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1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Outset Medical, Inc.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and/or restated as of the Date of Grant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Optionholder an option to purchase the number of shares of the Common Stock set forth below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The Option is subject to all of the terms and conditions as set forth in this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13970</wp:posOffset>
            </wp:positionV>
            <wp:extent cx="45688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Exercise Price (Per Share)</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4445</wp:posOffset>
            </wp:positionV>
            <wp:extent cx="45688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Exercise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Same as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45688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320" w:space="720"/>
            <w:col w:w="720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Type of Grant</w:t>
      </w:r>
      <w:r>
        <w:rPr>
          <w:rFonts w:ascii="Times New Roman" w:cs="Times New Roman" w:eastAsia="Times New Roman" w:hAnsi="Times New Roman"/>
          <w:sz w:val="15"/>
          <w:szCs w:val="15"/>
          <w:color w:val="auto"/>
        </w:rPr>
        <w:t>2</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423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Times New Roman" w:cs="Times New Roman" w:eastAsia="Times New Roman" w:hAnsi="Times New Roman"/>
          <w:sz w:val="19"/>
          <w:szCs w:val="19"/>
          <w:color w:val="auto"/>
        </w:rPr>
        <w:t>[Incentive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45688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114" w:right="339" w:bottom="1440" w:gutter="0" w:footer="0" w:header="0"/>
          <w:type w:val="continuous"/>
        </w:sectPr>
      </w:pPr>
    </w:p>
    <w:p>
      <w:pPr>
        <w:spacing w:after="0" w:line="21" w:lineRule="exact"/>
        <w:rPr>
          <w:sz w:val="20"/>
          <w:szCs w:val="20"/>
          <w:color w:val="auto"/>
        </w:rPr>
      </w:pPr>
    </w:p>
    <w:p>
      <w:pPr>
        <w:ind w:left="140" w:hanging="132"/>
        <w:spacing w:after="0"/>
        <w:tabs>
          <w:tab w:leader="none" w:pos="1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exercise price may be paid by one or a combination of the methods permitted in the Option Agreement.</w:t>
      </w:r>
    </w:p>
    <w:p>
      <w:pPr>
        <w:spacing w:after="0" w:line="32" w:lineRule="exact"/>
        <w:rPr>
          <w:sz w:val="20"/>
          <w:szCs w:val="20"/>
          <w:color w:val="auto"/>
        </w:rPr>
      </w:pPr>
    </w:p>
    <w:p>
      <w:pPr>
        <w:ind w:left="120" w:hanging="112"/>
        <w:spacing w:after="0" w:line="196" w:lineRule="auto"/>
        <w:tabs>
          <w:tab w:leader="none" w:pos="120" w:val="left"/>
        </w:tabs>
        <w:numPr>
          <w:ilvl w:val="0"/>
          <w:numId w:val="7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 xml:space="preserve">If this is an Incentive Stock Option, it (plus other outstanding Incentive Stock Options) cannot be first </w:t>
      </w:r>
      <w:r>
        <w:rPr>
          <w:rFonts w:ascii="Times New Roman" w:cs="Times New Roman" w:eastAsia="Times New Roman" w:hAnsi="Times New Roman"/>
          <w:sz w:val="16"/>
          <w:szCs w:val="16"/>
          <w:i w:val="1"/>
          <w:iCs w:val="1"/>
          <w:color w:val="auto"/>
        </w:rPr>
        <w:t>exercisable</w:t>
      </w:r>
      <w:r>
        <w:rPr>
          <w:rFonts w:ascii="Times New Roman" w:cs="Times New Roman" w:eastAsia="Times New Roman" w:hAnsi="Times New Roman"/>
          <w:sz w:val="16"/>
          <w:szCs w:val="16"/>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2" w:name="page143"/>
    <w:bookmarkEnd w:id="142"/>
    <w:p>
      <w:pPr>
        <w:jc w:val="both"/>
        <w:ind w:left="2160" w:hanging="2145"/>
        <w:spacing w:after="0" w:line="249" w:lineRule="auto"/>
        <w:tabs>
          <w:tab w:leader="none" w:pos="214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[standard vesting] 25% of the total number of shares subject to the Option shall vest on the first anniversary of the Vesting Commencement Date, and thereafter 1/48 of such total number of shares shall vest on each monthly anniversary of the Vesting Commencement Date, subject to Participant’s Continuous Service through the applicable vesting date.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Optionholder Acknowledgements: </w:t>
      </w:r>
      <w:r>
        <w:rPr>
          <w:rFonts w:ascii="Times New Roman" w:cs="Times New Roman" w:eastAsia="Times New Roman" w:hAnsi="Times New Roman"/>
          <w:sz w:val="20"/>
          <w:szCs w:val="20"/>
          <w:color w:val="auto"/>
        </w:rPr>
        <w:t>By Optionholder’s signature below or by electronic acceptance or authentication in a form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Optionholder understands and agrees that the Option is governed by this Grant Notice, and the provisions of the Plan and the Option Agreement and the Notice of Exercise, all of which are made a part of this document.</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in a manner that materially impairs the rights of the Optionholder except in a writing signed by Optionholder and a duly authorized officer of the Company.</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Outset Medical, Inc.</w:t>
            </w:r>
          </w:p>
        </w:tc>
        <w:tc>
          <w:tcPr>
            <w:tcW w:w="566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Optionholder:</w:t>
            </w:r>
          </w:p>
        </w:tc>
      </w:tr>
      <w:tr>
        <w:trPr>
          <w:trHeight w:val="683"/>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By:</w:t>
            </w:r>
          </w:p>
        </w:tc>
      </w:tr>
      <w:tr>
        <w:trPr>
          <w:trHeight w:val="200"/>
        </w:trPr>
        <w:tc>
          <w:tcPr>
            <w:tcW w:w="580" w:type="dxa"/>
            <w:vAlign w:val="bottom"/>
          </w:tcPr>
          <w:p>
            <w:pPr>
              <w:spacing w:after="0"/>
              <w:rPr>
                <w:sz w:val="17"/>
                <w:szCs w:val="17"/>
                <w:color w:val="auto"/>
              </w:rPr>
            </w:pPr>
          </w:p>
        </w:tc>
        <w:tc>
          <w:tcPr>
            <w:tcW w:w="5000" w:type="dxa"/>
            <w:vAlign w:val="bottom"/>
            <w:tcBorders>
              <w:top w:val="single" w:sz="8" w:color="auto"/>
            </w:tcBorders>
          </w:tcPr>
          <w:p>
            <w:pPr>
              <w:ind w:left="2060"/>
              <w:spacing w:after="0" w:line="200" w:lineRule="exact"/>
              <w:rPr>
                <w:sz w:val="20"/>
                <w:szCs w:val="20"/>
                <w:color w:val="auto"/>
              </w:rPr>
            </w:pPr>
            <w:r>
              <w:rPr>
                <w:rFonts w:ascii="Times New Roman" w:cs="Times New Roman" w:eastAsia="Times New Roman" w:hAnsi="Times New Roman"/>
                <w:sz w:val="20"/>
                <w:szCs w:val="20"/>
                <w:color w:val="auto"/>
              </w:rPr>
              <w:t>(Signature)</w:t>
            </w:r>
          </w:p>
        </w:tc>
        <w:tc>
          <w:tcPr>
            <w:tcW w:w="1060" w:type="dxa"/>
            <w:vAlign w:val="bottom"/>
          </w:tcPr>
          <w:p>
            <w:pPr>
              <w:spacing w:after="0"/>
              <w:rPr>
                <w:sz w:val="17"/>
                <w:szCs w:val="17"/>
                <w:color w:val="auto"/>
              </w:rPr>
            </w:pPr>
          </w:p>
        </w:tc>
        <w:tc>
          <w:tcPr>
            <w:tcW w:w="4600" w:type="dxa"/>
            <w:vAlign w:val="bottom"/>
            <w:tcBorders>
              <w:top w:val="single" w:sz="8" w:color="auto"/>
            </w:tcBorders>
          </w:tcPr>
          <w:p>
            <w:pPr>
              <w:ind w:left="1860"/>
              <w:spacing w:after="0" w:line="200" w:lineRule="exact"/>
              <w:rPr>
                <w:sz w:val="20"/>
                <w:szCs w:val="20"/>
                <w:color w:val="auto"/>
              </w:rPr>
            </w:pPr>
            <w:r>
              <w:rPr>
                <w:rFonts w:ascii="Times New Roman" w:cs="Times New Roman" w:eastAsia="Times New Roman" w:hAnsi="Times New Roman"/>
                <w:sz w:val="20"/>
                <w:szCs w:val="20"/>
                <w:color w:val="auto"/>
              </w:rPr>
              <w:t>(Signature)</w:t>
            </w:r>
          </w:p>
        </w:tc>
      </w:tr>
      <w:tr>
        <w:trPr>
          <w:trHeight w:val="252"/>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5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Email:</w:t>
            </w:r>
          </w:p>
        </w:tc>
      </w:tr>
      <w:tr>
        <w:trPr>
          <w:trHeight w:val="223"/>
        </w:trPr>
        <w:tc>
          <w:tcPr>
            <w:tcW w:w="5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5000" w:type="dxa"/>
            <w:vAlign w:val="bottom"/>
            <w:tcBorders>
              <w:top w:val="single" w:sz="8" w:color="auto"/>
              <w:bottom w:val="single" w:sz="8" w:color="auto"/>
            </w:tcBorders>
          </w:tcPr>
          <w:p>
            <w:pPr>
              <w:spacing w:after="0"/>
              <w:rPr>
                <w:sz w:val="19"/>
                <w:szCs w:val="19"/>
                <w:color w:val="auto"/>
              </w:rPr>
            </w:pPr>
          </w:p>
        </w:tc>
        <w:tc>
          <w:tcPr>
            <w:tcW w:w="1060" w:type="dxa"/>
            <w:vAlign w:val="bottom"/>
          </w:tcPr>
          <w:p>
            <w:pPr>
              <w:ind w:left="320"/>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4600" w:type="dxa"/>
            <w:vAlign w:val="bottom"/>
            <w:tcBorders>
              <w:top w:val="single" w:sz="8" w:color="auto"/>
              <w:bottom w:val="single" w:sz="8" w:color="auto"/>
            </w:tcBorders>
          </w:tcPr>
          <w:p>
            <w:pPr>
              <w:spacing w:after="0"/>
              <w:rPr>
                <w:sz w:val="19"/>
                <w:szCs w:val="19"/>
                <w:color w:val="auto"/>
              </w:rPr>
            </w:pPr>
          </w:p>
        </w:tc>
      </w:tr>
    </w:tbl>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Option Agreement, 2020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512445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44" w:name="page145"/>
    <w:bookmarkEnd w:id="144"/>
    <w:p>
      <w:pPr>
        <w:ind w:left="4460"/>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STOCK OPTION OR NONSTATUTORY STOCK OPTION)</w:t>
      </w:r>
    </w:p>
    <w:p>
      <w:pPr>
        <w:spacing w:after="0" w:line="14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Pursuant to your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this Option Agreement, </w:t>
      </w:r>
      <w:r>
        <w:rPr>
          <w:rFonts w:ascii="Times New Roman" w:cs="Times New Roman" w:eastAsia="Times New Roman" w:hAnsi="Times New Roman"/>
          <w:sz w:val="20"/>
          <w:szCs w:val="20"/>
          <w:b w:val="1"/>
          <w:bCs w:val="1"/>
          <w:color w:val="auto"/>
        </w:rPr>
        <w:t>Outset Medical,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2020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details of your option, in addition to those set forth in the Grant Notice and the Plan, are as follows:</w:t>
      </w:r>
    </w:p>
    <w:p>
      <w:pPr>
        <w:spacing w:after="0" w:line="171" w:lineRule="exact"/>
        <w:rPr>
          <w:sz w:val="20"/>
          <w:szCs w:val="20"/>
          <w:color w:val="auto"/>
        </w:rPr>
      </w:pPr>
    </w:p>
    <w:p>
      <w:pPr>
        <w:ind w:firstLine="872"/>
        <w:spacing w:after="0" w:line="273" w:lineRule="auto"/>
        <w:tabs>
          <w:tab w:leader="none" w:pos="16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Your option will vest as provided in your Grant Notice. Vesting will cease upon the termination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Service (as defined herein).</w:t>
      </w:r>
    </w:p>
    <w:p>
      <w:pPr>
        <w:spacing w:after="0" w:line="111"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6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Shares and Exercise Price</w:t>
      </w:r>
      <w:r>
        <w:rPr>
          <w:rFonts w:ascii="Times New Roman" w:cs="Times New Roman" w:eastAsia="Times New Roman" w:hAnsi="Times New Roman"/>
          <w:sz w:val="20"/>
          <w:szCs w:val="20"/>
          <w:color w:val="auto"/>
        </w:rPr>
        <w:t>. The number of shares of Common Stock subject to your option and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price per share in your Grant Notice will be adjusted in accordance with Section 5.7 of the Plan for changes in the capitalization of the Company.</w:t>
      </w:r>
    </w:p>
    <w:p>
      <w:pPr>
        <w:spacing w:after="0" w:line="141" w:lineRule="exact"/>
        <w:rPr>
          <w:rFonts w:ascii="Times New Roman" w:cs="Times New Roman" w:eastAsia="Times New Roman" w:hAnsi="Times New Roman"/>
          <w:sz w:val="20"/>
          <w:szCs w:val="20"/>
          <w:b w:val="1"/>
          <w:bCs w:val="1"/>
          <w:color w:val="auto"/>
        </w:rPr>
      </w:pPr>
    </w:p>
    <w:p>
      <w:pPr>
        <w:ind w:left="1660" w:hanging="788"/>
        <w:spacing w:after="0"/>
        <w:tabs>
          <w:tab w:leader="none" w:pos="16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purposes of this Option Agreement, the following terms shall have the meanings set forth below.</w:t>
      </w:r>
    </w:p>
    <w:p>
      <w:pPr>
        <w:spacing w:after="0" w:line="175" w:lineRule="exact"/>
        <w:rPr>
          <w:rFonts w:ascii="Times New Roman" w:cs="Times New Roman" w:eastAsia="Times New Roman" w:hAnsi="Times New Roman"/>
          <w:sz w:val="20"/>
          <w:szCs w:val="20"/>
          <w:b w:val="1"/>
          <w:bCs w:val="1"/>
          <w:color w:val="auto"/>
        </w:rPr>
      </w:pPr>
    </w:p>
    <w:p>
      <w:pPr>
        <w:jc w:val="both"/>
        <w:ind w:firstLine="1735"/>
        <w:spacing w:after="0" w:line="242" w:lineRule="auto"/>
        <w:tabs>
          <w:tab w:leader="none" w:pos="2682"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have the meaning ascribed to such term in any written agreement between you and the Company defining such term and which is in effect as of the Date of Grant and, in the absence of such agreement, such term means the occurrence of any of the following events: (i) your commission of any felony or any crime involving fraud, dishonesty or moral turpitude under the laws of the United States or any state thereof; (ii) your attempted commission of, or participation in, a fraud or act of dishonesty against the Company, or any of its employees or directors; (iii) your intentional, material violation of any contract or agreement between you and the Company, the Company’s employment policies, or of any statutory or other duty owed to the Company, (iv) your unauthorized use or disclosure of the Company’s confidential information or trade secrets; or (v) your gross misconduct. The determination that a termination of your Continuous Service is either for Cause or without Cause will be made by the Company (or, if you are subject to Section 16 of the Exchange Act, the Committee), in its sole discretion. Any determination by the Company that your Continuous Service was terminated with or without Cause for the purposes of this Option Agreement will have no effect upon any determination of the rights or obligations of the Company or you for any other purpose.</w:t>
      </w:r>
    </w:p>
    <w:p>
      <w:pPr>
        <w:spacing w:after="0" w:line="149" w:lineRule="exact"/>
        <w:rPr>
          <w:rFonts w:ascii="Times New Roman" w:cs="Times New Roman" w:eastAsia="Times New Roman" w:hAnsi="Times New Roman"/>
          <w:sz w:val="20"/>
          <w:szCs w:val="20"/>
          <w:b w:val="1"/>
          <w:bCs w:val="1"/>
          <w:color w:val="auto"/>
        </w:rPr>
      </w:pPr>
    </w:p>
    <w:p>
      <w:pPr>
        <w:jc w:val="both"/>
        <w:ind w:firstLine="1735"/>
        <w:spacing w:after="0" w:line="246" w:lineRule="auto"/>
        <w:tabs>
          <w:tab w:leader="none" w:pos="2617"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your service with the Company or 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provided, however,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45" w:name="page146"/>
    <w:bookmarkEnd w:id="145"/>
    <w:p>
      <w:pPr>
        <w:jc w:val="both"/>
        <w:ind w:firstLine="1735"/>
        <w:spacing w:after="0" w:line="250" w:lineRule="auto"/>
        <w:tabs>
          <w:tab w:leader="none" w:pos="2595" w:val="left"/>
        </w:tabs>
        <w:numPr>
          <w:ilvl w:val="1"/>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your inability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48" w:lineRule="exact"/>
        <w:rPr>
          <w:rFonts w:ascii="Times New Roman" w:cs="Times New Roman" w:eastAsia="Times New Roman" w:hAnsi="Times New Roman"/>
          <w:sz w:val="20"/>
          <w:szCs w:val="20"/>
          <w:b w:val="1"/>
          <w:bCs w:val="1"/>
          <w:color w:val="auto"/>
        </w:rPr>
      </w:pPr>
    </w:p>
    <w:p>
      <w:pPr>
        <w:jc w:val="both"/>
        <w:ind w:firstLine="872"/>
        <w:spacing w:after="0" w:line="255" w:lineRule="auto"/>
        <w:tabs>
          <w:tab w:leader="none" w:pos="1660"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Exercise and Method of Payment</w:t>
      </w:r>
      <w:r>
        <w:rPr>
          <w:rFonts w:ascii="Times New Roman" w:cs="Times New Roman" w:eastAsia="Times New Roman" w:hAnsi="Times New Roman"/>
          <w:sz w:val="19"/>
          <w:szCs w:val="19"/>
          <w:color w:val="auto"/>
        </w:rPr>
        <w:t>. Subject to the limitations set forth in this Option Agreement, you may exercise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your option, to the extent vested, (a) by delivering to the Company an Exercise Notice in the form prescribed by the Company specifying the number of whole shares of Common Stock to be purchased and by accompanying such notice with payment therefor in full (or by arranging for such payment to the Company’s satisfaction) either (i) in cash, (ii) to the extent permitted by the Company (or, if you are subject to Section 16 of the Exchange Act, the Committee), by delivery to the Company (either actual delivery or by attestation procedures established by the Company) of shares of Common Stock having an aggregate Fair Market Value, determined as of the date of exercise, equal to the aggregate purchase price payable pursuant to the option by reason of such exercise, (iii) to the extent permitted by the Company (or, if you are subject to Section 16 of the Exchange Act, the Committee), by authorizing the Company to withhold whole shares of Common Stock which would otherwise be delivered having an aggregate Fair Market Value, determined as of the date of exercise, equal to the amount necessary to satisfy such obligation, (iv) except as may be prohibited by applicable law, in cash by a broker-dealer acceptable to the Company to whom you have submitted an irrevocable notice of exercise or (v) by a combination of (i), (ii) and (iii), and (b) by executing such documents as the Company may reasonably request. No share of Common Stock or certificate representing a share of Common Stock shall be issued or delivered until the full purchase price therefor and any withholding taxes thereon, as described in Section 11, have been paid. 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33" w:lineRule="exact"/>
        <w:rPr>
          <w:rFonts w:ascii="Times New Roman" w:cs="Times New Roman" w:eastAsia="Times New Roman" w:hAnsi="Times New Roman"/>
          <w:sz w:val="19"/>
          <w:szCs w:val="19"/>
          <w:b w:val="1"/>
          <w:bCs w:val="1"/>
          <w:color w:val="auto"/>
        </w:rPr>
      </w:pPr>
    </w:p>
    <w:p>
      <w:pPr>
        <w:jc w:val="both"/>
        <w:ind w:firstLine="872"/>
        <w:spacing w:after="0" w:line="246" w:lineRule="auto"/>
        <w:tabs>
          <w:tab w:leader="none" w:pos="16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Compliance</w:t>
      </w:r>
      <w:r>
        <w:rPr>
          <w:rFonts w:ascii="Times New Roman" w:cs="Times New Roman" w:eastAsia="Times New Roman" w:hAnsi="Times New Roman"/>
          <w:sz w:val="20"/>
          <w:szCs w:val="20"/>
          <w:color w:val="auto"/>
        </w:rPr>
        <w:t>. In no event may you exercise your option unless the shares of Common Stock issuable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exercise are then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38" w:lineRule="exact"/>
        <w:rPr>
          <w:rFonts w:ascii="Times New Roman" w:cs="Times New Roman" w:eastAsia="Times New Roman" w:hAnsi="Times New Roman"/>
          <w:sz w:val="20"/>
          <w:szCs w:val="20"/>
          <w:b w:val="1"/>
          <w:bCs w:val="1"/>
          <w:color w:val="auto"/>
        </w:rPr>
      </w:pPr>
    </w:p>
    <w:p>
      <w:pPr>
        <w:ind w:firstLine="872"/>
        <w:spacing w:after="0" w:line="273" w:lineRule="auto"/>
        <w:tabs>
          <w:tab w:leader="none" w:pos="16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You may not exercise your option before the Date of Grant or after the expiration of the option’s term.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your Grant Notice, the term of your option expires upon the earliest of the following:</w:t>
      </w:r>
    </w:p>
    <w:p>
      <w:pPr>
        <w:spacing w:after="0" w:line="128" w:lineRule="exact"/>
        <w:rPr>
          <w:rFonts w:ascii="Times New Roman" w:cs="Times New Roman" w:eastAsia="Times New Roman" w:hAnsi="Times New Roman"/>
          <w:sz w:val="20"/>
          <w:szCs w:val="20"/>
          <w:b w:val="1"/>
          <w:bCs w:val="1"/>
          <w:color w:val="auto"/>
        </w:rPr>
      </w:pPr>
    </w:p>
    <w:p>
      <w:pPr>
        <w:ind w:left="2620" w:hanging="885"/>
        <w:spacing w:after="0"/>
        <w:tabs>
          <w:tab w:leader="none" w:pos="2620" w:val="left"/>
        </w:tabs>
        <w:numPr>
          <w:ilvl w:val="1"/>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immediately upon the termination of your Continuous Service for Cause;</w:t>
      </w:r>
    </w:p>
    <w:p>
      <w:pPr>
        <w:spacing w:after="0" w:line="175" w:lineRule="exact"/>
        <w:rPr>
          <w:rFonts w:ascii="Times New Roman" w:cs="Times New Roman" w:eastAsia="Times New Roman" w:hAnsi="Times New Roman"/>
          <w:sz w:val="20"/>
          <w:szCs w:val="20"/>
          <w:b w:val="1"/>
          <w:bCs w:val="1"/>
          <w:color w:val="auto"/>
        </w:rPr>
      </w:pPr>
    </w:p>
    <w:p>
      <w:pPr>
        <w:jc w:val="both"/>
        <w:ind w:firstLine="1735"/>
        <w:spacing w:after="0" w:line="260" w:lineRule="auto"/>
        <w:tabs>
          <w:tab w:leader="none" w:pos="2617" w:val="left"/>
        </w:tabs>
        <w:numPr>
          <w:ilvl w:val="1"/>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three months after the termination of your Continuous Service for any reason other than Cause, your Disability or your death (except as otherwise provided in Section 6(d) below);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if (i) your Continuous Service terminates within six months after the Date of Grant, and (ii) you have vested in a portion of your option at the time of your termination of Continuous Service, your option will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46" w:name="page147"/>
    <w:bookmarkEnd w:id="146"/>
    <w:p>
      <w:pPr>
        <w:ind w:right="20"/>
        <w:spacing w:after="0" w:line="269" w:lineRule="auto"/>
        <w:rPr>
          <w:sz w:val="20"/>
          <w:szCs w:val="20"/>
          <w:color w:val="auto"/>
        </w:rPr>
      </w:pPr>
      <w:r>
        <w:rPr>
          <w:rFonts w:ascii="Times New Roman" w:cs="Times New Roman" w:eastAsia="Times New Roman" w:hAnsi="Times New Roman"/>
          <w:sz w:val="20"/>
          <w:szCs w:val="20"/>
          <w:color w:val="auto"/>
        </w:rPr>
        <w:t>not expire until the earlier of (x) the later of (A) the date that is seven months after the Date of Grant, and (B) the date that is three months after the termination of your Continuous Service, and (y) the Expiration Date;</w:t>
      </w:r>
    </w:p>
    <w:p>
      <w:pPr>
        <w:spacing w:after="0" w:line="132" w:lineRule="exact"/>
        <w:rPr>
          <w:sz w:val="20"/>
          <w:szCs w:val="20"/>
          <w:color w:val="auto"/>
        </w:rPr>
      </w:pPr>
    </w:p>
    <w:p>
      <w:pPr>
        <w:ind w:left="2600" w:hanging="865"/>
        <w:spacing w:after="0"/>
        <w:tabs>
          <w:tab w:leader="none" w:pos="26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after the termination of your Continuous Service due to your Disability (except as otherwise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provided in Section 6(d) below);</w:t>
      </w:r>
    </w:p>
    <w:p>
      <w:pPr>
        <w:spacing w:after="0" w:line="153" w:lineRule="exact"/>
        <w:rPr>
          <w:rFonts w:ascii="Times New Roman" w:cs="Times New Roman" w:eastAsia="Times New Roman" w:hAnsi="Times New Roman"/>
          <w:sz w:val="20"/>
          <w:szCs w:val="20"/>
          <w:b w:val="1"/>
          <w:bCs w:val="1"/>
          <w:color w:val="auto"/>
        </w:rPr>
      </w:pPr>
    </w:p>
    <w:p>
      <w:pPr>
        <w:ind w:firstLine="1735"/>
        <w:spacing w:after="0" w:line="269" w:lineRule="auto"/>
        <w:tabs>
          <w:tab w:leader="none" w:pos="2617"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after your death if you die either during your Continuous Service or within three (3) months after your Continuous Service terminates for any reason other than Cause; or</w:t>
      </w:r>
    </w:p>
    <w:p>
      <w:pPr>
        <w:spacing w:after="0" w:line="118" w:lineRule="exact"/>
        <w:rPr>
          <w:rFonts w:ascii="Times New Roman" w:cs="Times New Roman" w:eastAsia="Times New Roman" w:hAnsi="Times New Roman"/>
          <w:sz w:val="20"/>
          <w:szCs w:val="20"/>
          <w:b w:val="1"/>
          <w:bCs w:val="1"/>
          <w:color w:val="auto"/>
        </w:rPr>
      </w:pPr>
    </w:p>
    <w:p>
      <w:pPr>
        <w:ind w:left="2600" w:hanging="865"/>
        <w:spacing w:after="0"/>
        <w:tabs>
          <w:tab w:leader="none" w:pos="26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Expiration Date indicated in your Grant Notice.</w:t>
      </w:r>
    </w:p>
    <w:p>
      <w:pPr>
        <w:spacing w:after="0" w:line="18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 Subsidiary,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 Subsidiary as a consultant or director after your employment terminates or if you otherwise exercise your option more than three months after the date your employment with the Company or a Subsidiary terminates.</w:t>
      </w:r>
    </w:p>
    <w:p>
      <w:pPr>
        <w:spacing w:after="0" w:line="141" w:lineRule="exact"/>
        <w:rPr>
          <w:sz w:val="20"/>
          <w:szCs w:val="20"/>
          <w:color w:val="auto"/>
        </w:rPr>
      </w:pPr>
    </w:p>
    <w:p>
      <w:pPr>
        <w:ind w:firstLine="872"/>
        <w:spacing w:after="0" w:line="273" w:lineRule="auto"/>
        <w:tabs>
          <w:tab w:leader="none" w:pos="166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w:t>
      </w:r>
      <w:r>
        <w:rPr>
          <w:rFonts w:ascii="Times New Roman" w:cs="Times New Roman" w:eastAsia="Times New Roman" w:hAnsi="Times New Roman"/>
          <w:sz w:val="20"/>
          <w:szCs w:val="20"/>
          <w:color w:val="auto"/>
        </w:rPr>
        <w:t>. Except as otherwise provided in this Section 7, your option is not transferable, except by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laws of descent and distribution, and is exercisable during your life only by you.</w:t>
      </w:r>
    </w:p>
    <w:p>
      <w:pPr>
        <w:spacing w:after="0" w:line="111" w:lineRule="exact"/>
        <w:rPr>
          <w:rFonts w:ascii="Times New Roman" w:cs="Times New Roman" w:eastAsia="Times New Roman" w:hAnsi="Times New Roman"/>
          <w:sz w:val="20"/>
          <w:szCs w:val="20"/>
          <w:b w:val="1"/>
          <w:bCs w:val="1"/>
          <w:color w:val="auto"/>
        </w:rPr>
      </w:pPr>
    </w:p>
    <w:p>
      <w:pPr>
        <w:jc w:val="both"/>
        <w:ind w:firstLine="1735"/>
        <w:spacing w:after="0" w:line="250" w:lineRule="auto"/>
        <w:tabs>
          <w:tab w:leader="none" w:pos="2606"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Trusts</w:t>
      </w:r>
      <w:r>
        <w:rPr>
          <w:rFonts w:ascii="Times New Roman" w:cs="Times New Roman" w:eastAsia="Times New Roman" w:hAnsi="Times New Roman"/>
          <w:sz w:val="20"/>
          <w:szCs w:val="20"/>
          <w:color w:val="auto"/>
        </w:rPr>
        <w:t>. Upon receiving written permission from the Board or its duly authorized designee,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48" w:lineRule="exact"/>
        <w:rPr>
          <w:rFonts w:ascii="Times New Roman" w:cs="Times New Roman" w:eastAsia="Times New Roman" w:hAnsi="Times New Roman"/>
          <w:sz w:val="20"/>
          <w:szCs w:val="20"/>
          <w:b w:val="1"/>
          <w:bCs w:val="1"/>
          <w:color w:val="auto"/>
        </w:rPr>
      </w:pPr>
    </w:p>
    <w:p>
      <w:pPr>
        <w:jc w:val="both"/>
        <w:ind w:firstLine="1735"/>
        <w:spacing w:after="0" w:line="244" w:lineRule="auto"/>
        <w:tabs>
          <w:tab w:leader="none" w:pos="2617"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Domestic Relations Orders</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41" w:lineRule="exact"/>
        <w:rPr>
          <w:rFonts w:ascii="Times New Roman" w:cs="Times New Roman" w:eastAsia="Times New Roman" w:hAnsi="Times New Roman"/>
          <w:sz w:val="20"/>
          <w:szCs w:val="20"/>
          <w:b w:val="1"/>
          <w:bCs w:val="1"/>
          <w:color w:val="auto"/>
        </w:rPr>
      </w:pPr>
    </w:p>
    <w:p>
      <w:pPr>
        <w:jc w:val="both"/>
        <w:ind w:firstLine="1735"/>
        <w:spacing w:after="0" w:line="246" w:lineRule="auto"/>
        <w:tabs>
          <w:tab w:leader="none" w:pos="2595"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Beneficiary Designation</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38"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66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Issuance or Delivery of Shares. </w:t>
      </w:r>
      <w:r>
        <w:rPr>
          <w:rFonts w:ascii="Times New Roman" w:cs="Times New Roman" w:eastAsia="Times New Roman" w:hAnsi="Times New Roman"/>
          <w:sz w:val="20"/>
          <w:szCs w:val="20"/>
          <w:color w:val="auto"/>
        </w:rPr>
        <w:t>Upon the exercise of the option, in whole or in part, the Company shall issue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subject to the conditions of this Option Agreement, the number of shares of Common Stock purchased against full payment therefor. Such issuance shall be evidenced by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7" w:name="page148"/>
    <w:bookmarkEnd w:id="147"/>
    <w:p>
      <w:pPr>
        <w:spacing w:after="0" w:line="269" w:lineRule="auto"/>
        <w:rPr>
          <w:sz w:val="20"/>
          <w:szCs w:val="20"/>
          <w:color w:val="auto"/>
        </w:rPr>
      </w:pPr>
      <w:r>
        <w:rPr>
          <w:rFonts w:ascii="Times New Roman" w:cs="Times New Roman" w:eastAsia="Times New Roman" w:hAnsi="Times New Roman"/>
          <w:sz w:val="20"/>
          <w:szCs w:val="20"/>
          <w:color w:val="auto"/>
        </w:rPr>
        <w:t>appropriate entry on the books of the Company or of a duly authorized transfer agent of the Company. The Company shall pay all original issue or transfer taxes and all fees and expenses incident to such issuance, except as otherwise provided in Section 11.</w:t>
      </w:r>
    </w:p>
    <w:p>
      <w:pPr>
        <w:spacing w:after="0" w:line="128" w:lineRule="exact"/>
        <w:rPr>
          <w:sz w:val="20"/>
          <w:szCs w:val="20"/>
          <w:color w:val="auto"/>
        </w:rPr>
      </w:pPr>
    </w:p>
    <w:p>
      <w:pPr>
        <w:jc w:val="both"/>
        <w:ind w:firstLine="872"/>
        <w:spacing w:after="0" w:line="250" w:lineRule="auto"/>
        <w:tabs>
          <w:tab w:leader="none" w:pos="16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 Confers No Rights as Stockholder</w:t>
      </w:r>
      <w:r>
        <w:rPr>
          <w:rFonts w:ascii="Times New Roman" w:cs="Times New Roman" w:eastAsia="Times New Roman" w:hAnsi="Times New Roman"/>
          <w:sz w:val="20"/>
          <w:szCs w:val="20"/>
          <w:color w:val="auto"/>
        </w:rPr>
        <w:t>. You shall not be entitled to any privileges of ownership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subject to the option unless and until such shares are purchased and issued upon the exercise of the option, in whole or in part, and you become a stockholder of record with respect to such issued shares. You shall not be considered a stockholder of the Company with respect to any such shares not so purchased and issued.</w:t>
      </w:r>
    </w:p>
    <w:p>
      <w:pPr>
        <w:spacing w:after="0" w:line="135" w:lineRule="exact"/>
        <w:rPr>
          <w:rFonts w:ascii="Times New Roman" w:cs="Times New Roman" w:eastAsia="Times New Roman" w:hAnsi="Times New Roman"/>
          <w:sz w:val="20"/>
          <w:szCs w:val="20"/>
          <w:b w:val="1"/>
          <w:bCs w:val="1"/>
          <w:color w:val="auto"/>
        </w:rPr>
      </w:pPr>
    </w:p>
    <w:p>
      <w:pPr>
        <w:jc w:val="both"/>
        <w:ind w:firstLine="872"/>
        <w:spacing w:after="0" w:line="247" w:lineRule="auto"/>
        <w:tabs>
          <w:tab w:leader="none" w:pos="175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 not a Service Contract</w:t>
      </w:r>
      <w:r>
        <w:rPr>
          <w:rFonts w:ascii="Times New Roman" w:cs="Times New Roman" w:eastAsia="Times New Roman" w:hAnsi="Times New Roman"/>
          <w:sz w:val="20"/>
          <w:szCs w:val="20"/>
          <w:color w:val="auto"/>
        </w:rPr>
        <w:t>. Your option is not an employment or service contract, and nothing in your option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to create in any way whatsoever any obligation on your part to continue in the employ or service of the Company or an affiliate, or of the Company or an affiliate to continue your employment or service.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39" w:lineRule="exact"/>
        <w:rPr>
          <w:rFonts w:ascii="Times New Roman" w:cs="Times New Roman" w:eastAsia="Times New Roman" w:hAnsi="Times New Roman"/>
          <w:sz w:val="20"/>
          <w:szCs w:val="20"/>
          <w:b w:val="1"/>
          <w:bCs w:val="1"/>
          <w:color w:val="auto"/>
        </w:rPr>
      </w:pPr>
    </w:p>
    <w:p>
      <w:pPr>
        <w:ind w:left="1760" w:hanging="888"/>
        <w:spacing w:after="0"/>
        <w:tabs>
          <w:tab w:leader="none" w:pos="17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Obligations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jc w:val="both"/>
        <w:ind w:firstLine="1735"/>
        <w:spacing w:after="0" w:line="245" w:lineRule="auto"/>
        <w:tabs>
          <w:tab w:leader="none" w:pos="2606" w:val="left"/>
        </w:tabs>
        <w:numPr>
          <w:ilvl w:val="1"/>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a condition precedent to the issuance of Common Stock following the exercise of the option, you shall, upon request by the Company, pay to the Company in addition to the purchase price of the shares, such amount as the Company determines is required, under all applicable federal, state, local or other laws or regulations, to be withheld and paid over as income or other withholding taxes (the “</w:t>
      </w:r>
      <w:r>
        <w:rPr>
          <w:rFonts w:ascii="Times New Roman" w:cs="Times New Roman" w:eastAsia="Times New Roman" w:hAnsi="Times New Roman"/>
          <w:sz w:val="20"/>
          <w:szCs w:val="20"/>
          <w:b w:val="1"/>
          <w:bCs w:val="1"/>
          <w:i w:val="1"/>
          <w:iCs w:val="1"/>
          <w:color w:val="auto"/>
        </w:rPr>
        <w:t>Required Tax Payments</w:t>
      </w:r>
      <w:r>
        <w:rPr>
          <w:rFonts w:ascii="Times New Roman" w:cs="Times New Roman" w:eastAsia="Times New Roman" w:hAnsi="Times New Roman"/>
          <w:sz w:val="20"/>
          <w:szCs w:val="20"/>
          <w:color w:val="auto"/>
        </w:rPr>
        <w:t>”) with respect to such exercise of the option. If you shall fail to advance the Required Tax Payments after request by the Company, the Company may, in its discretion, deduct any Required Tax Payments from any amount then or thereafter payable by the Company to you.</w:t>
      </w:r>
    </w:p>
    <w:p>
      <w:pPr>
        <w:spacing w:after="0" w:line="143" w:lineRule="exact"/>
        <w:rPr>
          <w:rFonts w:ascii="Times New Roman" w:cs="Times New Roman" w:eastAsia="Times New Roman" w:hAnsi="Times New Roman"/>
          <w:sz w:val="20"/>
          <w:szCs w:val="20"/>
          <w:b w:val="1"/>
          <w:bCs w:val="1"/>
          <w:color w:val="auto"/>
        </w:rPr>
      </w:pPr>
    </w:p>
    <w:p>
      <w:pPr>
        <w:jc w:val="both"/>
        <w:ind w:firstLine="1735"/>
        <w:spacing w:after="0" w:line="241" w:lineRule="auto"/>
        <w:tabs>
          <w:tab w:leader="none" w:pos="2617" w:val="left"/>
        </w:tabs>
        <w:numPr>
          <w:ilvl w:val="1"/>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elect to satisfy your obligation to advance the Required Tax Payments by any of the following means: (i) a cash payment to the Company; (ii) to the extent permitted by the Company (or, if you are subject to Section 16 of the Exchange Act, the Committee),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Times New Roman" w:cs="Times New Roman" w:eastAsia="Times New Roman" w:hAnsi="Times New Roman"/>
          <w:sz w:val="20"/>
          <w:szCs w:val="20"/>
          <w:b w:val="1"/>
          <w:bCs w:val="1"/>
          <w:i w:val="1"/>
          <w:iCs w:val="1"/>
          <w:color w:val="auto"/>
        </w:rPr>
        <w:t>Tax Date</w:t>
      </w:r>
      <w:r>
        <w:rPr>
          <w:rFonts w:ascii="Times New Roman" w:cs="Times New Roman" w:eastAsia="Times New Roman" w:hAnsi="Times New Roman"/>
          <w:sz w:val="20"/>
          <w:szCs w:val="20"/>
          <w:color w:val="auto"/>
        </w:rPr>
        <w:t>”), equal to the Required Tax Payments; (iii) to the extent permitted by the Company (or, if you are subject to Section 16 of the Exchange Act, the Committee), authorizing the Company to withhold whole shares of Common Stock which would otherwise be delivered to you upon exercise of the option having an aggregate Fair Market Value, determined as of the Tax Date, equal to the Required Tax Payments; (iv) except as may be prohibited by applicable law, a cash payment by a broker-dealer acceptable to the Company to whom you have submitted an irrevocable notice of exercise or (v) any combination of (i), (ii) and (iii).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or certificate representing a share of Common Stock shall be issued or delivered until the Required Tax Payments have been satisfied in full.</w:t>
      </w:r>
    </w:p>
    <w:p>
      <w:pPr>
        <w:spacing w:after="0" w:line="151"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You hereby agree that the Company does not have a duty to design or administer the Plan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programs in a manner that minimizes your tax liabilities. You will not make any claim against the Company, or any of its officers, directors, employees, affiliates or representatives related to tax liabilities arising from your option or your other compensation.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8" w:name="page149"/>
    <w:bookmarkEnd w:id="148"/>
    <w:p>
      <w:pPr>
        <w:jc w:val="both"/>
        <w:ind w:firstLine="872"/>
        <w:spacing w:after="0" w:line="245" w:lineRule="auto"/>
        <w:tabs>
          <w:tab w:leader="none" w:pos="175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notices provided for in your option or the Plan will be given in writing (including electronically) and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Decisions of Board or Committee</w:t>
      </w:r>
      <w:r>
        <w:rPr>
          <w:rFonts w:ascii="Times New Roman" w:cs="Times New Roman" w:eastAsia="Times New Roman" w:hAnsi="Times New Roman"/>
          <w:sz w:val="20"/>
          <w:szCs w:val="20"/>
          <w:color w:val="auto"/>
        </w:rPr>
        <w:t>. The Board or the Committee shall have the right to resolve all questions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arise in connection with the option or its exercise. Any interpretation, determination or other action made or taken by the Board or the Committee regarding the Plan or this Option Agreement shall be final, binding and conclusive.</w:t>
      </w:r>
    </w:p>
    <w:p>
      <w:pPr>
        <w:spacing w:after="0" w:line="128"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Option Agreement shall be binding upon and inure to the benefit of any successor or successors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any person or persons who shall, upon your death, acquire any rights hereunder in accordance with this Option Agreement or the Plan.</w:t>
      </w:r>
    </w:p>
    <w:p>
      <w:pPr>
        <w:spacing w:after="0" w:line="128" w:lineRule="exact"/>
        <w:rPr>
          <w:rFonts w:ascii="Times New Roman" w:cs="Times New Roman" w:eastAsia="Times New Roman" w:hAnsi="Times New Roman"/>
          <w:sz w:val="20"/>
          <w:szCs w:val="20"/>
          <w:b w:val="1"/>
          <w:bCs w:val="1"/>
          <w:color w:val="auto"/>
        </w:rPr>
      </w:pPr>
    </w:p>
    <w:p>
      <w:pPr>
        <w:jc w:val="both"/>
        <w:ind w:firstLine="872"/>
        <w:spacing w:after="0" w:line="241" w:lineRule="auto"/>
        <w:tabs>
          <w:tab w:leader="none" w:pos="175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Rights</w:t>
      </w:r>
      <w:r>
        <w:rPr>
          <w:rFonts w:ascii="Times New Roman" w:cs="Times New Roman" w:eastAsia="Times New Roman" w:hAnsi="Times New Roman"/>
          <w:sz w:val="20"/>
          <w:szCs w:val="20"/>
          <w:color w:val="auto"/>
        </w:rPr>
        <w:t>. Pursuant to 18 U.S.C. § 1833(b), “an individual shall not be held criminally or civilly liable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 Federal, State, and local government officials, or to an attorney, for the sole purpose of reporting or investigating a suspected violation of law. You also have the right to disclose trade secrets in a document filed in a lawsuit or other proceeding, but only if the filing is made under seal and protected from public disclosure. Nothing in this Option Agreement is intended to conflict with 18 U.S.C. § 1833(b) or create liability for disclosures of trade secrets that are expressly allowed by 18 U.S.C. § 1833(b). You understand that nothing contained in this Option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b w:val="1"/>
          <w:bCs w:val="1"/>
          <w:i w:val="1"/>
          <w:iCs w:val="1"/>
          <w:color w:val="auto"/>
        </w:rPr>
        <w:t>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Agencies</w:t>
      </w:r>
      <w:r>
        <w:rPr>
          <w:rFonts w:ascii="Times New Roman" w:cs="Times New Roman" w:eastAsia="Times New Roman" w:hAnsi="Times New Roman"/>
          <w:sz w:val="20"/>
          <w:szCs w:val="20"/>
          <w:color w:val="auto"/>
        </w:rPr>
        <w:t>”). You further understand that this Option Agreement does not limit your ability to communicate with any Government Agencies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otherwise participate in any investigation or proceeding that may be conducted by any Government Agency, including providing documents or other information, without notice to the Company. This Option Agreement does not limit your right to receive an award for information provided to any Government Agencies.</w:t>
      </w:r>
    </w:p>
    <w:p>
      <w:pPr>
        <w:spacing w:after="0" w:line="167" w:lineRule="exact"/>
        <w:rPr>
          <w:rFonts w:ascii="Times New Roman" w:cs="Times New Roman" w:eastAsia="Times New Roman" w:hAnsi="Times New Roman"/>
          <w:sz w:val="20"/>
          <w:szCs w:val="20"/>
          <w:b w:val="1"/>
          <w:bCs w:val="1"/>
          <w:color w:val="auto"/>
        </w:rPr>
      </w:pPr>
    </w:p>
    <w:p>
      <w:pPr>
        <w:jc w:val="both"/>
        <w:ind w:firstLine="872"/>
        <w:spacing w:after="0" w:line="250" w:lineRule="auto"/>
        <w:tabs>
          <w:tab w:leader="none" w:pos="1759"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Plan Document</w:t>
      </w:r>
      <w:r>
        <w:rPr>
          <w:rFonts w:ascii="Times New Roman" w:cs="Times New Roman" w:eastAsia="Times New Roman" w:hAnsi="Times New Roman"/>
          <w:sz w:val="20"/>
          <w:szCs w:val="20"/>
          <w:color w:val="auto"/>
        </w:rPr>
        <w:t>. Your option is subject to all the provisions of the Plan, the provisions of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367030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367030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1" w:name="page152"/>
    <w:bookmarkEnd w:id="151"/>
    <w:p>
      <w:pPr>
        <w:jc w:val="right"/>
        <w:ind w:right="4480"/>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6"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This constitutes notice to </w:t>
      </w:r>
      <w:r>
        <w:rPr>
          <w:rFonts w:ascii="Times New Roman" w:cs="Times New Roman" w:eastAsia="Times New Roman" w:hAnsi="Times New Roman"/>
          <w:sz w:val="20"/>
          <w:szCs w:val="20"/>
          <w:b w:val="1"/>
          <w:bCs w:val="1"/>
          <w:color w:val="auto"/>
        </w:rPr>
        <w:t>Outset Medical,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under my stock option that I elect to purchase the below number of shares of Common Stock of the Company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for the price set forth below. Use of certain payment methods is subject to Company and/or Committee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ectPr>
          <w:pgSz w:w="11900" w:h="16838" w:orient="portrait"/>
          <w:cols w:equalWidth="0" w:num="1">
            <w:col w:w="11240"/>
          </w:cols>
          <w:pgMar w:left="320" w:top="329"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Option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option (check 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 dated: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as to which option is exercised: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Certificates to be issued in name of:</w:t>
      </w:r>
      <w:r>
        <w:rPr>
          <w:rFonts w:ascii="Times New Roman" w:cs="Times New Roman" w:eastAsia="Times New Roman" w:hAnsi="Times New Roman"/>
          <w:sz w:val="16"/>
          <w:szCs w:val="16"/>
          <w:color w:val="auto"/>
        </w:rPr>
        <w:t>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Exercise: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16"/>
          <w:szCs w:val="16"/>
          <w:color w:val="auto"/>
        </w:rPr>
        <w:t>4</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Value of _________ Shares delivered with this notice:</w:t>
      </w:r>
      <w:r>
        <w:rPr>
          <w:rFonts w:ascii="Times New Roman" w:cs="Times New Roman" w:eastAsia="Times New Roman" w:hAnsi="Times New Roman"/>
          <w:sz w:val="16"/>
          <w:szCs w:val="16"/>
          <w:color w:val="auto"/>
        </w:rPr>
        <w:t>5</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Value of _________ Shares withheld pursuant to net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4230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0" w:lineRule="exact"/>
        <w:tabs>
          <w:tab w:leader="none" w:pos="1280" w:val="left"/>
        </w:tabs>
        <w:rPr>
          <w:sz w:val="20"/>
          <w:szCs w:val="20"/>
          <w:color w:val="auto"/>
        </w:rPr>
      </w:pPr>
      <w:r>
        <w:rPr>
          <w:rFonts w:ascii="Times New Roman" w:cs="Times New Roman" w:eastAsia="Times New Roman" w:hAnsi="Times New Roman"/>
          <w:sz w:val="20"/>
          <w:szCs w:val="20"/>
          <w:color w:val="auto"/>
        </w:rPr>
        <w:t xml:space="preserve">Incentive </w:t>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Nonstatutory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1705610</wp:posOffset>
            </wp:positionV>
            <wp:extent cx="30003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1551305</wp:posOffset>
            </wp:positionV>
            <wp:extent cx="30003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1397000</wp:posOffset>
            </wp:positionV>
            <wp:extent cx="30003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1242695</wp:posOffset>
            </wp:positionV>
            <wp:extent cx="30003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1088390</wp:posOffset>
            </wp:positionV>
            <wp:extent cx="30003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497205</wp:posOffset>
            </wp:positionV>
            <wp:extent cx="30003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342900</wp:posOffset>
            </wp:positionV>
            <wp:extent cx="30003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188595</wp:posOffset>
            </wp:positionV>
            <wp:extent cx="30003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34290</wp:posOffset>
            </wp:positionV>
            <wp:extent cx="30003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-96520</wp:posOffset>
            </wp:positionV>
            <wp:extent cx="95250" cy="97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95250" cy="97155"/>
                    </a:xfrm>
                    <a:prstGeom prst="rect">
                      <a:avLst/>
                    </a:prstGeom>
                    <a:noFill/>
                  </pic:spPr>
                </pic:pic>
              </a:graphicData>
            </a:graphic>
          </wp:anchor>
        </w:drawing>
      </w:r>
    </w:p>
    <w:p>
      <w:pPr>
        <w:spacing w:after="0" w:line="2776" w:lineRule="exact"/>
        <w:rPr>
          <w:sz w:val="20"/>
          <w:szCs w:val="20"/>
          <w:color w:val="auto"/>
        </w:rPr>
      </w:pPr>
    </w:p>
    <w:p>
      <w:pPr>
        <w:sectPr>
          <w:pgSz w:w="11900" w:h="16838" w:orient="portrait"/>
          <w:cols w:equalWidth="0" w:num="2">
            <w:col w:w="6880" w:space="720"/>
            <w:col w:w="3640"/>
          </w:cols>
          <w:pgMar w:left="320" w:top="329" w:right="339" w:bottom="1440" w:gutter="0" w:footer="0" w:header="0"/>
          <w:type w:val="continuous"/>
        </w:sectPr>
      </w:pPr>
    </w:p>
    <w:p>
      <w:pPr>
        <w:ind w:left="120" w:hanging="112"/>
        <w:spacing w:after="0"/>
        <w:tabs>
          <w:tab w:leader="none" w:pos="120" w:val="left"/>
        </w:tabs>
        <w:numPr>
          <w:ilvl w:val="0"/>
          <w:numId w:val="8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If left blank, will be issued in the name of the option holder.</w:t>
      </w:r>
    </w:p>
    <w:p>
      <w:pPr>
        <w:ind w:left="120" w:hanging="112"/>
        <w:spacing w:after="0" w:line="183" w:lineRule="auto"/>
        <w:tabs>
          <w:tab w:leader="none" w:pos="12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Cash may be in the form of cash, check, bank draft, electronic funds transfer or money order payment.</w:t>
      </w:r>
    </w:p>
    <w:p>
      <w:pPr>
        <w:spacing w:after="0" w:line="6" w:lineRule="exact"/>
        <w:rPr>
          <w:sz w:val="20"/>
          <w:szCs w:val="20"/>
          <w:color w:val="auto"/>
        </w:rPr>
      </w:pPr>
    </w:p>
    <w:p>
      <w:pPr>
        <w:ind w:left="120" w:right="20" w:hanging="112"/>
        <w:spacing w:after="0" w:line="189" w:lineRule="auto"/>
        <w:tabs>
          <w:tab w:leader="none" w:pos="120" w:val="left"/>
        </w:tabs>
        <w:numPr>
          <w:ilvl w:val="0"/>
          <w:numId w:val="8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152" w:name="page153"/>
    <w:bookmarkEnd w:id="152"/>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By this exercise, I agree (i) to provide such additional documents as you may require pursuant to the terms of the 2020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20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7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-139700</wp:posOffset>
            </wp:positionV>
            <wp:extent cx="24942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2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20"/>
          <w:szCs w:val="20"/>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-139700</wp:posOffset>
            </wp:positionV>
            <wp:extent cx="24942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322580</wp:posOffset>
            </wp:positionV>
            <wp:extent cx="24942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168275</wp:posOffset>
            </wp:positionV>
            <wp:extent cx="24942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13970</wp:posOffset>
            </wp:positionV>
            <wp:extent cx="24942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13970</wp:posOffset>
            </wp:positionV>
            <wp:extent cx="24942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GRANT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Outset Medical, Inc.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and/or restated as of the Date of Grant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Participant a restricted stock unit award relating to the number of restricted stock units set forth below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The Award is subject to all of the terms and conditions as set forth in this Restricted Stock Unit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in the Plan and the Award Agreement, all of which are attached to this Grant Notice and incorporated into this Grant Notice in their entirety. Capitalized terms not explicitly defined in this Grant Notice but defined in the Plan or the Award Agreement shall have the meanings set forth in the Plan or the Award Agreement, as applicable. If the Company uses an electronic capitalization table system (such as Carta or Shareworks) and the fields below are blank or the information is otherwise provided in a different format electronically, the blank fields and other information shall be deemed to come from the electronic capitalization system and is considered part of this Grant Notice.</w:t>
      </w:r>
    </w:p>
    <w:p>
      <w:pPr>
        <w:sectPr>
          <w:pgSz w:w="11900" w:h="16838" w:orient="portrait"/>
          <w:cols w:equalWidth="0" w:num="1">
            <w:col w:w="11240"/>
          </w:cols>
          <w:pgMar w:left="320" w:top="114" w:right="33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Grant: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Restricted Stock Units Subject to Award: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42945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42945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42945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-440690</wp:posOffset>
            </wp:positionV>
            <wp:extent cx="42945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-594995</wp:posOffset>
            </wp:positionV>
            <wp:extent cx="42945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4180" w:space="300"/>
            <w:col w:w="6760"/>
          </w:cols>
          <w:pgMar w:left="320" w:top="114" w:right="339" w:bottom="1440" w:gutter="0" w:footer="0" w:header="0"/>
          <w:type w:val="continuous"/>
        </w:sectPr>
      </w:pPr>
    </w:p>
    <w:p>
      <w:pPr>
        <w:spacing w:after="0" w:line="10" w:lineRule="exact"/>
        <w:rPr>
          <w:sz w:val="20"/>
          <w:szCs w:val="20"/>
          <w:color w:val="auto"/>
        </w:rPr>
      </w:pPr>
    </w:p>
    <w:p>
      <w:pPr>
        <w:jc w:val="both"/>
        <w:ind w:left="2160" w:hanging="2145"/>
        <w:spacing w:after="0" w:line="247" w:lineRule="auto"/>
        <w:tabs>
          <w:tab w:leader="none" w:pos="214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vesting.</w:t>
      </w:r>
      <w:r>
        <w:rPr>
          <w:rFonts w:ascii="Times New Roman" w:cs="Times New Roman" w:eastAsia="Times New Roman" w:hAnsi="Times New Roman"/>
          <w:sz w:val="20"/>
          <w:szCs w:val="20"/>
          <w:color w:val="auto"/>
        </w:rPr>
        <w:t xml:space="preserve"> 25% of the total number of restricted stock units subject to the Award (the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shall vest on the first anniversary of the Vesting Commencement Date, and thereafter 1/16 of such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restricted stock units shall vest on each February 15th, May 15th, August 15th and November 15th occurring after such first anniversary, subject to Participant’s Continuous Service through the applicable vesting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Participant’s signature below or by electronic acceptance or authentication in a form authorized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Participant understands and agrees that the Award is governed by this Restricted Stock Unit Award Grant Notice, and the provisions of the Plan and the Award Agreement, all of which are made a part of this document.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accepting this Award, Participant consents to receive this Grant Notice, the Award Agreement, the Plan, and any other Plan-related documents by electronic delivery and to participate in the Plan through an on-line or electronic system established and maintained by the Company or another third party designated by the Company. Participant represents that he or she has read and is familiar with the provisions of the Plan and the Award Agreement. Participant acknowledges and agrees that this Grant Notice and the Award Agreement may not be modified, amended or revised in a manner that materially impairs the rights of the Participant except in a writing signed by Participant and a duly authorized officer of the Company.</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Participant further acknowledges that in the event of any conflict between the provisions in this Grant Notice or the Award Agreement and the terms of the Plan, the terms of the Plan shall control. Participant further acknowledges that the Award Agreement sets forth the entire understanding between Participant and the Company regarding the acquisition of Common Stock and supersedes all prior oral and written agreements, promises and/or representations on that subject with the exception of other equity awards previously granted to Participant and any written employment agreement, offer letter,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4" w:name="page155"/>
    <w:bookmarkEnd w:id="15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agreement, written severance plan or policy, or other written agreement between the Company and Participant in each case that specifies the terms that should govern this Award.</w:t>
      </w:r>
    </w:p>
    <w:p>
      <w:pPr>
        <w:spacing w:after="0" w:line="1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Outset Medical, Inc.</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0" w:type="dxa"/>
            <w:vAlign w:val="bottom"/>
          </w:tcPr>
          <w:p>
            <w:pPr>
              <w:spacing w:after="0"/>
              <w:rPr>
                <w:sz w:val="22"/>
                <w:szCs w:val="22"/>
                <w:color w:val="auto"/>
              </w:rPr>
            </w:pPr>
          </w:p>
        </w:tc>
      </w:tr>
      <w:tr>
        <w:trPr>
          <w:trHeight w:val="683"/>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By:</w:t>
            </w:r>
          </w:p>
        </w:tc>
        <w:tc>
          <w:tcPr>
            <w:tcW w:w="2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5000" w:type="dxa"/>
            <w:vAlign w:val="bottom"/>
            <w:tcBorders>
              <w:top w:val="single" w:sz="8" w:color="auto"/>
            </w:tcBorders>
          </w:tcPr>
          <w:p>
            <w:pPr>
              <w:ind w:left="2060"/>
              <w:spacing w:after="0" w:line="200" w:lineRule="exact"/>
              <w:rPr>
                <w:sz w:val="20"/>
                <w:szCs w:val="20"/>
                <w:color w:val="auto"/>
              </w:rPr>
            </w:pPr>
            <w:r>
              <w:rPr>
                <w:rFonts w:ascii="Times New Roman" w:cs="Times New Roman" w:eastAsia="Times New Roman" w:hAnsi="Times New Roman"/>
                <w:sz w:val="20"/>
                <w:szCs w:val="20"/>
                <w:color w:val="auto"/>
              </w:rPr>
              <w:t>(Signature)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0" w:type="dxa"/>
            <w:vAlign w:val="bottom"/>
            <w:tcBorders>
              <w:top w:val="single" w:sz="8" w:color="auto"/>
            </w:tcBorders>
          </w:tcPr>
          <w:p>
            <w:pPr>
              <w:ind w:left="1860"/>
              <w:spacing w:after="0" w:line="200" w:lineRule="exact"/>
              <w:rPr>
                <w:sz w:val="20"/>
                <w:szCs w:val="20"/>
                <w:color w:val="auto"/>
              </w:rPr>
            </w:pPr>
            <w:r>
              <w:rPr>
                <w:rFonts w:ascii="Times New Roman" w:cs="Times New Roman" w:eastAsia="Times New Roman" w:hAnsi="Times New Roman"/>
                <w:sz w:val="20"/>
                <w:szCs w:val="20"/>
                <w:color w:val="auto"/>
              </w:rPr>
              <w:t>(Signature)</w:t>
            </w:r>
          </w:p>
        </w:tc>
        <w:tc>
          <w:tcPr>
            <w:tcW w:w="20" w:type="dxa"/>
            <w:vAlign w:val="bottom"/>
          </w:tcPr>
          <w:p>
            <w:pPr>
              <w:spacing w:after="0"/>
              <w:rPr>
                <w:sz w:val="17"/>
                <w:szCs w:val="17"/>
                <w:color w:val="auto"/>
              </w:rPr>
            </w:pPr>
          </w:p>
        </w:tc>
      </w:tr>
      <w:tr>
        <w:trPr>
          <w:trHeight w:val="252"/>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Email:</w:t>
            </w:r>
          </w:p>
        </w:tc>
        <w:tc>
          <w:tcPr>
            <w:tcW w:w="20" w:type="dxa"/>
            <w:vAlign w:val="bottom"/>
          </w:tcPr>
          <w:p>
            <w:pPr>
              <w:spacing w:after="0"/>
              <w:rPr>
                <w:sz w:val="21"/>
                <w:szCs w:val="21"/>
                <w:color w:val="auto"/>
              </w:rPr>
            </w:pPr>
          </w:p>
        </w:tc>
      </w:tr>
      <w:tr>
        <w:trPr>
          <w:trHeight w:val="223"/>
        </w:trPr>
        <w:tc>
          <w:tcPr>
            <w:tcW w:w="5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500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46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576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Award Agreement and 2020 Equity Incentive Plan</w:t>
            </w: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4"/>
        </w:trPr>
        <w:tc>
          <w:tcPr>
            <w:tcW w:w="5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521335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Pursuant to your Restricted Stock Unit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this Award Agreement, </w:t>
      </w:r>
      <w:r>
        <w:rPr>
          <w:rFonts w:ascii="Times New Roman" w:cs="Times New Roman" w:eastAsia="Times New Roman" w:hAnsi="Times New Roman"/>
          <w:sz w:val="20"/>
          <w:szCs w:val="20"/>
          <w:b w:val="1"/>
          <w:bCs w:val="1"/>
          <w:color w:val="auto"/>
        </w:rPr>
        <w:t>Outset Medical,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restricted stock unit award under its 2020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relating to the number of Restricted Stock Units specified in your Grant Notice. The Award is granted to you effective as of the date of grant set forth in the Grant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If there is any conflict between the terms in this Award Agreement and the Plan, the terms of the Plan will control. Capitalized terms not explicitly defined in this Award Agreement or in the Grant Notice but defined in the Plan will have the same definitions as in the Plan.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details of your Award, in addition to those set forth in the Grant Notice and the Plan, are as follows:</w:t>
      </w:r>
    </w:p>
    <w:p>
      <w:pPr>
        <w:spacing w:after="0" w:line="225" w:lineRule="exact"/>
        <w:rPr>
          <w:sz w:val="20"/>
          <w:szCs w:val="20"/>
          <w:color w:val="auto"/>
        </w:rPr>
      </w:pPr>
    </w:p>
    <w:p>
      <w:pPr>
        <w:ind w:firstLine="872"/>
        <w:spacing w:after="0" w:line="249" w:lineRule="auto"/>
        <w:tabs>
          <w:tab w:leader="none" w:pos="167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Your Award will vest as provided in your Grant Notice. Vesting will cease upon the termination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Service (as defined herein).</w:t>
      </w:r>
    </w:p>
    <w:p>
      <w:pPr>
        <w:spacing w:after="0" w:line="187" w:lineRule="exact"/>
        <w:rPr>
          <w:rFonts w:ascii="Times New Roman" w:cs="Times New Roman" w:eastAsia="Times New Roman" w:hAnsi="Times New Roman"/>
          <w:sz w:val="22"/>
          <w:szCs w:val="22"/>
          <w:b w:val="1"/>
          <w:bCs w:val="1"/>
          <w:color w:val="auto"/>
        </w:rPr>
      </w:pPr>
    </w:p>
    <w:p>
      <w:pPr>
        <w:ind w:firstLine="872"/>
        <w:spacing w:after="0" w:line="249" w:lineRule="auto"/>
        <w:tabs>
          <w:tab w:leader="none" w:pos="167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Number of Restricted Stock Units</w:t>
      </w:r>
      <w:r>
        <w:rPr>
          <w:rFonts w:ascii="Times New Roman" w:cs="Times New Roman" w:eastAsia="Times New Roman" w:hAnsi="Times New Roman"/>
          <w:sz w:val="20"/>
          <w:szCs w:val="20"/>
          <w:color w:val="auto"/>
        </w:rPr>
        <w:t>. The number of Restricted Stock Units subject to your Award will be adjusted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5.7 of the Plan for changes in the capitalization of the Company.</w:t>
      </w:r>
    </w:p>
    <w:p>
      <w:pPr>
        <w:spacing w:after="0" w:line="187" w:lineRule="exact"/>
        <w:rPr>
          <w:rFonts w:ascii="Times New Roman" w:cs="Times New Roman" w:eastAsia="Times New Roman" w:hAnsi="Times New Roman"/>
          <w:sz w:val="22"/>
          <w:szCs w:val="22"/>
          <w:b w:val="1"/>
          <w:bCs w:val="1"/>
          <w:color w:val="auto"/>
        </w:rPr>
      </w:pPr>
    </w:p>
    <w:p>
      <w:pPr>
        <w:jc w:val="both"/>
        <w:ind w:firstLine="872"/>
        <w:spacing w:after="0" w:line="241" w:lineRule="auto"/>
        <w:tabs>
          <w:tab w:leader="none" w:pos="167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purposes of this Award Agreement, “</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your service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provided, however,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96" w:lineRule="exact"/>
        <w:rPr>
          <w:rFonts w:ascii="Times New Roman" w:cs="Times New Roman" w:eastAsia="Times New Roman" w:hAnsi="Times New Roman"/>
          <w:sz w:val="22"/>
          <w:szCs w:val="22"/>
          <w:b w:val="1"/>
          <w:bCs w:val="1"/>
          <w:color w:val="auto"/>
        </w:rPr>
      </w:pPr>
    </w:p>
    <w:p>
      <w:pPr>
        <w:jc w:val="both"/>
        <w:ind w:firstLine="872"/>
        <w:spacing w:after="0" w:line="241" w:lineRule="auto"/>
        <w:tabs>
          <w:tab w:leader="none" w:pos="167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Securities Law Compliance</w:t>
      </w:r>
      <w:r>
        <w:rPr>
          <w:rFonts w:ascii="Times New Roman" w:cs="Times New Roman" w:eastAsia="Times New Roman" w:hAnsi="Times New Roman"/>
          <w:sz w:val="20"/>
          <w:szCs w:val="20"/>
          <w:color w:val="auto"/>
        </w:rPr>
        <w:t>. In no event shall the shares of Common Stock subject to the Award be issued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the Award unless such shares are then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if not registered, the Company has determined that the issuance of the shares would be exempt from the registration requirements of the Securities Act. The issuance of such shares also must comply with all other applicable laws and regulations governing your Award, and the shares subject to the Award shall not be issued if the Company determines that such issuance would not be in material compliance with such laws and regulations.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7" w:name="page158"/>
    <w:bookmarkEnd w:id="157"/>
    <w:p>
      <w:pPr>
        <w:ind w:firstLine="872"/>
        <w:spacing w:after="0" w:line="249" w:lineRule="auto"/>
        <w:tabs>
          <w:tab w:leader="none" w:pos="167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Non-Transferability</w:t>
      </w:r>
      <w:r>
        <w:rPr>
          <w:rFonts w:ascii="Times New Roman" w:cs="Times New Roman" w:eastAsia="Times New Roman" w:hAnsi="Times New Roman"/>
          <w:sz w:val="20"/>
          <w:szCs w:val="20"/>
          <w:color w:val="auto"/>
        </w:rPr>
        <w:t>. Except as otherwise provided in this Section 5, your Award is not transferable, except by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laws of descent and distribution.</w:t>
      </w:r>
    </w:p>
    <w:p>
      <w:pPr>
        <w:spacing w:after="0" w:line="187" w:lineRule="exact"/>
        <w:rPr>
          <w:rFonts w:ascii="Times New Roman" w:cs="Times New Roman" w:eastAsia="Times New Roman" w:hAnsi="Times New Roman"/>
          <w:sz w:val="22"/>
          <w:szCs w:val="22"/>
          <w:b w:val="1"/>
          <w:bCs w:val="1"/>
          <w:color w:val="auto"/>
        </w:rPr>
      </w:pPr>
    </w:p>
    <w:p>
      <w:pPr>
        <w:jc w:val="both"/>
        <w:ind w:firstLine="1735"/>
        <w:spacing w:after="0" w:line="242" w:lineRule="auto"/>
        <w:tabs>
          <w:tab w:leader="none" w:pos="2627"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Certain Trusts</w:t>
      </w:r>
      <w:r>
        <w:rPr>
          <w:rFonts w:ascii="Times New Roman" w:cs="Times New Roman" w:eastAsia="Times New Roman" w:hAnsi="Times New Roman"/>
          <w:sz w:val="20"/>
          <w:szCs w:val="20"/>
          <w:color w:val="auto"/>
        </w:rPr>
        <w:t>. Upon receiving written permission from the Board or its duly authorized designee,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transfer your Award to a trust if you are considered to be the sole beneficial owner (determined under Section 671 of the Code and applicable state law) while the Award is held in the trust. You and the trustee must enter into transfer and other agreements required by the Company.</w:t>
      </w:r>
    </w:p>
    <w:p>
      <w:pPr>
        <w:spacing w:after="0" w:line="196" w:lineRule="exact"/>
        <w:rPr>
          <w:rFonts w:ascii="Times New Roman" w:cs="Times New Roman" w:eastAsia="Times New Roman" w:hAnsi="Times New Roman"/>
          <w:sz w:val="22"/>
          <w:szCs w:val="22"/>
          <w:b w:val="1"/>
          <w:bCs w:val="1"/>
          <w:color w:val="auto"/>
        </w:rPr>
      </w:pPr>
    </w:p>
    <w:p>
      <w:pPr>
        <w:jc w:val="both"/>
        <w:ind w:firstLine="1735"/>
        <w:spacing w:after="0" w:line="241" w:lineRule="auto"/>
        <w:tabs>
          <w:tab w:leader="none" w:pos="2639"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Domestic Relations Orders</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and provided that you and the designated transferee enter into transfer and other agreements required by the Company, you may transfer your Award pursuant to the terms of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97" w:lineRule="exact"/>
        <w:rPr>
          <w:rFonts w:ascii="Times New Roman" w:cs="Times New Roman" w:eastAsia="Times New Roman" w:hAnsi="Times New Roman"/>
          <w:sz w:val="22"/>
          <w:szCs w:val="22"/>
          <w:b w:val="1"/>
          <w:bCs w:val="1"/>
          <w:color w:val="auto"/>
        </w:rPr>
      </w:pPr>
    </w:p>
    <w:p>
      <w:pPr>
        <w:jc w:val="both"/>
        <w:ind w:firstLine="1735"/>
        <w:spacing w:after="0" w:line="241" w:lineRule="auto"/>
        <w:tabs>
          <w:tab w:leader="none" w:pos="2615"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Beneficiary Designation</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you may, by delivering written notice to the Company, in a form approved by the Company, designate a third party who, on your death, will thereafter be entitled to receive the Common Stock or other consideration resulting from the vesting of the Award. In the absence of such a designation, your executor or administrator of your estate will be entitled to receive, on behalf of your estate, the Common Stock or other consideration resulting from the vesting of the Award.</w:t>
      </w:r>
    </w:p>
    <w:p>
      <w:pPr>
        <w:spacing w:after="0" w:line="199" w:lineRule="exact"/>
        <w:rPr>
          <w:rFonts w:ascii="Times New Roman" w:cs="Times New Roman" w:eastAsia="Times New Roman" w:hAnsi="Times New Roman"/>
          <w:sz w:val="22"/>
          <w:szCs w:val="22"/>
          <w:b w:val="1"/>
          <w:bCs w:val="1"/>
          <w:color w:val="auto"/>
        </w:rPr>
      </w:pPr>
    </w:p>
    <w:p>
      <w:pPr>
        <w:jc w:val="both"/>
        <w:ind w:firstLine="872"/>
        <w:spacing w:after="0" w:line="241" w:lineRule="auto"/>
        <w:tabs>
          <w:tab w:leader="none" w:pos="167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Issuance or Delivery of Shares. </w:t>
      </w:r>
      <w:r>
        <w:rPr>
          <w:rFonts w:ascii="Times New Roman" w:cs="Times New Roman" w:eastAsia="Times New Roman" w:hAnsi="Times New Roman"/>
          <w:sz w:val="20"/>
          <w:szCs w:val="20"/>
          <w:color w:val="auto"/>
        </w:rPr>
        <w:t>As soon as practicable, and not more than 30 days, after the date any Restricted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Units subject to the Award become vested, in whole or in part, the Company shall issue or deliver to you, subject to the conditions of this Award Agreement, a number of shares of Common Stock equal to the number of Restricted Stock Units that have become vested.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Section 9.</w:t>
      </w:r>
    </w:p>
    <w:p>
      <w:pPr>
        <w:spacing w:after="0" w:line="197" w:lineRule="exact"/>
        <w:rPr>
          <w:rFonts w:ascii="Times New Roman" w:cs="Times New Roman" w:eastAsia="Times New Roman" w:hAnsi="Times New Roman"/>
          <w:sz w:val="22"/>
          <w:szCs w:val="22"/>
          <w:b w:val="1"/>
          <w:bCs w:val="1"/>
          <w:color w:val="auto"/>
        </w:rPr>
      </w:pPr>
    </w:p>
    <w:p>
      <w:pPr>
        <w:jc w:val="both"/>
        <w:ind w:firstLine="872"/>
        <w:spacing w:after="0" w:line="242" w:lineRule="auto"/>
        <w:tabs>
          <w:tab w:leader="none" w:pos="167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Award Confers No Rights as Stockholder</w:t>
      </w:r>
      <w:r>
        <w:rPr>
          <w:rFonts w:ascii="Times New Roman" w:cs="Times New Roman" w:eastAsia="Times New Roman" w:hAnsi="Times New Roman"/>
          <w:sz w:val="20"/>
          <w:szCs w:val="20"/>
          <w:color w:val="auto"/>
        </w:rPr>
        <w:t>. You shall not be entitled to any privileges of ownership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subject to the Award unless and until such shares are issued following the vesting of the Award, in whole or in part, and you become a stockholder of record with respect to such issued shares. You shall not be considered a stockholder of the Company with respect to any such shares not so issued.</w:t>
      </w:r>
    </w:p>
    <w:p>
      <w:pPr>
        <w:spacing w:after="0" w:line="196" w:lineRule="exact"/>
        <w:rPr>
          <w:rFonts w:ascii="Times New Roman" w:cs="Times New Roman" w:eastAsia="Times New Roman" w:hAnsi="Times New Roman"/>
          <w:sz w:val="22"/>
          <w:szCs w:val="22"/>
          <w:b w:val="1"/>
          <w:bCs w:val="1"/>
          <w:color w:val="auto"/>
        </w:rPr>
      </w:pPr>
    </w:p>
    <w:p>
      <w:pPr>
        <w:jc w:val="both"/>
        <w:ind w:firstLine="872"/>
        <w:spacing w:after="0" w:line="241" w:lineRule="auto"/>
        <w:tabs>
          <w:tab w:leader="none" w:pos="167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Award not a Service Contract</w:t>
      </w:r>
      <w:r>
        <w:rPr>
          <w:rFonts w:ascii="Times New Roman" w:cs="Times New Roman" w:eastAsia="Times New Roman" w:hAnsi="Times New Roman"/>
          <w:sz w:val="20"/>
          <w:szCs w:val="20"/>
          <w:color w:val="auto"/>
        </w:rPr>
        <w:t>. Your Award is not an employment or service contract, and nothing in your Award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to create in any way whatsoever any obligation on your part to continue in the employ or service of the Company or an affiliate, or of the Company or an affiliate to continue your employment or service. In addition, nothing in your Award will obligate the Company or an affiliate, their respective stockholders, boards of directors, officers or employees to continue any relationship that you might have as a director or consultant for the Company or an affiliate.</w:t>
      </w:r>
    </w:p>
    <w:p>
      <w:pPr>
        <w:spacing w:after="0" w:line="199" w:lineRule="exact"/>
        <w:rPr>
          <w:rFonts w:ascii="Times New Roman" w:cs="Times New Roman" w:eastAsia="Times New Roman" w:hAnsi="Times New Roman"/>
          <w:sz w:val="22"/>
          <w:szCs w:val="22"/>
          <w:b w:val="1"/>
          <w:bCs w:val="1"/>
          <w:color w:val="auto"/>
        </w:rPr>
      </w:pPr>
    </w:p>
    <w:p>
      <w:pPr>
        <w:ind w:left="1680" w:hanging="808"/>
        <w:spacing w:after="0"/>
        <w:tabs>
          <w:tab w:leader="none" w:pos="16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Withholding Obligations</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735"/>
        <w:spacing w:after="0" w:line="242" w:lineRule="auto"/>
        <w:tabs>
          <w:tab w:leader="none" w:pos="2627"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As a condition precedent to the issuance of Common Stock following the vesting of the Award, you shall, upon request by the Company, pay to the Company such amount as the Company determines is required, under all applicable federal, state, local or other laws or regulations, to be withheld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58" w:name="page159"/>
    <w:bookmarkEnd w:id="158"/>
    <w:p>
      <w:pPr>
        <w:jc w:val="both"/>
        <w:spacing w:after="0" w:line="256" w:lineRule="auto"/>
        <w:rPr>
          <w:sz w:val="20"/>
          <w:szCs w:val="20"/>
          <w:color w:val="auto"/>
        </w:rPr>
      </w:pPr>
      <w:r>
        <w:rPr>
          <w:rFonts w:ascii="Times New Roman" w:cs="Times New Roman" w:eastAsia="Times New Roman" w:hAnsi="Times New Roman"/>
          <w:sz w:val="20"/>
          <w:szCs w:val="20"/>
          <w:color w:val="auto"/>
        </w:rPr>
        <w:t>and paid over as income or other withholding taxes (the “</w:t>
      </w:r>
      <w:r>
        <w:rPr>
          <w:rFonts w:ascii="Times New Roman" w:cs="Times New Roman" w:eastAsia="Times New Roman" w:hAnsi="Times New Roman"/>
          <w:sz w:val="20"/>
          <w:szCs w:val="20"/>
          <w:b w:val="1"/>
          <w:bCs w:val="1"/>
          <w:i w:val="1"/>
          <w:iCs w:val="1"/>
          <w:color w:val="auto"/>
        </w:rPr>
        <w:t>Required Tax Payments</w:t>
      </w:r>
      <w:r>
        <w:rPr>
          <w:rFonts w:ascii="Times New Roman" w:cs="Times New Roman" w:eastAsia="Times New Roman" w:hAnsi="Times New Roman"/>
          <w:sz w:val="20"/>
          <w:szCs w:val="20"/>
          <w:color w:val="auto"/>
        </w:rPr>
        <w:t>”) with respect to vesting of the Award. If you shall fail to advance the Required Tax Payments after request by the Company, the Company may, in its discretion, deduct any Required Tax Payments from any amount then or thereafter payable by the Company to you.</w:t>
      </w:r>
    </w:p>
    <w:p>
      <w:pPr>
        <w:spacing w:after="0" w:line="186" w:lineRule="exact"/>
        <w:rPr>
          <w:sz w:val="20"/>
          <w:szCs w:val="20"/>
          <w:color w:val="auto"/>
        </w:rPr>
      </w:pPr>
    </w:p>
    <w:p>
      <w:pPr>
        <w:jc w:val="both"/>
        <w:ind w:firstLine="1735"/>
        <w:spacing w:after="0" w:line="239" w:lineRule="auto"/>
        <w:tabs>
          <w:tab w:leader="none" w:pos="2639" w:val="left"/>
        </w:tabs>
        <w:numPr>
          <w:ilvl w:val="1"/>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may elect to satisfy your obligation to advance the Required Tax Payments by any of the following means: (i) a cash payment to the Company; (ii) to the extent permitted by the Company,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Times New Roman" w:cs="Times New Roman" w:eastAsia="Times New Roman" w:hAnsi="Times New Roman"/>
          <w:sz w:val="20"/>
          <w:szCs w:val="20"/>
          <w:b w:val="1"/>
          <w:bCs w:val="1"/>
          <w:i w:val="1"/>
          <w:iCs w:val="1"/>
          <w:color w:val="auto"/>
        </w:rPr>
        <w:t>Tax Date</w:t>
      </w:r>
      <w:r>
        <w:rPr>
          <w:rFonts w:ascii="Times New Roman" w:cs="Times New Roman" w:eastAsia="Times New Roman" w:hAnsi="Times New Roman"/>
          <w:sz w:val="20"/>
          <w:szCs w:val="20"/>
          <w:color w:val="auto"/>
        </w:rPr>
        <w:t>”), equal to the Required Tax Payments; (iii) to the extent permitted by the Company, authorizing the Company to withhold whole shares of Common Stock which would otherwise be delivered to you upon the vesting of the Award having an aggregate Fair Market Value, determined as of the Tax Date, equal to the Required Tax Payments; (iv) arranging for a Company-designated broker to sell on the market a portion of the otherwise issuable vested shares of Common Stock that have an aggregate market value sufficient to pay the Required Tax Payments on your behalf and at your direction pursuant to this authorization, or (v) any combination of (i), (ii) and (iii). Notwithstanding the foregoing, if you are subject to Section 16 of the Exchange Act, the Required Tax Payments shall be satisfied pursuant to clause (iv) above unless the Committee determines otherwise.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or certificate representing a share of Common Stock shall be issued or delivered until the Required Tax Payments have been satisfied in full.</w:t>
      </w:r>
    </w:p>
    <w:p>
      <w:pPr>
        <w:spacing w:after="0" w:line="209" w:lineRule="exact"/>
        <w:rPr>
          <w:rFonts w:ascii="Times New Roman" w:cs="Times New Roman" w:eastAsia="Times New Roman" w:hAnsi="Times New Roman"/>
          <w:sz w:val="22"/>
          <w:szCs w:val="22"/>
          <w:b w:val="1"/>
          <w:bCs w:val="1"/>
          <w:color w:val="auto"/>
        </w:rPr>
      </w:pPr>
    </w:p>
    <w:p>
      <w:pPr>
        <w:jc w:val="both"/>
        <w:ind w:firstLine="872"/>
        <w:spacing w:after="0" w:line="244" w:lineRule="auto"/>
        <w:tabs>
          <w:tab w:leader="none" w:pos="1782"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You hereby agree that the Company does not have a duty to design or administer the Plan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programs in a manner that minimizes your tax liabilities. You will not make any claim against the Company, or any of its officers, directors, employees, affiliates or representatives related to tax liabilities arising from your Award or your other compensation.</w:t>
      </w:r>
    </w:p>
    <w:p>
      <w:pPr>
        <w:spacing w:after="0" w:line="193" w:lineRule="exact"/>
        <w:rPr>
          <w:rFonts w:ascii="Times New Roman" w:cs="Times New Roman" w:eastAsia="Times New Roman" w:hAnsi="Times New Roman"/>
          <w:sz w:val="22"/>
          <w:szCs w:val="22"/>
          <w:b w:val="1"/>
          <w:bCs w:val="1"/>
          <w:color w:val="auto"/>
        </w:rPr>
      </w:pPr>
    </w:p>
    <w:p>
      <w:pPr>
        <w:jc w:val="both"/>
        <w:ind w:firstLine="872"/>
        <w:spacing w:after="0" w:line="241" w:lineRule="auto"/>
        <w:tabs>
          <w:tab w:leader="none" w:pos="177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notices provided for in your Award or the Plan will be given in writing (including electronically)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96" w:lineRule="exact"/>
        <w:rPr>
          <w:rFonts w:ascii="Times New Roman" w:cs="Times New Roman" w:eastAsia="Times New Roman" w:hAnsi="Times New Roman"/>
          <w:sz w:val="22"/>
          <w:szCs w:val="22"/>
          <w:b w:val="1"/>
          <w:bCs w:val="1"/>
          <w:color w:val="auto"/>
        </w:rPr>
      </w:pPr>
    </w:p>
    <w:p>
      <w:pPr>
        <w:jc w:val="both"/>
        <w:ind w:firstLine="872"/>
        <w:spacing w:after="0" w:line="244" w:lineRule="auto"/>
        <w:tabs>
          <w:tab w:leader="none" w:pos="1782"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Decisions of Board or Committee</w:t>
      </w:r>
      <w:r>
        <w:rPr>
          <w:rFonts w:ascii="Times New Roman" w:cs="Times New Roman" w:eastAsia="Times New Roman" w:hAnsi="Times New Roman"/>
          <w:sz w:val="20"/>
          <w:szCs w:val="20"/>
          <w:color w:val="auto"/>
        </w:rPr>
        <w:t>. The Board or the Committee shall have the right to resolve all questions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arise in connection with the Award. Any interpretation, determination or other action made or taken by the Board or the Committee regarding the Plan or this Award Agreement shall be final, binding and conclusive.</w:t>
      </w:r>
    </w:p>
    <w:p>
      <w:pPr>
        <w:spacing w:after="0" w:line="193" w:lineRule="exact"/>
        <w:rPr>
          <w:rFonts w:ascii="Times New Roman" w:cs="Times New Roman" w:eastAsia="Times New Roman" w:hAnsi="Times New Roman"/>
          <w:sz w:val="22"/>
          <w:szCs w:val="22"/>
          <w:b w:val="1"/>
          <w:bCs w:val="1"/>
          <w:color w:val="auto"/>
        </w:rPr>
      </w:pPr>
    </w:p>
    <w:p>
      <w:pPr>
        <w:jc w:val="both"/>
        <w:ind w:firstLine="872"/>
        <w:spacing w:after="0" w:line="244" w:lineRule="auto"/>
        <w:tabs>
          <w:tab w:leader="none" w:pos="1782"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Award Agreement shall be binding upon and inure to the benefit of any successor or successors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any person or persons who shall, upon your death, acquire any rights hereunder in accordance with this Award Agreement or the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9" w:name="page160"/>
    <w:bookmarkEnd w:id="159"/>
    <w:p>
      <w:pPr>
        <w:jc w:val="both"/>
        <w:ind w:firstLine="872"/>
        <w:spacing w:after="0"/>
        <w:tabs>
          <w:tab w:leader="none" w:pos="178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Protected Rights</w:t>
      </w:r>
      <w:r>
        <w:rPr>
          <w:rFonts w:ascii="Times New Roman" w:cs="Times New Roman" w:eastAsia="Times New Roman" w:hAnsi="Times New Roman"/>
          <w:sz w:val="20"/>
          <w:szCs w:val="20"/>
          <w:color w:val="auto"/>
        </w:rPr>
        <w:t>. Pursuant to 18 U.S.C. § 1833(b), “an individual shall not be held criminally or civilly liable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 Federal, State, and local government officials, or to an attorney, for the sole purpose of reporting or investigating a suspected violation of law. You also have the right to disclose trade secrets in a document filed in a lawsuit or other proceeding, but only if the filing is made under seal and protected from public disclosure. Nothing in this Award Agreement is intended to conflict with 18 U.S.C. § 1833(b) or create liability for disclosures of trade secrets that are expressly allowed by 18 U.S.C. § 1833(b). You understand that nothing contained in this Award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b w:val="1"/>
          <w:bCs w:val="1"/>
          <w:i w:val="1"/>
          <w:iCs w:val="1"/>
          <w:color w:val="auto"/>
        </w:rPr>
        <w:t>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Agencies</w:t>
      </w:r>
      <w:r>
        <w:rPr>
          <w:rFonts w:ascii="Times New Roman" w:cs="Times New Roman" w:eastAsia="Times New Roman" w:hAnsi="Times New Roman"/>
          <w:sz w:val="20"/>
          <w:szCs w:val="20"/>
          <w:color w:val="auto"/>
        </w:rPr>
        <w:t>”). You further understand that this Award Agreement does not limit your ability to communicate with any Government Agencies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otherwise participate in any investigation or proceeding that may be conducted by any Government Agency, including providing documents or other information, without notice to the Company. This Award Agreement does not limit your right to receive an award for information provided to any Government Agencies.</w:t>
      </w:r>
    </w:p>
    <w:p>
      <w:pPr>
        <w:spacing w:after="0" w:line="199" w:lineRule="exact"/>
        <w:rPr>
          <w:rFonts w:ascii="Times New Roman" w:cs="Times New Roman" w:eastAsia="Times New Roman" w:hAnsi="Times New Roman"/>
          <w:sz w:val="22"/>
          <w:szCs w:val="22"/>
          <w:b w:val="1"/>
          <w:bCs w:val="1"/>
          <w:color w:val="auto"/>
        </w:rPr>
      </w:pPr>
    </w:p>
    <w:p>
      <w:pPr>
        <w:jc w:val="both"/>
        <w:ind w:firstLine="872"/>
        <w:spacing w:after="0" w:line="242" w:lineRule="auto"/>
        <w:tabs>
          <w:tab w:leader="none" w:pos="178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Governing Plan Document</w:t>
      </w:r>
      <w:r>
        <w:rPr>
          <w:rFonts w:ascii="Times New Roman" w:cs="Times New Roman" w:eastAsia="Times New Roman" w:hAnsi="Times New Roman"/>
          <w:sz w:val="20"/>
          <w:szCs w:val="20"/>
          <w:color w:val="auto"/>
        </w:rPr>
        <w:t>. Your Award is subject to all the provisions of the Plan, the provisions of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ectPr>
          <w:pgSz w:w="11900" w:h="16838" w:orient="portrait"/>
          <w:cols w:equalWidth="0" w:num="1">
            <w:col w:w="9019"/>
          </w:cols>
          <w:pgMar w:left="1440" w:top="558"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AWARD GRANT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Outset Medical, Inc.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and/or restated as of the Date of Grant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Participant a restricted stock award relating to the number of restricted shares of Common Stock set forth below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The Award is subject to all of the terms and conditions as set forth in this Restricted Stock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in the Plan and the Award Agreement, all of which are attached to this Grant Notice and incorporated into this Grant Notice in their entirety. Capitalized terms not explicitly defined in this Grant Notice but defined in the Plan or the Award Agreement shall have the meanings set forth in the Plan or the Award Agreement, as applicable. If the Company uses an electronic capitalization table system (such as Carta or Shareworks) and the fields below are blank or the information is otherwise provided in a different format electronically, the blank fields and other information shall be deemed to come from the electronic capitalization system and is considered part of this Grant Notice.</w:t>
      </w:r>
    </w:p>
    <w:p>
      <w:pPr>
        <w:sectPr>
          <w:pgSz w:w="11900" w:h="16838" w:orient="portrait"/>
          <w:cols w:equalWidth="0" w:num="1">
            <w:col w:w="11240"/>
          </w:cols>
          <w:pgMar w:left="320" w:top="114" w:right="339" w:bottom="1440" w:gutter="0" w:footer="0" w:header="0"/>
        </w:sectPr>
      </w:pP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Participant:</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 of Grant:</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Number of Shares Subject to Award:</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Restricted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40805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-132080</wp:posOffset>
            </wp:positionV>
            <wp:extent cx="40805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-286385</wp:posOffset>
            </wp:positionV>
            <wp:extent cx="40805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-440690</wp:posOffset>
            </wp:positionV>
            <wp:extent cx="40805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-594995</wp:posOffset>
            </wp:positionV>
            <wp:extent cx="40805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3820" w:space="720"/>
            <w:col w:w="6700"/>
          </w:cols>
          <w:pgMar w:left="320" w:top="114" w:right="339" w:bottom="1440" w:gutter="0" w:footer="0" w:header="0"/>
          <w:type w:val="continuous"/>
        </w:sectPr>
      </w:pPr>
    </w:p>
    <w:p>
      <w:pPr>
        <w:spacing w:after="0" w:line="10" w:lineRule="exact"/>
        <w:rPr>
          <w:sz w:val="20"/>
          <w:szCs w:val="20"/>
          <w:color w:val="auto"/>
        </w:rPr>
      </w:pPr>
    </w:p>
    <w:p>
      <w:pPr>
        <w:jc w:val="both"/>
        <w:ind w:left="2160" w:hanging="2145"/>
        <w:spacing w:after="0" w:line="250" w:lineRule="auto"/>
        <w:tabs>
          <w:tab w:leader="none" w:pos="214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vesting.</w:t>
      </w:r>
      <w:r>
        <w:rPr>
          <w:rFonts w:ascii="Times New Roman" w:cs="Times New Roman" w:eastAsia="Times New Roman" w:hAnsi="Times New Roman"/>
          <w:sz w:val="20"/>
          <w:szCs w:val="20"/>
          <w:color w:val="auto"/>
        </w:rPr>
        <w:t xml:space="preserve"> 25% of the total number of restricted shares of Common Stock subject to the Award shall vest on the first anniversary of the Vesting Commencement Date, and thereafter 1/16 of such total number of shares of Common Stock shall vest on each February 15th, May 15th, August 15th and November 15th occurring after such first anniversary, subject to Participant’s Continuous Service through the applicable vesting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Participant’s signature below or by electronic acceptance or authentication in a form authorized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Participant understands and agrees that the Award is governed by this Restricted Stock Award Grant Notice, and the provisions of the Plan and the Award Agreement, all of which are made a part of this document.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accepting this Award, Participant consents to receive this Grant Notice, the Award Agreement, the Plan, and any other Plan-related documents by electronic delivery and to participate in the Plan through an on-line or electronic system established and maintained by the Company or another third party designated by the Company. Participant represents that he or she has read and is familiar with the provisions of the Plan and the Award Agreement. Participant acknowledges and agrees that this Grant Notice and the Award Agreement may not be modified, amended or revised in a manner that materially impairs the rights of the Participant except in a writing signed by Participant and a duly authorized officer of the Company.</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Participant further acknowledges that in the event of any conflict between the provisions in this Grant Notice or the Award Agreement and the terms of the Plan, the terms of the Plan shall control. Participant further acknowledges that the Award Agreement sets forth the entire understanding between Participant and the Company regarding the acquisition of Common Stock and supersedes all prior oral and written agreements, promises and/or representations on that subject with the exception of other equity awards previously granted to Participant and any written employment agreement, offer letter,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2" w:name="page163"/>
    <w:bookmarkEnd w:id="16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agreement, written severance plan or policy, or other written agreement between the Company and Participant in each case that specifies the terms that should govern this Award.</w:t>
      </w:r>
    </w:p>
    <w:p>
      <w:pPr>
        <w:spacing w:after="0" w:line="1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Outset Medical, Inc.</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0" w:type="dxa"/>
            <w:vAlign w:val="bottom"/>
          </w:tcPr>
          <w:p>
            <w:pPr>
              <w:spacing w:after="0"/>
              <w:rPr>
                <w:sz w:val="22"/>
                <w:szCs w:val="22"/>
                <w:color w:val="auto"/>
              </w:rPr>
            </w:pPr>
          </w:p>
        </w:tc>
      </w:tr>
      <w:tr>
        <w:trPr>
          <w:trHeight w:val="683"/>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By:</w:t>
            </w:r>
          </w:p>
        </w:tc>
        <w:tc>
          <w:tcPr>
            <w:tcW w:w="2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5000" w:type="dxa"/>
            <w:vAlign w:val="bottom"/>
            <w:tcBorders>
              <w:top w:val="single" w:sz="8" w:color="auto"/>
            </w:tcBorders>
          </w:tcPr>
          <w:p>
            <w:pPr>
              <w:ind w:left="2060"/>
              <w:spacing w:after="0" w:line="200" w:lineRule="exact"/>
              <w:rPr>
                <w:sz w:val="20"/>
                <w:szCs w:val="20"/>
                <w:color w:val="auto"/>
              </w:rPr>
            </w:pPr>
            <w:r>
              <w:rPr>
                <w:rFonts w:ascii="Times New Roman" w:cs="Times New Roman" w:eastAsia="Times New Roman" w:hAnsi="Times New Roman"/>
                <w:sz w:val="20"/>
                <w:szCs w:val="20"/>
                <w:color w:val="auto"/>
              </w:rPr>
              <w:t>(Signature)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0" w:type="dxa"/>
            <w:vAlign w:val="bottom"/>
            <w:tcBorders>
              <w:top w:val="single" w:sz="8" w:color="auto"/>
            </w:tcBorders>
          </w:tcPr>
          <w:p>
            <w:pPr>
              <w:ind w:left="1860"/>
              <w:spacing w:after="0" w:line="200" w:lineRule="exact"/>
              <w:rPr>
                <w:sz w:val="20"/>
                <w:szCs w:val="20"/>
                <w:color w:val="auto"/>
              </w:rPr>
            </w:pPr>
            <w:r>
              <w:rPr>
                <w:rFonts w:ascii="Times New Roman" w:cs="Times New Roman" w:eastAsia="Times New Roman" w:hAnsi="Times New Roman"/>
                <w:sz w:val="20"/>
                <w:szCs w:val="20"/>
                <w:color w:val="auto"/>
              </w:rPr>
              <w:t>(Signature)</w:t>
            </w:r>
          </w:p>
        </w:tc>
        <w:tc>
          <w:tcPr>
            <w:tcW w:w="20" w:type="dxa"/>
            <w:vAlign w:val="bottom"/>
          </w:tcPr>
          <w:p>
            <w:pPr>
              <w:spacing w:after="0"/>
              <w:rPr>
                <w:sz w:val="17"/>
                <w:szCs w:val="17"/>
                <w:color w:val="auto"/>
              </w:rPr>
            </w:pPr>
          </w:p>
        </w:tc>
      </w:tr>
      <w:tr>
        <w:trPr>
          <w:trHeight w:val="252"/>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Email:</w:t>
            </w:r>
          </w:p>
        </w:tc>
        <w:tc>
          <w:tcPr>
            <w:tcW w:w="20" w:type="dxa"/>
            <w:vAlign w:val="bottom"/>
          </w:tcPr>
          <w:p>
            <w:pPr>
              <w:spacing w:after="0"/>
              <w:rPr>
                <w:sz w:val="21"/>
                <w:szCs w:val="21"/>
                <w:color w:val="auto"/>
              </w:rPr>
            </w:pPr>
          </w:p>
        </w:tc>
      </w:tr>
      <w:tr>
        <w:trPr>
          <w:trHeight w:val="223"/>
        </w:trPr>
        <w:tc>
          <w:tcPr>
            <w:tcW w:w="5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500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Date:</w:t>
            </w:r>
          </w:p>
        </w:tc>
        <w:tc>
          <w:tcPr>
            <w:tcW w:w="46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576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Award Agreement and 2020 Equity Incentive Plan</w:t>
            </w: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0"/>
        </w:trPr>
        <w:tc>
          <w:tcPr>
            <w:tcW w:w="5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658495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Pursuant to your Restricted Stock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this Award Agreement, </w:t>
      </w:r>
      <w:r>
        <w:rPr>
          <w:rFonts w:ascii="Times New Roman" w:cs="Times New Roman" w:eastAsia="Times New Roman" w:hAnsi="Times New Roman"/>
          <w:sz w:val="20"/>
          <w:szCs w:val="20"/>
          <w:b w:val="1"/>
          <w:bCs w:val="1"/>
          <w:color w:val="auto"/>
        </w:rPr>
        <w:t>Outset Medical,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restricted stock award under its 2020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relating to the number of Restricted Shares of Common Stock specified in your Grant Notice. The Award is granted to you effective as of the date of grant set forth in the Grant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If there is any conflict between the terms in this Award Agreement and the Plan, the terms of the Plan will control. Capitalized terms not explicitly defined in this Award Agreement or in the Grant Notice but defined in the Plan will have the same definitions as in the Plan.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details of your Award, in addition to those set forth in the Grant Notice and the Plan, are as follows:</w:t>
      </w:r>
    </w:p>
    <w:p>
      <w:pPr>
        <w:spacing w:after="0" w:line="212" w:lineRule="exact"/>
        <w:rPr>
          <w:sz w:val="20"/>
          <w:szCs w:val="20"/>
          <w:color w:val="auto"/>
        </w:rPr>
      </w:pPr>
    </w:p>
    <w:p>
      <w:pPr>
        <w:jc w:val="both"/>
        <w:ind w:firstLine="1735"/>
        <w:spacing w:after="0" w:line="244" w:lineRule="auto"/>
        <w:tabs>
          <w:tab w:leader="none" w:pos="252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Subject to Acceptance of Agreement</w:t>
      </w:r>
      <w:r>
        <w:rPr>
          <w:rFonts w:ascii="Times New Roman" w:cs="Times New Roman" w:eastAsia="Times New Roman" w:hAnsi="Times New Roman"/>
          <w:sz w:val="20"/>
          <w:szCs w:val="20"/>
          <w:color w:val="auto"/>
        </w:rPr>
        <w:t>. The Award shall be null and void unless you (a) accept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by executing the Grant Notice and return an original execution copy of the Award Notice to the Company (or electronically accept this Agreement within your stock plan account with the Company’s stock plan administrator according to the procedures then in effect) and (b) if requested by the Company, execute and return one or more irrevocable stock powers to facilitate the transfer to the Company (or its assignee or nominee) of all or a portion of the shares subject to the Award, if shares are forfeited pursuant to Section 2 hereof or if required under applicable laws or regulations. As soon as practicable after you have accepted this Agreement and executed such stock power or powers and returned the same to the Company, the Company shall cause to be issued in your name the number of Restricted Shares subject to the Award.</w:t>
      </w:r>
    </w:p>
    <w:p>
      <w:pPr>
        <w:spacing w:after="0" w:line="181" w:lineRule="exact"/>
        <w:rPr>
          <w:rFonts w:ascii="Times New Roman" w:cs="Times New Roman" w:eastAsia="Times New Roman" w:hAnsi="Times New Roman"/>
          <w:sz w:val="20"/>
          <w:szCs w:val="20"/>
          <w:b w:val="1"/>
          <w:bCs w:val="1"/>
          <w:color w:val="auto"/>
        </w:rPr>
      </w:pPr>
    </w:p>
    <w:p>
      <w:pPr>
        <w:ind w:firstLine="1735"/>
        <w:spacing w:after="0" w:line="273" w:lineRule="auto"/>
        <w:tabs>
          <w:tab w:leader="none" w:pos="252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Your Award will vest as provided in your Grant Notice. Vesting will cease and any unvested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Shares will be forfeited upon the termination of your Continuous Service (as defined herein).</w:t>
      </w:r>
    </w:p>
    <w:p>
      <w:pPr>
        <w:spacing w:after="0" w:line="151" w:lineRule="exact"/>
        <w:rPr>
          <w:rFonts w:ascii="Times New Roman" w:cs="Times New Roman" w:eastAsia="Times New Roman" w:hAnsi="Times New Roman"/>
          <w:sz w:val="20"/>
          <w:szCs w:val="20"/>
          <w:b w:val="1"/>
          <w:bCs w:val="1"/>
          <w:color w:val="auto"/>
        </w:rPr>
      </w:pPr>
    </w:p>
    <w:p>
      <w:pPr>
        <w:ind w:firstLine="1735"/>
        <w:spacing w:after="0" w:line="273" w:lineRule="auto"/>
        <w:tabs>
          <w:tab w:leader="none" w:pos="252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Restricted Shares</w:t>
      </w:r>
      <w:r>
        <w:rPr>
          <w:rFonts w:ascii="Times New Roman" w:cs="Times New Roman" w:eastAsia="Times New Roman" w:hAnsi="Times New Roman"/>
          <w:sz w:val="20"/>
          <w:szCs w:val="20"/>
          <w:color w:val="auto"/>
        </w:rPr>
        <w:t>. The number of Restricted Shares subject to your Award will be adjusted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5.7 of the Plan for changes in the capitalization of the Company.</w:t>
      </w:r>
    </w:p>
    <w:p>
      <w:pPr>
        <w:spacing w:after="0" w:line="151" w:lineRule="exact"/>
        <w:rPr>
          <w:rFonts w:ascii="Times New Roman" w:cs="Times New Roman" w:eastAsia="Times New Roman" w:hAnsi="Times New Roman"/>
          <w:sz w:val="20"/>
          <w:szCs w:val="20"/>
          <w:b w:val="1"/>
          <w:bCs w:val="1"/>
          <w:color w:val="auto"/>
        </w:rPr>
      </w:pPr>
    </w:p>
    <w:p>
      <w:pPr>
        <w:jc w:val="both"/>
        <w:ind w:firstLine="1735"/>
        <w:spacing w:after="0" w:line="245" w:lineRule="auto"/>
        <w:tabs>
          <w:tab w:leader="none" w:pos="252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this Award Agreement, “</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your service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or 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provided, however,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79" w:lineRule="exact"/>
        <w:rPr>
          <w:rFonts w:ascii="Times New Roman" w:cs="Times New Roman" w:eastAsia="Times New Roman" w:hAnsi="Times New Roman"/>
          <w:sz w:val="20"/>
          <w:szCs w:val="20"/>
          <w:b w:val="1"/>
          <w:bCs w:val="1"/>
          <w:color w:val="auto"/>
        </w:rPr>
      </w:pPr>
    </w:p>
    <w:p>
      <w:pPr>
        <w:jc w:val="both"/>
        <w:ind w:firstLine="1735"/>
        <w:spacing w:after="0" w:line="256" w:lineRule="auto"/>
        <w:tabs>
          <w:tab w:leader="none" w:pos="252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Compliance</w:t>
      </w:r>
      <w:r>
        <w:rPr>
          <w:rFonts w:ascii="Times New Roman" w:cs="Times New Roman" w:eastAsia="Times New Roman" w:hAnsi="Times New Roman"/>
          <w:sz w:val="20"/>
          <w:szCs w:val="20"/>
          <w:color w:val="auto"/>
        </w:rPr>
        <w:t>. In no event shall the shares of Common Stock subject to the Award be issued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such shares are then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if not registered, the Company has determined that the issuance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5" w:name="page166"/>
    <w:bookmarkEnd w:id="165"/>
    <w:p>
      <w:pPr>
        <w:jc w:val="both"/>
        <w:spacing w:after="0" w:line="254" w:lineRule="auto"/>
        <w:rPr>
          <w:sz w:val="20"/>
          <w:szCs w:val="20"/>
          <w:color w:val="auto"/>
        </w:rPr>
      </w:pPr>
      <w:r>
        <w:rPr>
          <w:rFonts w:ascii="Times New Roman" w:cs="Times New Roman" w:eastAsia="Times New Roman" w:hAnsi="Times New Roman"/>
          <w:sz w:val="20"/>
          <w:szCs w:val="20"/>
          <w:color w:val="auto"/>
        </w:rPr>
        <w:t>shares would be exempt from the registration requirements of the Securities Act. The issuance of such shares also must comply with all other applicable laws and regulations governing your Award, and the shares subject to the Award shall not be issued if the Company determines that such issuance would not be in material compliance with such laws and regulations.</w:t>
      </w:r>
    </w:p>
    <w:p>
      <w:pPr>
        <w:spacing w:after="0" w:line="170" w:lineRule="exact"/>
        <w:rPr>
          <w:sz w:val="20"/>
          <w:szCs w:val="20"/>
          <w:color w:val="auto"/>
        </w:rPr>
      </w:pPr>
    </w:p>
    <w:p>
      <w:pPr>
        <w:ind w:right="20" w:firstLine="1735"/>
        <w:spacing w:after="0" w:line="273" w:lineRule="auto"/>
        <w:tabs>
          <w:tab w:leader="none" w:pos="2524"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w:t>
      </w:r>
      <w:r>
        <w:rPr>
          <w:rFonts w:ascii="Times New Roman" w:cs="Times New Roman" w:eastAsia="Times New Roman" w:hAnsi="Times New Roman"/>
          <w:sz w:val="20"/>
          <w:szCs w:val="20"/>
          <w:color w:val="auto"/>
        </w:rPr>
        <w:t>. Except as otherwise provided in this Section 6, your Award is not transferable,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will or by the laws of descent and distribution.</w:t>
      </w:r>
    </w:p>
    <w:p>
      <w:pPr>
        <w:spacing w:after="0" w:line="152" w:lineRule="exact"/>
        <w:rPr>
          <w:sz w:val="20"/>
          <w:szCs w:val="20"/>
          <w:color w:val="auto"/>
        </w:rPr>
      </w:pPr>
    </w:p>
    <w:p>
      <w:pPr>
        <w:jc w:val="both"/>
        <w:ind w:firstLine="1735"/>
        <w:spacing w:after="0" w:line="250" w:lineRule="auto"/>
        <w:tabs>
          <w:tab w:leader="none" w:pos="2606"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Trusts</w:t>
      </w:r>
      <w:r>
        <w:rPr>
          <w:rFonts w:ascii="Times New Roman" w:cs="Times New Roman" w:eastAsia="Times New Roman" w:hAnsi="Times New Roman"/>
          <w:sz w:val="20"/>
          <w:szCs w:val="20"/>
          <w:color w:val="auto"/>
        </w:rPr>
        <w:t>. Upon receiving written permission from the Board or its duly authorized designee,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transfer your Award to a trust if you are considered to be the sole beneficial owner (determined under Section 671 of the Code and applicable state law) while the Award is held in the trust. You and the trustee must enter into transfer and other agreements required by the Company.</w:t>
      </w:r>
    </w:p>
    <w:p>
      <w:pPr>
        <w:spacing w:after="0" w:line="175" w:lineRule="exact"/>
        <w:rPr>
          <w:rFonts w:ascii="Times New Roman" w:cs="Times New Roman" w:eastAsia="Times New Roman" w:hAnsi="Times New Roman"/>
          <w:sz w:val="20"/>
          <w:szCs w:val="20"/>
          <w:b w:val="1"/>
          <w:bCs w:val="1"/>
          <w:color w:val="auto"/>
        </w:rPr>
      </w:pPr>
    </w:p>
    <w:p>
      <w:pPr>
        <w:jc w:val="both"/>
        <w:ind w:firstLine="1735"/>
        <w:spacing w:after="0" w:line="246" w:lineRule="auto"/>
        <w:tabs>
          <w:tab w:leader="none" w:pos="2617"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Domestic Relations Orders</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and provided that you and the designated transferee enter into transfer and other agreements required by the Company, you may transfer your Award pursuant to the terms of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78" w:lineRule="exact"/>
        <w:rPr>
          <w:rFonts w:ascii="Times New Roman" w:cs="Times New Roman" w:eastAsia="Times New Roman" w:hAnsi="Times New Roman"/>
          <w:sz w:val="20"/>
          <w:szCs w:val="20"/>
          <w:b w:val="1"/>
          <w:bCs w:val="1"/>
          <w:color w:val="auto"/>
        </w:rPr>
      </w:pPr>
    </w:p>
    <w:p>
      <w:pPr>
        <w:jc w:val="both"/>
        <w:ind w:firstLine="1735"/>
        <w:spacing w:after="0" w:line="247" w:lineRule="auto"/>
        <w:tabs>
          <w:tab w:leader="none" w:pos="2595"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Beneficiary Designation</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you may, by delivering written notice to the Company, in a form approved by the Company, designate a third party who, on your death, will thereafter be entitled to receive the Common Stock or other consideration resulting from the vesting of the Award. In the absence of such a designation, your executor or administrator of your estate will be entitled to receive, on behalf of your estate, the Common Stock or other consideration resulting from the vesting of the Award.</w:t>
      </w:r>
    </w:p>
    <w:p>
      <w:pPr>
        <w:spacing w:after="0" w:line="180" w:lineRule="exact"/>
        <w:rPr>
          <w:sz w:val="20"/>
          <w:szCs w:val="20"/>
          <w:color w:val="auto"/>
        </w:rPr>
      </w:pPr>
    </w:p>
    <w:p>
      <w:pPr>
        <w:jc w:val="both"/>
        <w:ind w:firstLine="1735"/>
        <w:spacing w:after="0" w:line="242" w:lineRule="auto"/>
        <w:tabs>
          <w:tab w:leader="none" w:pos="2524"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You shall have the right to vote the shares of Common Stock subject to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unless and until such shares are forfeited pursuant to Section 2 hereof. You shall accrue dividends and other distributions paid on the shares of Common Stock subject to the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dividends or distributions paid in respect of any Restricted Shares shall become vested and delivered to you only if and when the shares of Common Stock giving rise to such dividends or distributions become vested in accordance with the vesting schedule set forth in the Grant Notice, with such amounts paid within 30 days after the applicable vesting event. The Restricted Shares may be held by a custodian in book entry form with the restrictions on such shares duly noted or, alternatively, the Company may hold the certificate or certificates representing such shares, in either case until the Restricted Shares shall have vested pursuant to Section 2 hereof. As soon as practicable after Restricted Shares shall have vested pursuant to Section 2 hereof, the restrictions shall be removed from any such shares that are held in book entry form, and the Company shall deliver to you any certificate or certificates representing any such shares that are held by the Company and destroy or return to you the stock power or powers relating to such shares. Any Restricted Shares that do not become vested and are forfeited pursuant to Section 2 shall be transferred to the Company (or its assignee or nominee).</w:t>
      </w:r>
    </w:p>
    <w:p>
      <w:pPr>
        <w:spacing w:after="0" w:line="187" w:lineRule="exact"/>
        <w:rPr>
          <w:rFonts w:ascii="Times New Roman" w:cs="Times New Roman" w:eastAsia="Times New Roman" w:hAnsi="Times New Roman"/>
          <w:sz w:val="20"/>
          <w:szCs w:val="20"/>
          <w:b w:val="1"/>
          <w:bCs w:val="1"/>
          <w:color w:val="auto"/>
        </w:rPr>
      </w:pPr>
    </w:p>
    <w:p>
      <w:pPr>
        <w:jc w:val="both"/>
        <w:ind w:firstLine="1735"/>
        <w:spacing w:after="0" w:line="247" w:lineRule="auto"/>
        <w:tabs>
          <w:tab w:leader="none" w:pos="2524"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 not a Service Contract. </w:t>
      </w:r>
      <w:r>
        <w:rPr>
          <w:rFonts w:ascii="Times New Roman" w:cs="Times New Roman" w:eastAsia="Times New Roman" w:hAnsi="Times New Roman"/>
          <w:sz w:val="20"/>
          <w:szCs w:val="20"/>
          <w:color w:val="auto"/>
        </w:rPr>
        <w:t>Your Award is not an employment or service contract, and nothing in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will be deemed to create in any way whatsoever any obligation on your part to continue in the employ or service of the Company or an affiliate, or of the Company or an affiliate to continue your employment or service. In addition, nothing in your Award will obligate the Company or an affiliate, their respective stockholders, boards of directors, officers or employees to continue any relationship that you might have as a director or consultant for the Company or an affiliate.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6" w:name="page167"/>
    <w:bookmarkEnd w:id="166"/>
    <w:p>
      <w:pPr>
        <w:ind w:left="2540" w:hanging="805"/>
        <w:spacing w:after="0"/>
        <w:tabs>
          <w:tab w:leader="none" w:pos="25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Obligations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735"/>
        <w:spacing w:after="0" w:line="263" w:lineRule="auto"/>
        <w:tabs>
          <w:tab w:leader="none" w:pos="2606"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As a condition precedent to the delivery of the shares of Common Stock to you following the vesting of the Award, you shall, upon request by the Company, pay to the Company such amount as the Company determines is required, under all applicable federal, state, local or other laws or regulations, to be withheld and paid over as income or other withholding taxes (the “Required Tax Payments”) with respect to vesting of the Award. If you shall fail to advance the Required Tax Payments after request by the Company, the Company may, in its discretion, deduct any Required Tax Payments from any amount then or thereafter payable by the Company to you</w:t>
      </w:r>
    </w:p>
    <w:p>
      <w:pPr>
        <w:spacing w:after="0" w:line="166" w:lineRule="exact"/>
        <w:rPr>
          <w:rFonts w:ascii="Times New Roman" w:cs="Times New Roman" w:eastAsia="Times New Roman" w:hAnsi="Times New Roman"/>
          <w:sz w:val="19"/>
          <w:szCs w:val="19"/>
          <w:b w:val="1"/>
          <w:bCs w:val="1"/>
          <w:color w:val="auto"/>
        </w:rPr>
      </w:pPr>
    </w:p>
    <w:p>
      <w:pPr>
        <w:jc w:val="both"/>
        <w:ind w:firstLine="1735"/>
        <w:spacing w:after="0" w:line="241" w:lineRule="auto"/>
        <w:tabs>
          <w:tab w:leader="none" w:pos="2617"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elect to satisfy your obligation to advance the Required Tax Payments by any of the following means: (i) a cash payment to the Company; (ii) to the extent permitted by the Company, delivery to the Company (either actual delivery or by attestation procedures established by the Company) of previously owned whole shares of Common Stock having an aggregate Fair Market Value, determined as of the date on which such withholding obligation arises (the “Tax Date”), equal to the Required Tax Payments; (iii) to the extent permitted by the Company, authorizing the Company to withhold whole shares of Common Stock which would otherwise be delivered to you upon the vesting of the Award having an aggregate Fair Market Value, determined as of the Tax Date, equal to the Required Tax Payments; (iv) arranging for a Company-designated broker to sell on the market a portion of the otherwise issuable vested shares of Common Stock that have an aggregate market value sufficient to pay the Required Tax Payments on your behalf and at your direction pursuant to this authorization or (v) any combination of (i), (ii) and (iii). Notwithstanding the foregoing, if you are subject to Section 16 of the Exchange Act, the Required Tax Payments shall be satisfied pursuant to clause (iv) above unless the Committee determines otherwise.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shall be delivered to you until the Required Tax Payments have been satisfied in full.</w:t>
      </w:r>
    </w:p>
    <w:p>
      <w:pPr>
        <w:spacing w:after="0" w:line="190" w:lineRule="exact"/>
        <w:rPr>
          <w:sz w:val="20"/>
          <w:szCs w:val="20"/>
          <w:color w:val="auto"/>
        </w:rPr>
      </w:pPr>
    </w:p>
    <w:p>
      <w:pPr>
        <w:jc w:val="both"/>
        <w:ind w:firstLine="1735"/>
        <w:spacing w:after="0" w:line="250" w:lineRule="auto"/>
        <w:tabs>
          <w:tab w:leader="none" w:pos="2623"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You hereby agree that the Company does not have a duty to design or administer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or its other compensation programs in a manner that minimizes your tax liabilities. You will not make any claim against the Company, or any of its officers, directors, employees, affiliates or representatives related to tax liabilities arising from your Award or your other compensation.</w:t>
      </w:r>
    </w:p>
    <w:p>
      <w:pPr>
        <w:spacing w:after="0" w:line="175" w:lineRule="exact"/>
        <w:rPr>
          <w:rFonts w:ascii="Times New Roman" w:cs="Times New Roman" w:eastAsia="Times New Roman" w:hAnsi="Times New Roman"/>
          <w:sz w:val="20"/>
          <w:szCs w:val="20"/>
          <w:b w:val="1"/>
          <w:bCs w:val="1"/>
          <w:color w:val="auto"/>
        </w:rPr>
      </w:pPr>
    </w:p>
    <w:p>
      <w:pPr>
        <w:jc w:val="both"/>
        <w:ind w:firstLine="1735"/>
        <w:spacing w:after="0" w:line="244" w:lineRule="auto"/>
        <w:tabs>
          <w:tab w:leader="none" w:pos="2612"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83(b) Election</w:t>
      </w:r>
      <w:r>
        <w:rPr>
          <w:rFonts w:ascii="Times New Roman" w:cs="Times New Roman" w:eastAsia="Times New Roman" w:hAnsi="Times New Roman"/>
          <w:sz w:val="20"/>
          <w:szCs w:val="20"/>
          <w:color w:val="auto"/>
        </w:rPr>
        <w:t>. By accepting this Agreement, you acknowledge your understanding that you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 with the Internal Revenue Service an election pursuant to section 83(b)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i w:val="1"/>
          <w:iCs w:val="1"/>
          <w:color w:val="auto"/>
        </w:rPr>
        <w:t>Section 83(b) Election</w:t>
      </w:r>
      <w:r>
        <w:rPr>
          <w:rFonts w:ascii="Times New Roman" w:cs="Times New Roman" w:eastAsia="Times New Roman" w:hAnsi="Times New Roman"/>
          <w:sz w:val="20"/>
          <w:szCs w:val="20"/>
          <w:color w:val="auto"/>
        </w:rPr>
        <w:t>”), no later than 30 days after the Date of Grant, to include in your gross income the excess, if any, of the fair market value of the Restricted Shares as of the Date of Grant. Before filing a Section 83(b) Election with the Internal Revenue Service, you shall (i) notify the Company of such election by delivering to the Company a copy of the fully-executed Section 83(b) Election, and (ii) pay to the Company an amount sufficient to satisfy any taxes or other amounts required by any governmental authority to be withheld or paid over to such authority with respect to such Restricted Shares, or otherwise make arrangements satisfactory to the Company for the payment of such amounts through withholding or otherwise.</w:t>
      </w:r>
    </w:p>
    <w:p>
      <w:pPr>
        <w:spacing w:after="0" w:line="181" w:lineRule="exact"/>
        <w:rPr>
          <w:rFonts w:ascii="Times New Roman" w:cs="Times New Roman" w:eastAsia="Times New Roman" w:hAnsi="Times New Roman"/>
          <w:sz w:val="20"/>
          <w:szCs w:val="20"/>
          <w:b w:val="1"/>
          <w:bCs w:val="1"/>
          <w:color w:val="auto"/>
        </w:rPr>
      </w:pPr>
    </w:p>
    <w:p>
      <w:pPr>
        <w:jc w:val="both"/>
        <w:ind w:firstLine="1735"/>
        <w:spacing w:after="0" w:line="250" w:lineRule="auto"/>
        <w:tabs>
          <w:tab w:leader="none" w:pos="2623"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notices provided for in your Award or the Plan will be given in writing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electronically) and will 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Award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67" w:name="page168"/>
    <w:bookmarkEnd w:id="167"/>
    <w:p>
      <w:pPr>
        <w:jc w:val="both"/>
        <w:spacing w:after="0" w:line="254" w:lineRule="auto"/>
        <w:rPr>
          <w:sz w:val="20"/>
          <w:szCs w:val="20"/>
          <w:color w:val="auto"/>
        </w:rPr>
      </w:pPr>
      <w:r>
        <w:rPr>
          <w:rFonts w:ascii="Times New Roman" w:cs="Times New Roman" w:eastAsia="Times New Roman" w:hAnsi="Times New Roman"/>
          <w:sz w:val="20"/>
          <w:szCs w:val="20"/>
          <w:color w:val="auto"/>
        </w:rPr>
        <w:t>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0" w:lineRule="exact"/>
        <w:rPr>
          <w:sz w:val="20"/>
          <w:szCs w:val="20"/>
          <w:color w:val="auto"/>
        </w:rPr>
      </w:pPr>
    </w:p>
    <w:p>
      <w:pPr>
        <w:jc w:val="both"/>
        <w:ind w:firstLine="1735"/>
        <w:spacing w:after="0" w:line="256" w:lineRule="auto"/>
        <w:tabs>
          <w:tab w:leader="none" w:pos="2623"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Decisions of Board or Committee</w:t>
      </w:r>
      <w:r>
        <w:rPr>
          <w:rFonts w:ascii="Times New Roman" w:cs="Times New Roman" w:eastAsia="Times New Roman" w:hAnsi="Times New Roman"/>
          <w:sz w:val="20"/>
          <w:szCs w:val="20"/>
          <w:color w:val="auto"/>
        </w:rPr>
        <w:t>. The Board or the Committee shall have the right to resolve all questions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may arise in connection with the Award. Any interpretation, determination or other action made or taken by the Board or the Committee regarding the Plan or this Award Agreement shall be final, binding and conclusive.</w:t>
      </w:r>
    </w:p>
    <w:p>
      <w:pPr>
        <w:spacing w:after="0" w:line="168" w:lineRule="exact"/>
        <w:rPr>
          <w:rFonts w:ascii="Times New Roman" w:cs="Times New Roman" w:eastAsia="Times New Roman" w:hAnsi="Times New Roman"/>
          <w:sz w:val="20"/>
          <w:szCs w:val="20"/>
          <w:b w:val="1"/>
          <w:bCs w:val="1"/>
          <w:color w:val="auto"/>
        </w:rPr>
      </w:pPr>
    </w:p>
    <w:p>
      <w:pPr>
        <w:jc w:val="both"/>
        <w:ind w:firstLine="1735"/>
        <w:spacing w:after="0" w:line="256" w:lineRule="auto"/>
        <w:tabs>
          <w:tab w:leader="none" w:pos="2623"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Award Agreement shall be binding upon and inure to the benefit of any successor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Company and any person or persons who shall, upon your death, acquire any rights hereunder in accordance with this Award Agreement or the Plan.</w:t>
      </w:r>
    </w:p>
    <w:p>
      <w:pPr>
        <w:spacing w:after="0" w:line="168" w:lineRule="exact"/>
        <w:rPr>
          <w:rFonts w:ascii="Times New Roman" w:cs="Times New Roman" w:eastAsia="Times New Roman" w:hAnsi="Times New Roman"/>
          <w:sz w:val="20"/>
          <w:szCs w:val="20"/>
          <w:b w:val="1"/>
          <w:bCs w:val="1"/>
          <w:color w:val="auto"/>
        </w:rPr>
      </w:pPr>
    </w:p>
    <w:p>
      <w:pPr>
        <w:jc w:val="both"/>
        <w:ind w:firstLine="1735"/>
        <w:spacing w:after="0" w:line="241" w:lineRule="auto"/>
        <w:tabs>
          <w:tab w:leader="none" w:pos="2623"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Rights</w:t>
      </w:r>
      <w:r>
        <w:rPr>
          <w:rFonts w:ascii="Times New Roman" w:cs="Times New Roman" w:eastAsia="Times New Roman" w:hAnsi="Times New Roman"/>
          <w:sz w:val="20"/>
          <w:szCs w:val="20"/>
          <w:color w:val="auto"/>
        </w:rPr>
        <w:t>. Pursuant to 18 U.S.C. § 1833(b), “an individual shall not be held criminally or civilly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 Federal, State, and local government officials, or to an attorney, for the sole purpose of reporting or investigating a suspected violation of law. You also have the right to disclose trade secrets in a document filed in a lawsuit or other proceeding, but only if the filing is made under seal and protected from public disclosure. Nothing in this Award Agreement is intended to conflict with 18 U.S.C. § 1833(b) or create liability for disclosures of trade secrets that are expressly allowed by 18 U.S.C. § 1833(b). You understand that nothing contained in this Award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You further understand that this Award Agreement does not limit your ability to communicate with any Government Agencies or otherwise participate in any investigation or proceeding that may be conducted by any Government Agency, including providing documents or other information, without notice to the Company. This Award Agreement does not limit your right to receive an award for information provided to any Government Agencies.</w:t>
      </w:r>
    </w:p>
    <w:p>
      <w:pPr>
        <w:spacing w:after="0" w:line="194" w:lineRule="exact"/>
        <w:rPr>
          <w:rFonts w:ascii="Times New Roman" w:cs="Times New Roman" w:eastAsia="Times New Roman" w:hAnsi="Times New Roman"/>
          <w:sz w:val="20"/>
          <w:szCs w:val="20"/>
          <w:b w:val="1"/>
          <w:bCs w:val="1"/>
          <w:color w:val="auto"/>
        </w:rPr>
      </w:pPr>
    </w:p>
    <w:p>
      <w:pPr>
        <w:jc w:val="both"/>
        <w:ind w:firstLine="1735"/>
        <w:spacing w:after="0" w:line="250" w:lineRule="auto"/>
        <w:tabs>
          <w:tab w:leader="none" w:pos="2623"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Plan Document</w:t>
      </w:r>
      <w:r>
        <w:rPr>
          <w:rFonts w:ascii="Times New Roman" w:cs="Times New Roman" w:eastAsia="Times New Roman" w:hAnsi="Times New Roman"/>
          <w:sz w:val="20"/>
          <w:szCs w:val="20"/>
          <w:color w:val="auto"/>
        </w:rPr>
        <w:t>. Your Award is subject to all the provisions of the Plan,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hereby 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ectPr>
          <w:pgSz w:w="11900" w:h="16838" w:orient="portrait"/>
          <w:cols w:equalWidth="0" w:num="1">
            <w:col w:w="9019"/>
          </w:cols>
          <w:pgMar w:left="1440" w:top="761"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AWARD GRANT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Outset Medical, Inc.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amended and/or restated as of the Date of Grant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Participant a performance stock unit award relating to the target number of performance stock units set forth below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The Award is subject to all of the terms and conditions as set forth in this Performance Stock Unit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in the Plan and the Award Agreement, all of which are attached to this Grant Notice and incorporated into this Grant Notice in their entirety. Capitalized terms not explicitly defined in this Grant Notice but defined in the Plan or the Award Agreement shall have the meanings set forth in the Plan or the Award Agreement, as applicable. If the Company uses an electronic capitalization table system (such as Carta or Shareworks) and the fields below are blank or the information is otherwise provided in a different format electronically, the blank fields and other information shall be deemed to come from the electronic capitalization system and is considered part of this Grant Notice.</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Participant:</w:t>
            </w: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4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 of Grant:</w:t>
            </w:r>
          </w:p>
        </w:tc>
        <w:tc>
          <w:tcPr>
            <w:tcW w:w="64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00"/>
        </w:trPr>
        <w:tc>
          <w:tcPr>
            <w:tcW w:w="4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Target Number of Performance Stock</w:t>
            </w:r>
          </w:p>
        </w:tc>
        <w:tc>
          <w:tcPr>
            <w:tcW w:w="6420" w:type="dxa"/>
            <w:vAlign w:val="bottom"/>
          </w:tcPr>
          <w:p>
            <w:pPr>
              <w:spacing w:after="0"/>
              <w:rPr>
                <w:sz w:val="17"/>
                <w:szCs w:val="17"/>
                <w:color w:val="auto"/>
              </w:rPr>
            </w:pPr>
          </w:p>
        </w:tc>
      </w:t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Units Subject to Award:</w:t>
            </w: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4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Type of Grant:</w:t>
            </w:r>
          </w:p>
        </w:tc>
        <w:tc>
          <w:tcPr>
            <w:tcW w:w="64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Performance Stock Unit Award</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Conditions: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Except as otherwise provided in the Plan or the Award Agreement, the number of performance stock units (“</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earned under the Award (the “</w:t>
      </w:r>
      <w:r>
        <w:rPr>
          <w:rFonts w:ascii="Times New Roman" w:cs="Times New Roman" w:eastAsia="Times New Roman" w:hAnsi="Times New Roman"/>
          <w:sz w:val="20"/>
          <w:szCs w:val="20"/>
          <w:u w:val="single" w:color="auto"/>
          <w:color w:val="auto"/>
        </w:rPr>
        <w:t>Earned Units</w:t>
      </w:r>
      <w:r>
        <w:rPr>
          <w:rFonts w:ascii="Times New Roman" w:cs="Times New Roman" w:eastAsia="Times New Roman" w:hAnsi="Times New Roman"/>
          <w:sz w:val="20"/>
          <w:szCs w:val="20"/>
          <w:color w:val="auto"/>
        </w:rPr>
        <w:t xml:space="preserve">”) shall be equal to a percentage of the target number of Performance Stock Units set forth above based on </w:t>
      </w:r>
      <w:r>
        <w:rPr>
          <w:rFonts w:ascii="Times New Roman" w:cs="Times New Roman" w:eastAsia="Times New Roman" w:hAnsi="Times New Roman"/>
          <w:sz w:val="20"/>
          <w:szCs w:val="20"/>
          <w:b w:val="1"/>
          <w:bCs w:val="1"/>
          <w:color w:val="auto"/>
        </w:rPr>
        <w:t>[Performance Measure]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p>
      <w:pPr>
        <w:spacing w:after="0" w:line="1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b w:val="1"/>
          <w:bCs w:val="1"/>
          <w:color w:val="auto"/>
        </w:rPr>
        <w:t>[Performance Level]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Earned Units as a Percentage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-137160</wp:posOffset>
            </wp:positionV>
            <wp:extent cx="4354830" cy="771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4354830" cy="771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Share Units</w:t>
      </w:r>
    </w:p>
    <w:p>
      <w:pPr>
        <w:spacing w:after="0" w:line="200" w:lineRule="exact"/>
        <w:rPr>
          <w:sz w:val="20"/>
          <w:szCs w:val="20"/>
          <w:color w:val="auto"/>
        </w:rPr>
      </w:pPr>
    </w:p>
    <w:p>
      <w:pPr>
        <w:sectPr>
          <w:pgSz w:w="11900" w:h="16838" w:orient="portrait"/>
          <w:cols w:equalWidth="0" w:num="2">
            <w:col w:w="3720" w:space="720"/>
            <w:col w:w="6800"/>
          </w:cols>
          <w:pgMar w:left="320" w:top="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percentage of the target number of Performance Share Units that become Earned Units shall be determined using linear interpolation between the performance levels set forth above; provided that no Performance Share Units shall be Earned Units unless the </w:t>
      </w:r>
      <w:r>
        <w:rPr>
          <w:rFonts w:ascii="Times New Roman" w:cs="Times New Roman" w:eastAsia="Times New Roman" w:hAnsi="Times New Roman"/>
          <w:sz w:val="20"/>
          <w:szCs w:val="20"/>
          <w:b w:val="1"/>
          <w:bCs w:val="1"/>
          <w:color w:val="auto"/>
        </w:rPr>
        <w:t>[Performance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Measure] </w:t>
      </w:r>
      <w:r>
        <w:rPr>
          <w:rFonts w:ascii="Times New Roman" w:cs="Times New Roman" w:eastAsia="Times New Roman" w:hAnsi="Times New Roman"/>
          <w:sz w:val="20"/>
          <w:szCs w:val="20"/>
          <w:color w:val="auto"/>
        </w:rPr>
        <w:t>is at least [●]. The Committee, in its sole discretion, may amend or adjust either the target levels of performance set forth herein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applicable performance results in recognition of unusual or nonrecurring events affecting the Company or its financial statements or changes in law or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70" w:name="page171"/>
    <w:bookmarkEnd w:id="170"/>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Participant’s signature below or by electronic acceptance or authentication in a form authorized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Participant understands and agrees that the Award is governed by this Performance Stock Unit Award Grant Notice, and the provisions of the Plan and the Award Agreement, all of which are made a part of this document.</w:t>
      </w:r>
    </w:p>
    <w:p>
      <w:pPr>
        <w:spacing w:after="0" w:line="17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By accepting this Award, Participant consents to receive this Grant Notice, the Award Agreement, the Plan, and any other Plan-related documents by electronic delivery and to participate in the Plan through an on-line or electronic system established and maintained by the Company or another third party designated by the Company. Participant represents that he or she has read and is familiar with the provisions of the Plan and the Award Agreement. Participant acknowledges and agrees that this Grant Notice and the Award Agreement may not be modified, amended or revised in a manner that materially impairs the rights of the Participant except in a writing signed by Participant and a duly authorized officer of the Company.</w:t>
      </w:r>
    </w:p>
    <w:p>
      <w:pPr>
        <w:spacing w:after="0" w:line="18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Participant further acknowledges that in the event of any conflict between the provisions in this Grant Notice or the Award Agreement and the terms of the Plan, the terms of the Plan shall control. Participant further acknowledges that the Award Agreement sets forth the entire understanding between Participant and the Company regarding the acquisition of Common Stock and supersedes all prior oral and written agreements, promises and/or representations on that subject with the exception of other equity awards previously granted to Participant and any written employment agreement, offer letter, severance agreement, written severance plan or policy, or other written agreement between the Company and Participant in each case that specifies the terms that should govern this Award.</w:t>
      </w:r>
    </w:p>
    <w:p>
      <w:pPr>
        <w:spacing w:after="0" w:line="18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Outset Medical, Inc.</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8"/>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700" w:type="dxa"/>
            <w:vAlign w:val="bottom"/>
          </w:tcPr>
          <w:p>
            <w:pPr>
              <w:ind w:left="1900"/>
              <w:spacing w:after="0"/>
              <w:rPr>
                <w:sz w:val="20"/>
                <w:szCs w:val="20"/>
                <w:color w:val="auto"/>
              </w:rPr>
            </w:pPr>
            <w:r>
              <w:rPr>
                <w:rFonts w:ascii="Times New Roman" w:cs="Times New Roman" w:eastAsia="Times New Roman" w:hAnsi="Times New Roman"/>
                <w:sz w:val="20"/>
                <w:szCs w:val="20"/>
                <w:color w:val="auto"/>
              </w:rPr>
              <w:t>(Signature)</w:t>
            </w:r>
          </w:p>
        </w:tc>
        <w:tc>
          <w:tcPr>
            <w:tcW w:w="1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446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(Signature)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Email: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w:t>
            </w:r>
          </w:p>
        </w:tc>
        <w:tc>
          <w:tcPr>
            <w:tcW w:w="470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Date:</w:t>
            </w:r>
          </w:p>
        </w:tc>
        <w:tc>
          <w:tcPr>
            <w:tcW w:w="4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vMerge w:val="continue"/>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5"/>
        </w:trPr>
        <w:tc>
          <w:tcPr>
            <w:tcW w:w="576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Award Agreement and 2020 Equity Incentive Plan</w:t>
            </w:r>
          </w:p>
        </w:tc>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512445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b w:val="1"/>
          <w:bCs w:val="1"/>
          <w:color w:val="auto"/>
        </w:rPr>
        <w:t>OUTSET MEDICAL,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Pursuant to your Performance Stock Unit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this Award Agreement, </w:t>
      </w:r>
      <w:r>
        <w:rPr>
          <w:rFonts w:ascii="Times New Roman" w:cs="Times New Roman" w:eastAsia="Times New Roman" w:hAnsi="Times New Roman"/>
          <w:sz w:val="20"/>
          <w:szCs w:val="20"/>
          <w:b w:val="1"/>
          <w:bCs w:val="1"/>
          <w:color w:val="auto"/>
        </w:rPr>
        <w:t>Outset Medical,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performance stock unit award under its 2020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relating to the target number of Performance Stock Units specified in your Grant Notice. The Award is granted to you effective as of the date of grant set forth in the Grant Notice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If there is any conflict between the terms in this Award Agreement and the Plan, the terms of the Plan will control. Capitalized terms not explicitly defined in this Award Agreement or in the Grant Notice but defined in the Plan will have the same definitions as in the Plan.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details of your Award, in addition to those set forth in the Grant Notice and the Plan, are as follows:</w:t>
      </w:r>
    </w:p>
    <w:p>
      <w:pPr>
        <w:spacing w:after="0" w:line="212" w:lineRule="exact"/>
        <w:rPr>
          <w:sz w:val="20"/>
          <w:szCs w:val="20"/>
          <w:color w:val="auto"/>
        </w:rPr>
      </w:pPr>
    </w:p>
    <w:p>
      <w:pPr>
        <w:ind w:firstLine="872"/>
        <w:spacing w:after="0" w:line="273" w:lineRule="auto"/>
        <w:tabs>
          <w:tab w:leader="none" w:pos="1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Performance-Based and Service-Based Vesting Conditions</w:t>
      </w:r>
      <w:r>
        <w:rPr>
          <w:rFonts w:ascii="Times New Roman" w:cs="Times New Roman" w:eastAsia="Times New Roman" w:hAnsi="Times New Roman"/>
          <w:sz w:val="20"/>
          <w:szCs w:val="20"/>
          <w:color w:val="auto"/>
        </w:rPr>
        <w:t>. Your Award will be earned and vested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Grant Notice. Vesting will cease upon the termination of your Continuous Service (as defined herein).</w:t>
      </w:r>
    </w:p>
    <w:p>
      <w:pPr>
        <w:spacing w:after="0" w:line="151" w:lineRule="exact"/>
        <w:rPr>
          <w:rFonts w:ascii="Times New Roman" w:cs="Times New Roman" w:eastAsia="Times New Roman" w:hAnsi="Times New Roman"/>
          <w:sz w:val="20"/>
          <w:szCs w:val="20"/>
          <w:b w:val="1"/>
          <w:bCs w:val="1"/>
          <w:color w:val="auto"/>
        </w:rPr>
      </w:pPr>
    </w:p>
    <w:p>
      <w:pPr>
        <w:ind w:right="20" w:firstLine="872"/>
        <w:spacing w:after="0" w:line="273" w:lineRule="auto"/>
        <w:tabs>
          <w:tab w:leader="none" w:pos="1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Performance Stock Units</w:t>
      </w:r>
      <w:r>
        <w:rPr>
          <w:rFonts w:ascii="Times New Roman" w:cs="Times New Roman" w:eastAsia="Times New Roman" w:hAnsi="Times New Roman"/>
          <w:sz w:val="20"/>
          <w:szCs w:val="20"/>
          <w:color w:val="auto"/>
        </w:rPr>
        <w:t>. The target number of Performance Stock Units subject to your Award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adjusted in accordance with Section 5.7 of the Plan for changes in the capitalization of the Company.</w:t>
      </w:r>
    </w:p>
    <w:p>
      <w:pPr>
        <w:spacing w:after="0" w:line="151" w:lineRule="exact"/>
        <w:rPr>
          <w:rFonts w:ascii="Times New Roman" w:cs="Times New Roman" w:eastAsia="Times New Roman" w:hAnsi="Times New Roman"/>
          <w:sz w:val="20"/>
          <w:szCs w:val="20"/>
          <w:b w:val="1"/>
          <w:bCs w:val="1"/>
          <w:color w:val="auto"/>
        </w:rPr>
      </w:pPr>
    </w:p>
    <w:p>
      <w:pPr>
        <w:jc w:val="both"/>
        <w:ind w:firstLine="872"/>
        <w:spacing w:after="0" w:line="245" w:lineRule="auto"/>
        <w:tabs>
          <w:tab w:leader="none" w:pos="1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purposes of this Award Agreement, “</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your service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provided, however,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79" w:lineRule="exact"/>
        <w:rPr>
          <w:rFonts w:ascii="Times New Roman" w:cs="Times New Roman" w:eastAsia="Times New Roman" w:hAnsi="Times New Roman"/>
          <w:sz w:val="20"/>
          <w:szCs w:val="20"/>
          <w:b w:val="1"/>
          <w:bCs w:val="1"/>
          <w:color w:val="auto"/>
        </w:rPr>
      </w:pPr>
    </w:p>
    <w:p>
      <w:pPr>
        <w:jc w:val="both"/>
        <w:ind w:firstLine="872"/>
        <w:spacing w:after="0" w:line="246" w:lineRule="auto"/>
        <w:tabs>
          <w:tab w:leader="none" w:pos="1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Compliance</w:t>
      </w:r>
      <w:r>
        <w:rPr>
          <w:rFonts w:ascii="Times New Roman" w:cs="Times New Roman" w:eastAsia="Times New Roman" w:hAnsi="Times New Roman"/>
          <w:sz w:val="20"/>
          <w:szCs w:val="20"/>
          <w:color w:val="auto"/>
        </w:rPr>
        <w:t>. In no event shall the shares of Common Stock subject to the Award be issued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the Award unless such shares are then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if not registered, the Company has determined that the issuance of the shares would be exempt from the registration requirements of the Securities Act. The issuance of such shares also must comply with all other applicable laws and regulations governing your Award, and the shares subject to the Award shall not be issued if the Company determines that such issuance would not be in material compliance with such laws and regulations.</w:t>
      </w:r>
    </w:p>
    <w:p>
      <w:pPr>
        <w:spacing w:after="0" w:line="178" w:lineRule="exact"/>
        <w:rPr>
          <w:rFonts w:ascii="Times New Roman" w:cs="Times New Roman" w:eastAsia="Times New Roman" w:hAnsi="Times New Roman"/>
          <w:sz w:val="20"/>
          <w:szCs w:val="20"/>
          <w:b w:val="1"/>
          <w:bCs w:val="1"/>
          <w:color w:val="auto"/>
        </w:rPr>
      </w:pPr>
    </w:p>
    <w:p>
      <w:pPr>
        <w:ind w:firstLine="872"/>
        <w:spacing w:after="0" w:line="273" w:lineRule="auto"/>
        <w:tabs>
          <w:tab w:leader="none" w:pos="1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w:t>
      </w:r>
      <w:r>
        <w:rPr>
          <w:rFonts w:ascii="Times New Roman" w:cs="Times New Roman" w:eastAsia="Times New Roman" w:hAnsi="Times New Roman"/>
          <w:sz w:val="20"/>
          <w:szCs w:val="20"/>
          <w:color w:val="auto"/>
        </w:rPr>
        <w:t>. Except as otherwise provided in this Section 5, your Award is not transferable, except by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laws of descent and distribution.</w:t>
      </w:r>
    </w:p>
    <w:p>
      <w:pPr>
        <w:spacing w:after="0" w:line="151" w:lineRule="exact"/>
        <w:rPr>
          <w:rFonts w:ascii="Times New Roman" w:cs="Times New Roman" w:eastAsia="Times New Roman" w:hAnsi="Times New Roman"/>
          <w:sz w:val="20"/>
          <w:szCs w:val="20"/>
          <w:b w:val="1"/>
          <w:bCs w:val="1"/>
          <w:color w:val="auto"/>
        </w:rPr>
      </w:pPr>
    </w:p>
    <w:p>
      <w:pPr>
        <w:ind w:firstLine="1735"/>
        <w:spacing w:after="0" w:line="273" w:lineRule="auto"/>
        <w:tabs>
          <w:tab w:leader="none" w:pos="2606"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Trusts</w:t>
      </w:r>
      <w:r>
        <w:rPr>
          <w:rFonts w:ascii="Times New Roman" w:cs="Times New Roman" w:eastAsia="Times New Roman" w:hAnsi="Times New Roman"/>
          <w:sz w:val="20"/>
          <w:szCs w:val="20"/>
          <w:color w:val="auto"/>
        </w:rPr>
        <w:t>. Upon receiving written permission from the Board or its duly authorized designee,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transfer your Award to a trust if you are considered to be the sole beneficial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3" w:name="page174"/>
    <w:bookmarkEnd w:id="173"/>
    <w:p>
      <w:pPr>
        <w:spacing w:after="0" w:line="269" w:lineRule="auto"/>
        <w:rPr>
          <w:sz w:val="20"/>
          <w:szCs w:val="20"/>
          <w:color w:val="auto"/>
        </w:rPr>
      </w:pPr>
      <w:r>
        <w:rPr>
          <w:rFonts w:ascii="Times New Roman" w:cs="Times New Roman" w:eastAsia="Times New Roman" w:hAnsi="Times New Roman"/>
          <w:sz w:val="20"/>
          <w:szCs w:val="20"/>
          <w:color w:val="auto"/>
        </w:rPr>
        <w:t>owner (determined under Section 671 of the Code and applicable state law) while the Award is held in the trust. You and the trustee must enter into transfer and other agreements required by the Company.</w:t>
      </w:r>
    </w:p>
    <w:p>
      <w:pPr>
        <w:spacing w:after="0" w:line="155" w:lineRule="exact"/>
        <w:rPr>
          <w:sz w:val="20"/>
          <w:szCs w:val="20"/>
          <w:color w:val="auto"/>
        </w:rPr>
      </w:pPr>
    </w:p>
    <w:p>
      <w:pPr>
        <w:jc w:val="both"/>
        <w:ind w:firstLine="1735"/>
        <w:spacing w:after="0" w:line="246" w:lineRule="auto"/>
        <w:tabs>
          <w:tab w:leader="none" w:pos="2617" w:val="left"/>
        </w:tabs>
        <w:numPr>
          <w:ilvl w:val="1"/>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Domestic Relations Orders</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and provided that you and the designated transferee enter into transfer and other agreements required by the Company, you may transfer your Award pursuant to the terms of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78" w:lineRule="exact"/>
        <w:rPr>
          <w:rFonts w:ascii="Times New Roman" w:cs="Times New Roman" w:eastAsia="Times New Roman" w:hAnsi="Times New Roman"/>
          <w:sz w:val="20"/>
          <w:szCs w:val="20"/>
          <w:b w:val="1"/>
          <w:bCs w:val="1"/>
          <w:color w:val="auto"/>
        </w:rPr>
      </w:pPr>
    </w:p>
    <w:p>
      <w:pPr>
        <w:jc w:val="both"/>
        <w:ind w:firstLine="1735"/>
        <w:spacing w:after="0" w:line="247" w:lineRule="auto"/>
        <w:tabs>
          <w:tab w:leader="none" w:pos="2595" w:val="left"/>
        </w:tabs>
        <w:numPr>
          <w:ilvl w:val="1"/>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Beneficiary Designation</w:t>
      </w:r>
      <w:r>
        <w:rPr>
          <w:rFonts w:ascii="Times New Roman" w:cs="Times New Roman" w:eastAsia="Times New Roman" w:hAnsi="Times New Roman"/>
          <w:sz w:val="20"/>
          <w:szCs w:val="20"/>
          <w:color w:val="auto"/>
        </w:rPr>
        <w:t>. Upon receiving written permission from the Board or its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 you may, by delivering written notice to the Company, in a form approved by the Company, designate a third party who, on your death, will thereafter be entitled to receive the Common Stock or other consideration resulting from the vesting of the Award. In the absence of such a designation, your executor or administrator of your estate will be entitled to receive, on behalf of your estate, the Common Stock or other consideration resulting from the vesting of the Award.</w:t>
      </w:r>
    </w:p>
    <w:p>
      <w:pPr>
        <w:spacing w:after="0" w:line="180" w:lineRule="exact"/>
        <w:rPr>
          <w:rFonts w:ascii="Times New Roman" w:cs="Times New Roman" w:eastAsia="Times New Roman" w:hAnsi="Times New Roman"/>
          <w:sz w:val="20"/>
          <w:szCs w:val="20"/>
          <w:b w:val="1"/>
          <w:bCs w:val="1"/>
          <w:color w:val="auto"/>
        </w:rPr>
      </w:pPr>
    </w:p>
    <w:p>
      <w:pPr>
        <w:jc w:val="both"/>
        <w:ind w:firstLine="872"/>
        <w:spacing w:after="0" w:line="246" w:lineRule="auto"/>
        <w:tabs>
          <w:tab w:leader="none" w:pos="1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Issuance or Delivery of Shares. </w:t>
      </w:r>
      <w:r>
        <w:rPr>
          <w:rFonts w:ascii="Times New Roman" w:cs="Times New Roman" w:eastAsia="Times New Roman" w:hAnsi="Times New Roman"/>
          <w:sz w:val="20"/>
          <w:szCs w:val="20"/>
          <w:color w:val="auto"/>
        </w:rPr>
        <w:t>As soon as practicable, and not more than 30 days, after the date any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Units subject to the Award become vested, in whole or in part, the Company shall issue or deliver to you, subject to the conditions of this Award Agreement, a number of shares of Common Stock equal to the number of Performance Stock Units that have become vested.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Section 9.</w:t>
      </w:r>
    </w:p>
    <w:p>
      <w:pPr>
        <w:spacing w:after="0" w:line="178" w:lineRule="exact"/>
        <w:rPr>
          <w:rFonts w:ascii="Times New Roman" w:cs="Times New Roman" w:eastAsia="Times New Roman" w:hAnsi="Times New Roman"/>
          <w:sz w:val="20"/>
          <w:szCs w:val="20"/>
          <w:b w:val="1"/>
          <w:bCs w:val="1"/>
          <w:color w:val="auto"/>
        </w:rPr>
      </w:pPr>
    </w:p>
    <w:p>
      <w:pPr>
        <w:jc w:val="both"/>
        <w:ind w:firstLine="872"/>
        <w:spacing w:after="0" w:line="250" w:lineRule="auto"/>
        <w:tabs>
          <w:tab w:leader="none" w:pos="1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Confers No Rights as Stockholder</w:t>
      </w:r>
      <w:r>
        <w:rPr>
          <w:rFonts w:ascii="Times New Roman" w:cs="Times New Roman" w:eastAsia="Times New Roman" w:hAnsi="Times New Roman"/>
          <w:sz w:val="20"/>
          <w:szCs w:val="20"/>
          <w:color w:val="auto"/>
        </w:rPr>
        <w:t>. You shall not be entitled to any privileges of ownership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subject to the Award unless and until such shares are issued following the vesting of the Award, in whole or in part, and you become a stockholder of record with respect to such issued shares. You shall not be considered a stockholder of the Company with respect to any such shares not so issued.</w:t>
      </w:r>
    </w:p>
    <w:p>
      <w:pPr>
        <w:spacing w:after="0" w:line="175" w:lineRule="exact"/>
        <w:rPr>
          <w:rFonts w:ascii="Times New Roman" w:cs="Times New Roman" w:eastAsia="Times New Roman" w:hAnsi="Times New Roman"/>
          <w:sz w:val="20"/>
          <w:szCs w:val="20"/>
          <w:b w:val="1"/>
          <w:bCs w:val="1"/>
          <w:color w:val="auto"/>
        </w:rPr>
      </w:pPr>
    </w:p>
    <w:p>
      <w:pPr>
        <w:jc w:val="both"/>
        <w:ind w:firstLine="872"/>
        <w:spacing w:after="0" w:line="247" w:lineRule="auto"/>
        <w:tabs>
          <w:tab w:leader="none" w:pos="1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not a Service Contract</w:t>
      </w:r>
      <w:r>
        <w:rPr>
          <w:rFonts w:ascii="Times New Roman" w:cs="Times New Roman" w:eastAsia="Times New Roman" w:hAnsi="Times New Roman"/>
          <w:sz w:val="20"/>
          <w:szCs w:val="20"/>
          <w:color w:val="auto"/>
        </w:rPr>
        <w:t>. Your Award is not an employment or service contract, and nothing in your Award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to create in any way whatsoever any obligation on your part to continue in the employ or service of the Company or an affiliate, or of the Company or an affiliate to continue your employment or service. In addition, nothing in your Award will obligate the Company or an affiliate, their respective stockholders, boards of directors, officers or employees to continue any relationship that you might have as a director or consultant for the Company or an affiliate.</w:t>
      </w:r>
    </w:p>
    <w:p>
      <w:pPr>
        <w:spacing w:after="0" w:line="180" w:lineRule="exact"/>
        <w:rPr>
          <w:rFonts w:ascii="Times New Roman" w:cs="Times New Roman" w:eastAsia="Times New Roman" w:hAnsi="Times New Roman"/>
          <w:sz w:val="20"/>
          <w:szCs w:val="20"/>
          <w:b w:val="1"/>
          <w:bCs w:val="1"/>
          <w:color w:val="auto"/>
        </w:rPr>
      </w:pPr>
    </w:p>
    <w:p>
      <w:pPr>
        <w:ind w:left="1660" w:hanging="788"/>
        <w:spacing w:after="0"/>
        <w:tabs>
          <w:tab w:leader="none" w:pos="1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Obligations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735"/>
        <w:spacing w:after="0" w:line="246" w:lineRule="auto"/>
        <w:tabs>
          <w:tab w:leader="none" w:pos="2606"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a condition precedent to the issuance of Common Stock following the vesting of the Award, you shall, upon request by the Company, pay to the Company such amount as the Company determines is required, under all applicable federal, state, local or other laws or regulations, to be withheld and paid over as income or other withholding taxes (the “</w:t>
      </w:r>
      <w:r>
        <w:rPr>
          <w:rFonts w:ascii="Times New Roman" w:cs="Times New Roman" w:eastAsia="Times New Roman" w:hAnsi="Times New Roman"/>
          <w:sz w:val="20"/>
          <w:szCs w:val="20"/>
          <w:b w:val="1"/>
          <w:bCs w:val="1"/>
          <w:i w:val="1"/>
          <w:iCs w:val="1"/>
          <w:color w:val="auto"/>
        </w:rPr>
        <w:t>Required Tax Payments</w:t>
      </w:r>
      <w:r>
        <w:rPr>
          <w:rFonts w:ascii="Times New Roman" w:cs="Times New Roman" w:eastAsia="Times New Roman" w:hAnsi="Times New Roman"/>
          <w:sz w:val="20"/>
          <w:szCs w:val="20"/>
          <w:color w:val="auto"/>
        </w:rPr>
        <w:t>”) with respect to vesting of the Award. If you shall fail to advance the Required Tax Payments after request by the Company, the Company may, in its discretion, deduct any Required Tax Payments from any amount then or thereafter payable by the Company to you.</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4" w:name="page175"/>
    <w:bookmarkEnd w:id="174"/>
    <w:p>
      <w:pPr>
        <w:jc w:val="both"/>
        <w:ind w:firstLine="1735"/>
        <w:spacing w:after="0" w:line="241" w:lineRule="auto"/>
        <w:tabs>
          <w:tab w:leader="none" w:pos="2617" w:val="left"/>
        </w:tabs>
        <w:numPr>
          <w:ilvl w:val="1"/>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elect to satisfy your obligation to advance the Required Tax Payments by any of the following means: (i) a cash payment to the Company; (ii) to the extent permitted by the Company,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Times New Roman" w:cs="Times New Roman" w:eastAsia="Times New Roman" w:hAnsi="Times New Roman"/>
          <w:sz w:val="20"/>
          <w:szCs w:val="20"/>
          <w:b w:val="1"/>
          <w:bCs w:val="1"/>
          <w:i w:val="1"/>
          <w:iCs w:val="1"/>
          <w:color w:val="auto"/>
        </w:rPr>
        <w:t>Tax Date</w:t>
      </w:r>
      <w:r>
        <w:rPr>
          <w:rFonts w:ascii="Times New Roman" w:cs="Times New Roman" w:eastAsia="Times New Roman" w:hAnsi="Times New Roman"/>
          <w:sz w:val="20"/>
          <w:szCs w:val="20"/>
          <w:color w:val="auto"/>
        </w:rPr>
        <w:t>”), equal to the Required Tax Payments; (iii) to the extent permitted by the Company, authorizing the Company to withhold whole shares of Common Stock which would otherwise be delivered to you upon the vesting of the Award having an aggregate Fair Market Value, determined as of the Tax Date, equal to the Required Tax Payments; (iv) arranging for a Company-designated broker to sell on the market a portion of the otherwise issuable vested shares of Common Stock that have an aggregate market value sufficient to pay the Required Tax Payments on your behalf and at your direction pursuant to this authorization or (v) any combination of (i), (ii) and (iii). Notwithstanding the foregoing, if you are subject to Section 16 of the Exchange Act, the Required Tax Payments shall be satisfied pursuant to clause (iv) above unless the Committee determines otherwise.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or certificate representing a share of Common Stock shall be issued or delivered until the Required Tax Payments have been satisfied in full.</w:t>
      </w:r>
    </w:p>
    <w:p>
      <w:pPr>
        <w:spacing w:after="0" w:line="190"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Consequences</w:t>
      </w:r>
      <w:r>
        <w:rPr>
          <w:rFonts w:ascii="Times New Roman" w:cs="Times New Roman" w:eastAsia="Times New Roman" w:hAnsi="Times New Roman"/>
          <w:sz w:val="20"/>
          <w:szCs w:val="20"/>
          <w:color w:val="auto"/>
        </w:rPr>
        <w:t>. You hereby agree that the Company does not have a duty to design or administer the Plan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programs in a manner that minimizes your tax liabilities. You will not make any claim against the Company, or any of its officers, directors, employees, affiliates or representatives related to tax liabilities arising from your Award or your other compensation.</w:t>
      </w:r>
    </w:p>
    <w:p>
      <w:pPr>
        <w:spacing w:after="0" w:line="168" w:lineRule="exact"/>
        <w:rPr>
          <w:rFonts w:ascii="Times New Roman" w:cs="Times New Roman" w:eastAsia="Times New Roman" w:hAnsi="Times New Roman"/>
          <w:sz w:val="20"/>
          <w:szCs w:val="20"/>
          <w:b w:val="1"/>
          <w:bCs w:val="1"/>
          <w:color w:val="auto"/>
        </w:rPr>
      </w:pPr>
    </w:p>
    <w:p>
      <w:pPr>
        <w:jc w:val="both"/>
        <w:ind w:firstLine="872"/>
        <w:spacing w:after="0" w:line="245" w:lineRule="auto"/>
        <w:tabs>
          <w:tab w:leader="none" w:pos="1748"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notices provided for in your Award or the Plan will be given in writing (including electronically) and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9"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Decisions of Board or Committee</w:t>
      </w:r>
      <w:r>
        <w:rPr>
          <w:rFonts w:ascii="Times New Roman" w:cs="Times New Roman" w:eastAsia="Times New Roman" w:hAnsi="Times New Roman"/>
          <w:sz w:val="20"/>
          <w:szCs w:val="20"/>
          <w:color w:val="auto"/>
        </w:rPr>
        <w:t>. The Board or the Committee shall have the right to resolve all questions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arise in connection with the Award. Any interpretation, determination or other action made or taken by the Board or the Committee regarding the Plan or this Award Agreement shall be final, binding and conclusive.</w:t>
      </w:r>
    </w:p>
    <w:p>
      <w:pPr>
        <w:spacing w:after="0" w:line="168" w:lineRule="exact"/>
        <w:rPr>
          <w:rFonts w:ascii="Times New Roman" w:cs="Times New Roman" w:eastAsia="Times New Roman" w:hAnsi="Times New Roman"/>
          <w:sz w:val="20"/>
          <w:szCs w:val="20"/>
          <w:b w:val="1"/>
          <w:bCs w:val="1"/>
          <w:color w:val="auto"/>
        </w:rPr>
      </w:pPr>
    </w:p>
    <w:p>
      <w:pPr>
        <w:jc w:val="both"/>
        <w:ind w:firstLine="872"/>
        <w:spacing w:after="0" w:line="256" w:lineRule="auto"/>
        <w:tabs>
          <w:tab w:leader="none" w:pos="1759"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Award Agreement shall be binding upon and inure to the benefit of any successor or successors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any person or persons who shall, upon your death, acquire any rights hereunder in accordance with this Award Agreement or the Plan.</w:t>
      </w:r>
    </w:p>
    <w:p>
      <w:pPr>
        <w:spacing w:after="0" w:line="168" w:lineRule="exact"/>
        <w:rPr>
          <w:rFonts w:ascii="Times New Roman" w:cs="Times New Roman" w:eastAsia="Times New Roman" w:hAnsi="Times New Roman"/>
          <w:sz w:val="20"/>
          <w:szCs w:val="20"/>
          <w:b w:val="1"/>
          <w:bCs w:val="1"/>
          <w:color w:val="auto"/>
        </w:rPr>
      </w:pPr>
    </w:p>
    <w:p>
      <w:pPr>
        <w:jc w:val="both"/>
        <w:ind w:firstLine="872"/>
        <w:spacing w:after="0" w:line="247" w:lineRule="auto"/>
        <w:tabs>
          <w:tab w:leader="none" w:pos="1759"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Rights</w:t>
      </w:r>
      <w:r>
        <w:rPr>
          <w:rFonts w:ascii="Times New Roman" w:cs="Times New Roman" w:eastAsia="Times New Roman" w:hAnsi="Times New Roman"/>
          <w:sz w:val="20"/>
          <w:szCs w:val="20"/>
          <w:color w:val="auto"/>
        </w:rPr>
        <w:t>. Pursuant to 18 U.S.C. § 1833(b), “an individual shall not be held criminally or civilly liable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5" w:name="page176"/>
    <w:bookmarkEnd w:id="175"/>
    <w:p>
      <w:pPr>
        <w:jc w:val="both"/>
        <w:spacing w:after="0" w:line="242" w:lineRule="auto"/>
        <w:rPr>
          <w:sz w:val="20"/>
          <w:szCs w:val="20"/>
          <w:color w:val="auto"/>
        </w:rPr>
      </w:pPr>
      <w:r>
        <w:rPr>
          <w:rFonts w:ascii="Times New Roman" w:cs="Times New Roman" w:eastAsia="Times New Roman" w:hAnsi="Times New Roman"/>
          <w:sz w:val="20"/>
          <w:szCs w:val="20"/>
          <w:color w:val="auto"/>
        </w:rPr>
        <w:t>Federal, State, and local government officials, or to an attorney, for the sole purpose of reporting or investigating a suspected violation of law. You also have the right to disclose trade secrets in a document filed in a lawsuit or other proceeding, but only if the filing is made under seal and protected from public disclosure. Nothing in this Award Agreement is intended to conflict with 18 U.S.C. § 1833(b) or create liability for disclosures of trade secrets that are expressly allowed by 18 U.S.C. § 1833(b). You understand that nothing contained in this Award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You further understand that this Award Agreement does not limit your ability to communicate with any Government Agencies or otherwise participate in any investigation or proceeding that may be conducted by any Government Agency, including providing documents or other information, without notice to the Company. This Award Agreement does not limit your right to receive an award for information provided to any Government Agencies.</w:t>
      </w:r>
    </w:p>
    <w:p>
      <w:pPr>
        <w:spacing w:after="0" w:line="188" w:lineRule="exact"/>
        <w:rPr>
          <w:sz w:val="20"/>
          <w:szCs w:val="20"/>
          <w:color w:val="auto"/>
        </w:rPr>
      </w:pPr>
    </w:p>
    <w:p>
      <w:pPr>
        <w:jc w:val="both"/>
        <w:ind w:firstLine="872"/>
        <w:spacing w:after="0" w:line="250" w:lineRule="auto"/>
        <w:tabs>
          <w:tab w:leader="none" w:pos="1759"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Plan Document</w:t>
      </w:r>
      <w:r>
        <w:rPr>
          <w:rFonts w:ascii="Times New Roman" w:cs="Times New Roman" w:eastAsia="Times New Roman" w:hAnsi="Times New Roman"/>
          <w:sz w:val="20"/>
          <w:szCs w:val="20"/>
          <w:color w:val="auto"/>
        </w:rPr>
        <w:t>. Your Award is subject to all the provisions of the Plan, the provisions of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ectPr>
          <w:pgSz w:w="11900" w:h="16838" w:orient="portrait"/>
          <w:cols w:equalWidth="0" w:num="1">
            <w:col w:w="9019"/>
          </w:cols>
          <w:pgMar w:left="1440" w:top="761" w:right="1440" w:bottom="1440" w:gutter="0" w:footer="0" w:header="0"/>
        </w:sectPr>
      </w:pPr>
    </w:p>
    <w:bookmarkStart w:id="177" w:name="page178"/>
    <w:bookmarkEnd w:id="177"/>
    <w:p>
      <w:pPr>
        <w:ind w:left="10200"/>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156845</wp:posOffset>
            </wp:positionV>
            <wp:extent cx="8890" cy="57867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8890" cy="57867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156845</wp:posOffset>
            </wp:positionV>
            <wp:extent cx="8255" cy="5786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8255" cy="57867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Borders>
              <w:top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AMENDMENTS OF SOLICITATION/ MODIFICATION OF CONTRACT</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 CONTRACT ID CODE</w:t>
            </w:r>
          </w:p>
        </w:tc>
        <w:tc>
          <w:tcPr>
            <w:tcW w:w="50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PAGE OF PAGES</w:t>
            </w:r>
          </w:p>
        </w:tc>
        <w:tc>
          <w:tcPr>
            <w:tcW w:w="6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36"/>
        </w:trPr>
        <w:tc>
          <w:tcPr>
            <w:tcW w:w="244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2. AMENDMENT/MODIFICATION NO.</w:t>
            </w:r>
          </w:p>
        </w:tc>
        <w:tc>
          <w:tcPr>
            <w:tcW w:w="8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3. EFFECTIVE DATE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4 REQUISITION / PURCHASE REQ. NO.</w:t>
            </w:r>
          </w:p>
        </w:tc>
        <w:tc>
          <w:tcPr>
            <w:tcW w:w="500" w:type="dxa"/>
            <w:vAlign w:val="bottom"/>
            <w:tcBorders>
              <w:right w:val="single" w:sz="8" w:color="auto"/>
            </w:tcBorders>
          </w:tcPr>
          <w:p>
            <w:pPr>
              <w:spacing w:after="0"/>
              <w:rPr>
                <w:sz w:val="11"/>
                <w:szCs w:val="11"/>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94"/>
              </w:rPr>
              <w:t>5. PROJECT NO</w:t>
            </w: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w w:val="97"/>
              </w:rPr>
              <w:t>(If applicable</w:t>
            </w:r>
            <w:r>
              <w:rPr>
                <w:rFonts w:ascii="Times New Roman" w:cs="Times New Roman" w:eastAsia="Times New Roman" w:hAnsi="Times New Roman"/>
                <w:sz w:val="11"/>
                <w:szCs w:val="11"/>
                <w:color w:val="auto"/>
                <w:w w:val="97"/>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color w:val="auto"/>
              </w:rPr>
              <w:t>P00002</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color w:val="auto"/>
              </w:rPr>
              <w:t>SEE BLOCK 16C</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color w:val="auto"/>
              </w:rPr>
              <w:t>OS268645</w:t>
            </w:r>
          </w:p>
        </w:tc>
        <w:tc>
          <w:tcPr>
            <w:tcW w:w="5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1"/>
                <w:szCs w:val="11"/>
                <w:color w:val="auto"/>
              </w:rPr>
              <w:t>6. ISSUED BY</w:t>
            </w:r>
          </w:p>
        </w:tc>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CODE</w:t>
            </w:r>
          </w:p>
        </w:tc>
        <w:tc>
          <w:tcPr>
            <w:tcW w:w="8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ASPR-BARDA</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7. ADMINISTERED BY (If other than Item 6)</w:t>
            </w:r>
          </w:p>
        </w:tc>
        <w:tc>
          <w:tcPr>
            <w:tcW w:w="144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CODE</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80" w:type="dxa"/>
            <w:vAlign w:val="bottom"/>
            <w:gridSpan w:val="4"/>
          </w:tcPr>
          <w:p>
            <w:pPr>
              <w:ind w:left="100"/>
              <w:spacing w:after="0" w:line="102" w:lineRule="exact"/>
              <w:rPr>
                <w:sz w:val="20"/>
                <w:szCs w:val="20"/>
                <w:color w:val="auto"/>
              </w:rPr>
            </w:pPr>
            <w:r>
              <w:rPr>
                <w:rFonts w:ascii="Times New Roman" w:cs="Times New Roman" w:eastAsia="Times New Roman" w:hAnsi="Times New Roman"/>
                <w:sz w:val="11"/>
                <w:szCs w:val="11"/>
                <w:color w:val="auto"/>
              </w:rPr>
              <w:t>ASPR-BARDA</w:t>
            </w: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40" w:type="dxa"/>
            <w:vAlign w:val="bottom"/>
            <w:gridSpan w:val="5"/>
          </w:tcPr>
          <w:p>
            <w:pPr>
              <w:ind w:left="100"/>
              <w:spacing w:after="0" w:line="122" w:lineRule="exact"/>
              <w:rPr>
                <w:sz w:val="20"/>
                <w:szCs w:val="20"/>
                <w:color w:val="auto"/>
              </w:rPr>
            </w:pPr>
            <w:r>
              <w:rPr>
                <w:rFonts w:ascii="Times New Roman" w:cs="Times New Roman" w:eastAsia="Times New Roman" w:hAnsi="Times New Roman"/>
                <w:sz w:val="11"/>
                <w:szCs w:val="11"/>
                <w:color w:val="auto"/>
              </w:rPr>
              <w:t>200 Independence Ave., S.W.</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gridSpan w:val="4"/>
          </w:tcPr>
          <w:p>
            <w:pPr>
              <w:ind w:left="100"/>
              <w:spacing w:after="0" w:line="122" w:lineRule="exact"/>
              <w:rPr>
                <w:sz w:val="20"/>
                <w:szCs w:val="20"/>
                <w:color w:val="auto"/>
              </w:rPr>
            </w:pPr>
            <w:r>
              <w:rPr>
                <w:rFonts w:ascii="Times New Roman" w:cs="Times New Roman" w:eastAsia="Times New Roman" w:hAnsi="Times New Roman"/>
                <w:sz w:val="11"/>
                <w:szCs w:val="11"/>
                <w:color w:val="auto"/>
              </w:rPr>
              <w:t>Room 640-G</w:t>
            </w: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1"/>
                <w:szCs w:val="11"/>
                <w:color w:val="auto"/>
              </w:rPr>
              <w:t>Washington DC 20201</w:t>
            </w: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80" w:type="dxa"/>
            <w:vAlign w:val="bottom"/>
            <w:gridSpan w:val="8"/>
          </w:tcPr>
          <w:p>
            <w:pPr>
              <w:ind w:left="100"/>
              <w:spacing w:after="0"/>
              <w:rPr>
                <w:sz w:val="20"/>
                <w:szCs w:val="20"/>
                <w:color w:val="auto"/>
              </w:rPr>
            </w:pPr>
            <w:r>
              <w:rPr>
                <w:rFonts w:ascii="Times New Roman" w:cs="Times New Roman" w:eastAsia="Times New Roman" w:hAnsi="Times New Roman"/>
                <w:sz w:val="11"/>
                <w:szCs w:val="11"/>
                <w:color w:val="auto"/>
                <w:w w:val="99"/>
              </w:rPr>
              <w:t>8. NAME AND ADDRESS OF CONTRACTOR (No, street, county, State and ZIP Code)</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9"/>
                <w:szCs w:val="9"/>
                <w:color w:val="auto"/>
              </w:rPr>
              <w:t>(x)</w:t>
            </w:r>
          </w:p>
        </w:tc>
        <w:tc>
          <w:tcPr>
            <w:tcW w:w="2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9A AMENDMENT OF SOLICITATION</w:t>
            </w: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44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OUTSET MEDICAL, INC 1261480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80" w:type="dxa"/>
            <w:vAlign w:val="bottom"/>
            <w:gridSpan w:val="4"/>
            <w:vMerge w:val="restart"/>
          </w:tcPr>
          <w:p>
            <w:pPr>
              <w:ind w:left="100"/>
              <w:spacing w:after="0" w:line="122" w:lineRule="exact"/>
              <w:rPr>
                <w:sz w:val="20"/>
                <w:szCs w:val="20"/>
                <w:color w:val="auto"/>
              </w:rPr>
            </w:pPr>
            <w:r>
              <w:rPr>
                <w:rFonts w:ascii="Times New Roman" w:cs="Times New Roman" w:eastAsia="Times New Roman" w:hAnsi="Times New Roman"/>
                <w:sz w:val="11"/>
                <w:szCs w:val="11"/>
                <w:color w:val="auto"/>
              </w:rPr>
              <w:t>Attn: Jamie Lewis</w:t>
            </w: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280" w:type="dxa"/>
            <w:vAlign w:val="bottom"/>
            <w:gridSpan w:val="4"/>
            <w:vMerge w:val="continue"/>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2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9B DATE (</w:t>
            </w:r>
            <w:r>
              <w:rPr>
                <w:rFonts w:ascii="Times New Roman" w:cs="Times New Roman" w:eastAsia="Times New Roman" w:hAnsi="Times New Roman"/>
                <w:sz w:val="11"/>
                <w:szCs w:val="11"/>
                <w:i w:val="1"/>
                <w:iCs w:val="1"/>
                <w:color w:val="auto"/>
              </w:rPr>
              <w:t>SEE ITEM 11)</w:t>
            </w: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440" w:type="dxa"/>
            <w:vAlign w:val="bottom"/>
            <w:gridSpan w:val="5"/>
          </w:tcPr>
          <w:p>
            <w:pPr>
              <w:ind w:left="100"/>
              <w:spacing w:after="0" w:line="122" w:lineRule="exact"/>
              <w:rPr>
                <w:sz w:val="20"/>
                <w:szCs w:val="20"/>
                <w:color w:val="auto"/>
              </w:rPr>
            </w:pPr>
            <w:r>
              <w:rPr>
                <w:rFonts w:ascii="Times New Roman" w:cs="Times New Roman" w:eastAsia="Times New Roman" w:hAnsi="Times New Roman"/>
                <w:sz w:val="11"/>
                <w:szCs w:val="11"/>
                <w:color w:val="auto"/>
              </w:rPr>
              <w:t>OUTSET MEDICAL, INC.</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gridSpan w:val="4"/>
          </w:tcPr>
          <w:p>
            <w:pPr>
              <w:ind w:left="100"/>
              <w:spacing w:after="0" w:line="122" w:lineRule="exact"/>
              <w:rPr>
                <w:sz w:val="20"/>
                <w:szCs w:val="20"/>
                <w:color w:val="auto"/>
              </w:rPr>
            </w:pPr>
            <w:r>
              <w:rPr>
                <w:rFonts w:ascii="Times New Roman" w:cs="Times New Roman" w:eastAsia="Times New Roman" w:hAnsi="Times New Roman"/>
                <w:sz w:val="11"/>
                <w:szCs w:val="11"/>
                <w:color w:val="auto"/>
              </w:rPr>
              <w:t>1830 BERING DR</w:t>
            </w: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color w:val="auto"/>
                <w:w w:val="96"/>
              </w:rPr>
              <w:t>SAN JOSE CA 951124212</w:t>
            </w:r>
          </w:p>
        </w:tc>
        <w:tc>
          <w:tcPr>
            <w:tcW w:w="1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80" w:type="dxa"/>
            <w:vAlign w:val="bottom"/>
            <w:gridSpan w:val="4"/>
          </w:tcPr>
          <w:p>
            <w:pPr>
              <w:ind w:left="100"/>
              <w:spacing w:after="0" w:line="102" w:lineRule="exact"/>
              <w:rPr>
                <w:sz w:val="20"/>
                <w:szCs w:val="20"/>
                <w:color w:val="auto"/>
              </w:rPr>
            </w:pPr>
            <w:r>
              <w:rPr>
                <w:rFonts w:ascii="Times New Roman" w:cs="Times New Roman" w:eastAsia="Times New Roman" w:hAnsi="Times New Roman"/>
                <w:sz w:val="11"/>
                <w:szCs w:val="11"/>
                <w:color w:val="auto"/>
              </w:rPr>
              <w:t>CODE</w:t>
            </w: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520" w:type="dxa"/>
            <w:vAlign w:val="bottom"/>
            <w:gridSpan w:val="3"/>
          </w:tcPr>
          <w:p>
            <w:pPr>
              <w:ind w:left="80"/>
              <w:spacing w:after="0" w:line="102" w:lineRule="exact"/>
              <w:rPr>
                <w:sz w:val="20"/>
                <w:szCs w:val="20"/>
                <w:color w:val="auto"/>
              </w:rPr>
            </w:pPr>
            <w:r>
              <w:rPr>
                <w:rFonts w:ascii="Times New Roman" w:cs="Times New Roman" w:eastAsia="Times New Roman" w:hAnsi="Times New Roman"/>
                <w:sz w:val="11"/>
                <w:szCs w:val="11"/>
                <w:color w:val="auto"/>
              </w:rPr>
              <w:t>FACILITY CODE</w:t>
            </w: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ind w:left="80"/>
              <w:spacing w:after="0" w:line="102" w:lineRule="exact"/>
              <w:rPr>
                <w:sz w:val="20"/>
                <w:szCs w:val="20"/>
                <w:color w:val="auto"/>
              </w:rPr>
            </w:pPr>
            <w:r>
              <w:rPr>
                <w:rFonts w:ascii="Times New Roman" w:cs="Times New Roman" w:eastAsia="Times New Roman" w:hAnsi="Times New Roman"/>
                <w:sz w:val="11"/>
                <w:szCs w:val="11"/>
                <w:color w:val="auto"/>
              </w:rPr>
              <w:t>X</w:t>
            </w:r>
          </w:p>
        </w:tc>
        <w:tc>
          <w:tcPr>
            <w:tcW w:w="4000" w:type="dxa"/>
            <w:vAlign w:val="bottom"/>
            <w:gridSpan w:val="5"/>
          </w:tcPr>
          <w:p>
            <w:pPr>
              <w:ind w:left="80"/>
              <w:spacing w:after="0" w:line="102" w:lineRule="exact"/>
              <w:rPr>
                <w:sz w:val="20"/>
                <w:szCs w:val="20"/>
                <w:color w:val="auto"/>
              </w:rPr>
            </w:pPr>
            <w:r>
              <w:rPr>
                <w:rFonts w:ascii="Times New Roman" w:cs="Times New Roman" w:eastAsia="Times New Roman" w:hAnsi="Times New Roman"/>
                <w:sz w:val="11"/>
                <w:szCs w:val="11"/>
                <w:color w:val="auto"/>
              </w:rPr>
              <w:t>10A. MODIFICATION OF CONTRACT/ORDER NO.</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1261480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75A50119C00077</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2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10B. DATED (SEE ITEM 13)</w:t>
            </w: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09/26/2019</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780" w:type="dxa"/>
            <w:vAlign w:val="bottom"/>
            <w:tcBorders>
              <w:bottom w:val="single" w:sz="8" w:color="auto"/>
              <w:right w:val="single" w:sz="8" w:color="auto"/>
            </w:tcBorders>
            <w:gridSpan w:val="5"/>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auto"/>
            </w:tcBorders>
            <w:gridSpan w:val="8"/>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11   THIS ITEM ONLY APPLIE TO ADMENMENTS OF SOLICITATIONS</w:t>
            </w: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80" w:type="dxa"/>
            <w:vAlign w:val="bottom"/>
            <w:gridSpan w:val="6"/>
          </w:tcPr>
          <w:p>
            <w:pPr>
              <w:ind w:left="100"/>
              <w:spacing w:after="0" w:line="102"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The above numbered solicitation is amended as set forth in Item 14.</w:t>
            </w:r>
          </w:p>
        </w:tc>
        <w:tc>
          <w:tcPr>
            <w:tcW w:w="2540" w:type="dxa"/>
            <w:vAlign w:val="bottom"/>
            <w:gridSpan w:val="6"/>
          </w:tcPr>
          <w:p>
            <w:pPr>
              <w:ind w:left="40"/>
              <w:spacing w:after="0" w:line="102" w:lineRule="exact"/>
              <w:rPr>
                <w:sz w:val="20"/>
                <w:szCs w:val="20"/>
                <w:color w:val="auto"/>
              </w:rPr>
            </w:pPr>
            <w:r>
              <w:rPr>
                <w:rFonts w:ascii="Times New Roman" w:cs="Times New Roman" w:eastAsia="Times New Roman" w:hAnsi="Times New Roman"/>
                <w:sz w:val="11"/>
                <w:szCs w:val="11"/>
                <w:color w:val="auto"/>
              </w:rPr>
              <w:t>The hour and date specified for receipt of Offers</w:t>
            </w:r>
          </w:p>
        </w:tc>
        <w:tc>
          <w:tcPr>
            <w:tcW w:w="760" w:type="dxa"/>
            <w:vAlign w:val="bottom"/>
            <w:gridSpan w:val="2"/>
          </w:tcPr>
          <w:p>
            <w:pPr>
              <w:ind w:left="40"/>
              <w:spacing w:after="0" w:line="102"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is extended,</w:t>
            </w:r>
          </w:p>
        </w:tc>
        <w:tc>
          <w:tcPr>
            <w:tcW w:w="2020" w:type="dxa"/>
            <w:vAlign w:val="bottom"/>
          </w:tcPr>
          <w:p>
            <w:pPr>
              <w:ind w:left="480"/>
              <w:spacing w:after="0" w:line="102"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is not extended.</w:t>
            </w: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600" w:type="dxa"/>
            <w:vAlign w:val="bottom"/>
            <w:gridSpan w:val="15"/>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Offers must acknowledge receipt of this amendment prior to the hour and date specified in the solicitation or as amended, by one of the following methods: (a) By completing Items 8 and 15,</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600" w:type="dxa"/>
            <w:vAlign w:val="bottom"/>
            <w:gridSpan w:val="15"/>
          </w:tcPr>
          <w:p>
            <w:pPr>
              <w:ind w:left="100"/>
              <w:spacing w:after="0" w:line="122" w:lineRule="exact"/>
              <w:rPr>
                <w:sz w:val="20"/>
                <w:szCs w:val="20"/>
                <w:color w:val="auto"/>
              </w:rPr>
            </w:pPr>
            <w:r>
              <w:rPr>
                <w:rFonts w:ascii="Times New Roman" w:cs="Times New Roman" w:eastAsia="Times New Roman" w:hAnsi="Times New Roman"/>
                <w:sz w:val="11"/>
                <w:szCs w:val="11"/>
                <w:color w:val="auto"/>
              </w:rPr>
              <w:t>and returning _____ copies of the amendment; (b) By acknowledging receipt of this amendment on each copy of the offer submitted; or (c) By separate letter or electronic communication</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600" w:type="dxa"/>
            <w:vAlign w:val="bottom"/>
            <w:gridSpan w:val="15"/>
          </w:tcPr>
          <w:p>
            <w:pPr>
              <w:ind w:left="100"/>
              <w:spacing w:after="0" w:line="122" w:lineRule="exact"/>
              <w:rPr>
                <w:sz w:val="20"/>
                <w:szCs w:val="20"/>
                <w:color w:val="auto"/>
              </w:rPr>
            </w:pPr>
            <w:r>
              <w:rPr>
                <w:rFonts w:ascii="Times New Roman" w:cs="Times New Roman" w:eastAsia="Times New Roman" w:hAnsi="Times New Roman"/>
                <w:sz w:val="11"/>
                <w:szCs w:val="11"/>
                <w:color w:val="auto"/>
              </w:rPr>
              <w:t>which includes a reference to the solicitation and amendment numbers. FAILURE OF YOUR ACKNOWLEDGEMENT TO BE RECEIVED AT THE PLACE DESIGNATED FOR THE</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600" w:type="dxa"/>
            <w:vAlign w:val="bottom"/>
            <w:gridSpan w:val="15"/>
          </w:tcPr>
          <w:p>
            <w:pPr>
              <w:ind w:left="100"/>
              <w:spacing w:after="0" w:line="122" w:lineRule="exact"/>
              <w:rPr>
                <w:sz w:val="20"/>
                <w:szCs w:val="20"/>
                <w:color w:val="auto"/>
              </w:rPr>
            </w:pPr>
            <w:r>
              <w:rPr>
                <w:rFonts w:ascii="Times New Roman" w:cs="Times New Roman" w:eastAsia="Times New Roman" w:hAnsi="Times New Roman"/>
                <w:sz w:val="11"/>
                <w:szCs w:val="11"/>
                <w:color w:val="auto"/>
              </w:rPr>
              <w:t>RECEIPT OF OFFERS PRIOR TO THE HOUR AND DATE SPECIFIED MAY RESULT IN REJECTION OF YOUR OFFER. If by virtue of this amendment you desire to change an offer</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600" w:type="dxa"/>
            <w:vAlign w:val="bottom"/>
            <w:gridSpan w:val="15"/>
          </w:tcPr>
          <w:p>
            <w:pPr>
              <w:ind w:left="100"/>
              <w:spacing w:after="0" w:line="122" w:lineRule="exact"/>
              <w:rPr>
                <w:sz w:val="20"/>
                <w:szCs w:val="20"/>
                <w:color w:val="auto"/>
              </w:rPr>
            </w:pPr>
            <w:r>
              <w:rPr>
                <w:rFonts w:ascii="Times New Roman" w:cs="Times New Roman" w:eastAsia="Times New Roman" w:hAnsi="Times New Roman"/>
                <w:sz w:val="11"/>
                <w:szCs w:val="11"/>
                <w:color w:val="auto"/>
              </w:rPr>
              <w:t>already submitted, such change may be made by letter or electronic communication, provided each letter or electronic communication makes reference to the solicitation and this amendment,</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1"/>
                <w:szCs w:val="11"/>
                <w:color w:val="auto"/>
              </w:rPr>
              <w:t>and is received prior to the opening hour and date specified.</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318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color w:val="auto"/>
              </w:rPr>
              <w:t xml:space="preserve">12.   ACCOUNTING AND APPROPRIATION DATA </w:t>
            </w:r>
            <w:r>
              <w:rPr>
                <w:rFonts w:ascii="Times New Roman" w:cs="Times New Roman" w:eastAsia="Times New Roman" w:hAnsi="Times New Roman"/>
                <w:sz w:val="11"/>
                <w:szCs w:val="11"/>
                <w:i w:val="1"/>
                <w:iCs w:val="1"/>
                <w:color w:val="auto"/>
              </w:rPr>
              <w:t>(If required)</w:t>
            </w:r>
          </w:p>
        </w:tc>
        <w:tc>
          <w:tcPr>
            <w:tcW w:w="800" w:type="dxa"/>
            <w:vAlign w:val="bottom"/>
            <w:gridSpan w:val="2"/>
          </w:tcPr>
          <w:p>
            <w:pPr>
              <w:ind w:left="80"/>
              <w:spacing w:after="0" w:line="102" w:lineRule="exact"/>
              <w:rPr>
                <w:sz w:val="20"/>
                <w:szCs w:val="20"/>
                <w:color w:val="auto"/>
              </w:rPr>
            </w:pPr>
            <w:r>
              <w:rPr>
                <w:rFonts w:ascii="Times New Roman" w:cs="Times New Roman" w:eastAsia="Times New Roman" w:hAnsi="Times New Roman"/>
                <w:sz w:val="11"/>
                <w:szCs w:val="11"/>
                <w:color w:val="auto"/>
              </w:rPr>
              <w:t>Net Increase:</w:t>
            </w:r>
          </w:p>
        </w:tc>
        <w:tc>
          <w:tcPr>
            <w:tcW w:w="520" w:type="dxa"/>
            <w:vAlign w:val="bottom"/>
          </w:tcPr>
          <w:p>
            <w:pPr>
              <w:jc w:val="right"/>
              <w:ind w:right="126"/>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1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See Schedule</w:t>
            </w: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00" w:type="dxa"/>
            <w:vAlign w:val="bottom"/>
            <w:gridSpan w:val="14"/>
          </w:tcPr>
          <w:p>
            <w:pPr>
              <w:spacing w:after="0"/>
              <w:rPr>
                <w:sz w:val="20"/>
                <w:szCs w:val="20"/>
                <w:color w:val="auto"/>
              </w:rPr>
            </w:pPr>
            <w:r>
              <w:rPr>
                <w:rFonts w:ascii="Times New Roman" w:cs="Times New Roman" w:eastAsia="Times New Roman" w:hAnsi="Times New Roman"/>
                <w:sz w:val="11"/>
                <w:szCs w:val="11"/>
                <w:color w:val="auto"/>
              </w:rPr>
              <w:t xml:space="preserve">13.   </w:t>
            </w:r>
            <w:r>
              <w:rPr>
                <w:rFonts w:ascii="Times New Roman" w:cs="Times New Roman" w:eastAsia="Times New Roman" w:hAnsi="Times New Roman"/>
                <w:sz w:val="11"/>
                <w:szCs w:val="11"/>
                <w:b w:val="1"/>
                <w:bCs w:val="1"/>
                <w:color w:val="auto"/>
              </w:rPr>
              <w:t>THIS ITEM ONLY APPLIES TO MODIFICATION OF CONTRACTS/ORDERS. IT MODIFIES THE CONTRACT/ORDER NO. AS DESCRIBED IN ITEM 14.</w:t>
            </w: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3"/>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2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color w:val="auto"/>
              </w:rPr>
              <w:t>CHECK ONE</w:t>
            </w:r>
          </w:p>
        </w:tc>
        <w:tc>
          <w:tcPr>
            <w:tcW w:w="80" w:type="dxa"/>
            <w:vAlign w:val="bottom"/>
          </w:tcPr>
          <w:p>
            <w:pPr>
              <w:spacing w:after="0"/>
              <w:rPr>
                <w:sz w:val="11"/>
                <w:szCs w:val="11"/>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 xml:space="preserve">A. THIS CHANGE ORDER IS ISSUED PURSUANT TO: </w:t>
            </w:r>
            <w:r>
              <w:rPr>
                <w:rFonts w:ascii="Times New Roman" w:cs="Times New Roman" w:eastAsia="Times New Roman" w:hAnsi="Times New Roman"/>
                <w:sz w:val="11"/>
                <w:szCs w:val="11"/>
                <w:i w:val="1"/>
                <w:iCs w:val="1"/>
                <w:color w:val="auto"/>
              </w:rPr>
              <w:t>(Specify authority)</w:t>
            </w:r>
            <w:r>
              <w:rPr>
                <w:rFonts w:ascii="Times New Roman" w:cs="Times New Roman" w:eastAsia="Times New Roman" w:hAnsi="Times New Roman"/>
                <w:sz w:val="11"/>
                <w:szCs w:val="11"/>
                <w:color w:val="auto"/>
              </w:rPr>
              <w:t xml:space="preserve"> THE CHANGES SET FORTH IN ITEM 14 ARE MADE IN THE CONTRACT ORDER NO. IN ITEM 10A.</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3"/>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960" w:type="dxa"/>
            <w:vAlign w:val="bottom"/>
            <w:gridSpan w:val="16"/>
          </w:tcPr>
          <w:p>
            <w:pPr>
              <w:spacing w:after="0" w:line="102" w:lineRule="exact"/>
              <w:rPr>
                <w:sz w:val="20"/>
                <w:szCs w:val="20"/>
                <w:color w:val="auto"/>
              </w:rPr>
            </w:pPr>
            <w:r>
              <w:rPr>
                <w:rFonts w:ascii="Times New Roman" w:cs="Times New Roman" w:eastAsia="Times New Roman" w:hAnsi="Times New Roman"/>
                <w:sz w:val="11"/>
                <w:szCs w:val="11"/>
                <w:color w:val="auto"/>
                <w:w w:val="99"/>
              </w:rPr>
              <w:t xml:space="preserve">B. THE ABOVE NUMBERED CONTRACT/ORDER IS MODIFIED TO REFLECT THE ADMINISTRATIVE CHANGES </w:t>
            </w:r>
            <w:r>
              <w:rPr>
                <w:rFonts w:ascii="Times New Roman" w:cs="Times New Roman" w:eastAsia="Times New Roman" w:hAnsi="Times New Roman"/>
                <w:sz w:val="11"/>
                <w:szCs w:val="11"/>
                <w:i w:val="1"/>
                <w:iCs w:val="1"/>
                <w:color w:val="auto"/>
                <w:w w:val="99"/>
              </w:rPr>
              <w:t>(such as changes in paying office, appropriation data, etc.)</w:t>
            </w:r>
            <w:r>
              <w:rPr>
                <w:rFonts w:ascii="Times New Roman" w:cs="Times New Roman" w:eastAsia="Times New Roman" w:hAnsi="Times New Roman"/>
                <w:sz w:val="11"/>
                <w:szCs w:val="11"/>
                <w:color w:val="auto"/>
                <w:w w:val="99"/>
              </w:rPr>
              <w:t xml:space="preserve"> SET FORTH IN ITEM 14, PURSUANT</w:t>
            </w: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 THE AUTHORITY OF FAR 43.103(b).</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gridSpan w:val="3"/>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11"/>
                <w:szCs w:val="11"/>
                <w:color w:val="auto"/>
              </w:rPr>
            </w:pPr>
          </w:p>
        </w:tc>
        <w:tc>
          <w:tcPr>
            <w:tcW w:w="4540" w:type="dxa"/>
            <w:vAlign w:val="bottom"/>
            <w:gridSpan w:val="8"/>
          </w:tcPr>
          <w:p>
            <w:pPr>
              <w:spacing w:after="0"/>
              <w:rPr>
                <w:sz w:val="20"/>
                <w:szCs w:val="20"/>
                <w:color w:val="auto"/>
              </w:rPr>
            </w:pPr>
            <w:r>
              <w:rPr>
                <w:rFonts w:ascii="Times New Roman" w:cs="Times New Roman" w:eastAsia="Times New Roman" w:hAnsi="Times New Roman"/>
                <w:sz w:val="11"/>
                <w:szCs w:val="11"/>
                <w:color w:val="auto"/>
                <w:w w:val="99"/>
              </w:rPr>
              <w:t>C. THIS SUPPLEMENTAL AGREEMENT IS ENTERED INTO PURSUANT TO AUTHORITY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FAR 52.243-1 Changes - Fixed Price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 xml:space="preserve">D. OTHER </w:t>
            </w:r>
            <w:r>
              <w:rPr>
                <w:rFonts w:ascii="Times New Roman" w:cs="Times New Roman" w:eastAsia="Times New Roman" w:hAnsi="Times New Roman"/>
                <w:sz w:val="11"/>
                <w:szCs w:val="11"/>
                <w:i w:val="1"/>
                <w:iCs w:val="1"/>
                <w:color w:val="auto"/>
              </w:rPr>
              <w:t>(Specify type of modification and authority)</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80" w:type="dxa"/>
            <w:vAlign w:val="bottom"/>
            <w:gridSpan w:val="4"/>
          </w:tcPr>
          <w:p>
            <w:pPr>
              <w:ind w:left="100"/>
              <w:spacing w:after="0" w:line="102" w:lineRule="exact"/>
              <w:rPr>
                <w:sz w:val="20"/>
                <w:szCs w:val="20"/>
                <w:color w:val="auto"/>
              </w:rPr>
            </w:pPr>
            <w:r>
              <w:rPr>
                <w:rFonts w:ascii="Times New Roman" w:cs="Times New Roman" w:eastAsia="Times New Roman" w:hAnsi="Times New Roman"/>
                <w:sz w:val="11"/>
                <w:szCs w:val="11"/>
                <w:b w:val="1"/>
                <w:bCs w:val="1"/>
                <w:color w:val="auto"/>
              </w:rPr>
              <w:t>E. IMPORTANT:</w:t>
            </w:r>
          </w:p>
        </w:tc>
        <w:tc>
          <w:tcPr>
            <w:tcW w:w="116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 xml:space="preserve">Contractor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is not</w:t>
            </w:r>
          </w:p>
        </w:tc>
        <w:tc>
          <w:tcPr>
            <w:tcW w:w="2540" w:type="dxa"/>
            <w:vAlign w:val="bottom"/>
            <w:gridSpan w:val="5"/>
          </w:tcPr>
          <w:p>
            <w:pPr>
              <w:ind w:left="160"/>
              <w:spacing w:after="0" w:line="102"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is required to sign this document and return</w:t>
            </w:r>
          </w:p>
        </w:tc>
        <w:tc>
          <w:tcPr>
            <w:tcW w:w="1600" w:type="dxa"/>
            <w:vAlign w:val="bottom"/>
            <w:gridSpan w:val="4"/>
          </w:tcPr>
          <w:p>
            <w:pPr>
              <w:ind w:left="220"/>
              <w:spacing w:after="0" w:line="102" w:lineRule="exact"/>
              <w:rPr>
                <w:sz w:val="20"/>
                <w:szCs w:val="20"/>
                <w:color w:val="auto"/>
              </w:rPr>
            </w:pPr>
            <w:r>
              <w:rPr>
                <w:rFonts w:ascii="Times New Roman" w:cs="Times New Roman" w:eastAsia="Times New Roman" w:hAnsi="Times New Roman"/>
                <w:sz w:val="11"/>
                <w:szCs w:val="11"/>
                <w:color w:val="auto"/>
              </w:rPr>
              <w:t>copies to the issuing office.</w:t>
            </w:r>
          </w:p>
        </w:tc>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600" w:type="dxa"/>
            <w:vAlign w:val="bottom"/>
            <w:gridSpan w:val="15"/>
          </w:tcPr>
          <w:p>
            <w:pPr>
              <w:ind w:left="100"/>
              <w:spacing w:after="0" w:line="92" w:lineRule="exact"/>
              <w:rPr>
                <w:sz w:val="20"/>
                <w:szCs w:val="20"/>
                <w:color w:val="auto"/>
              </w:rPr>
            </w:pPr>
            <w:r>
              <w:rPr>
                <w:rFonts w:ascii="Times New Roman" w:cs="Times New Roman" w:eastAsia="Times New Roman" w:hAnsi="Times New Roman"/>
                <w:sz w:val="10"/>
                <w:szCs w:val="10"/>
                <w:color w:val="auto"/>
              </w:rPr>
              <w:t xml:space="preserve">14.   DESCRIPTION OF AMENDMENT/MODIFICATION </w:t>
            </w:r>
            <w:r>
              <w:rPr>
                <w:rFonts w:ascii="Times New Roman" w:cs="Times New Roman" w:eastAsia="Times New Roman" w:hAnsi="Times New Roman"/>
                <w:sz w:val="10"/>
                <w:szCs w:val="10"/>
                <w:i w:val="1"/>
                <w:iCs w:val="1"/>
                <w:color w:val="auto"/>
              </w:rPr>
              <w:t>(Organized by UCF section headings, including solicitation/contract subject matter where feasible.</w:t>
            </w:r>
            <w:r>
              <w:rPr>
                <w:rFonts w:ascii="Times New Roman" w:cs="Times New Roman" w:eastAsia="Times New Roman" w:hAnsi="Times New Roman"/>
                <w:sz w:val="10"/>
                <w:szCs w:val="10"/>
                <w:color w:val="auto"/>
              </w:rPr>
              <w:t>)</w:t>
            </w: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8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ID Number:</w:t>
            </w:r>
          </w:p>
        </w:tc>
        <w:tc>
          <w:tcPr>
            <w:tcW w:w="1160" w:type="dxa"/>
            <w:vAlign w:val="bottom"/>
          </w:tcPr>
          <w:p>
            <w:pPr>
              <w:jc w:val="right"/>
              <w:ind w:right="382"/>
              <w:spacing w:after="0" w:line="149" w:lineRule="exact"/>
              <w:rPr>
                <w:sz w:val="20"/>
                <w:szCs w:val="20"/>
                <w:color w:val="auto"/>
              </w:rPr>
            </w:pPr>
            <w:r>
              <w:rPr>
                <w:rFonts w:ascii="Times New Roman" w:cs="Times New Roman" w:eastAsia="Times New Roman" w:hAnsi="Times New Roman"/>
                <w:sz w:val="14"/>
                <w:szCs w:val="14"/>
                <w:color w:val="auto"/>
              </w:rPr>
              <w:t>20-0514392</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DUNS Number:</w:t>
            </w:r>
          </w:p>
        </w:tc>
        <w:tc>
          <w:tcPr>
            <w:tcW w:w="1160" w:type="dxa"/>
            <w:vAlign w:val="bottom"/>
          </w:tcPr>
          <w:p>
            <w:pPr>
              <w:jc w:val="right"/>
              <w:ind w:right="402"/>
              <w:spacing w:after="0"/>
              <w:rPr>
                <w:sz w:val="20"/>
                <w:szCs w:val="20"/>
                <w:color w:val="auto"/>
              </w:rPr>
            </w:pPr>
            <w:r>
              <w:rPr>
                <w:rFonts w:ascii="Times New Roman" w:cs="Times New Roman" w:eastAsia="Times New Roman" w:hAnsi="Times New Roman"/>
                <w:sz w:val="14"/>
                <w:szCs w:val="14"/>
                <w:color w:val="auto"/>
              </w:rPr>
              <w:t>788744477</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0"/>
        <w:spacing w:after="0" w:line="221" w:lineRule="auto"/>
        <w:rPr>
          <w:sz w:val="20"/>
          <w:szCs w:val="20"/>
          <w:color w:val="auto"/>
        </w:rPr>
      </w:pPr>
      <w:r>
        <w:rPr>
          <w:rFonts w:ascii="Times New Roman" w:cs="Times New Roman" w:eastAsia="Times New Roman" w:hAnsi="Times New Roman"/>
          <w:sz w:val="14"/>
          <w:szCs w:val="14"/>
          <w:color w:val="auto"/>
        </w:rPr>
        <w:t xml:space="preserve">The purpose of this modification is to add additional funding and allow for continued services under CLINs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as part of the ongoing COVID-19 response and as detailed in the accounting</w:t>
      </w:r>
    </w:p>
    <w:tbl>
      <w:tblPr>
        <w:tblLayout w:type="fixed"/>
        <w:tblInd w:w="0" w:type="dxa"/>
        <w:tblCellMar>
          <w:top w:w="0" w:type="dxa"/>
          <w:left w:w="0" w:type="dxa"/>
          <w:bottom w:w="0" w:type="dxa"/>
          <w:right w:w="0" w:type="dxa"/>
        </w:tblCellMar>
      </w:tblPr>
      <w:tr>
        <w:trPr>
          <w:trHeight w:val="133"/>
        </w:trPr>
        <w:tc>
          <w:tcPr>
            <w:tcW w:w="100" w:type="dxa"/>
            <w:vAlign w:val="bottom"/>
          </w:tcPr>
          <w:p>
            <w:pPr>
              <w:spacing w:after="0"/>
              <w:rPr>
                <w:sz w:val="11"/>
                <w:szCs w:val="11"/>
                <w:color w:val="auto"/>
              </w:rPr>
            </w:pPr>
          </w:p>
        </w:tc>
        <w:tc>
          <w:tcPr>
            <w:tcW w:w="11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data below.</w:t>
            </w:r>
          </w:p>
        </w:tc>
        <w:tc>
          <w:tcPr>
            <w:tcW w:w="9960" w:type="dxa"/>
            <w:vAlign w:val="bottom"/>
            <w:gridSpan w:val="7"/>
          </w:tcPr>
          <w:p>
            <w:pPr>
              <w:ind w:left="120"/>
              <w:spacing w:after="0" w:line="133" w:lineRule="exact"/>
              <w:rPr>
                <w:sz w:val="20"/>
                <w:szCs w:val="20"/>
                <w:color w:val="auto"/>
              </w:rPr>
            </w:pPr>
            <w:r>
              <w:rPr>
                <w:rFonts w:ascii="Times New Roman" w:cs="Times New Roman" w:eastAsia="Times New Roman" w:hAnsi="Times New Roman"/>
                <w:sz w:val="14"/>
                <w:szCs w:val="14"/>
                <w:color w:val="auto"/>
              </w:rPr>
              <w:t xml:space="preserve">Total funding for this contract is hereby increased by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Vendor is to deliver support to an additional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for an additional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in accordance with their proposal dated</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 2020.</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Period of Performance: </w:t>
            </w:r>
            <w:r>
              <w:rPr>
                <w:rFonts w:ascii="Times New Roman" w:cs="Times New Roman" w:eastAsia="Times New Roman" w:hAnsi="Times New Roman"/>
                <w:sz w:val="10"/>
                <w:szCs w:val="10"/>
                <w:color w:val="auto"/>
              </w:rPr>
              <w:t>[***]</w:t>
            </w:r>
          </w:p>
        </w:tc>
        <w:tc>
          <w:tcPr>
            <w:tcW w:w="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Change Item 4 to read as follows(amount shown is</w:t>
            </w: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11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Continued..</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Borders>
              <w:bottom w:val="single" w:sz="8" w:color="auto"/>
            </w:tcBorders>
          </w:tcPr>
          <w:p>
            <w:pPr>
              <w:spacing w:after="0"/>
              <w:rPr>
                <w:sz w:val="11"/>
                <w:szCs w:val="11"/>
                <w:color w:val="auto"/>
              </w:rPr>
            </w:pPr>
          </w:p>
        </w:tc>
        <w:tc>
          <w:tcPr>
            <w:tcW w:w="97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color w:val="auto"/>
              </w:rPr>
              <w:t>Except as provided herein, all terms and conditions of the document referenced in Item 9 A or 10A, as heretofore changed, remains unchanged and in full force and effect.</w:t>
            </w: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54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 xml:space="preserve">15A. NAME AND TITLE OF SIGNER </w:t>
            </w:r>
            <w:r>
              <w:rPr>
                <w:rFonts w:ascii="Times New Roman" w:cs="Times New Roman" w:eastAsia="Times New Roman" w:hAnsi="Times New Roman"/>
                <w:sz w:val="14"/>
                <w:szCs w:val="14"/>
                <w:i w:val="1"/>
                <w:iCs w:val="1"/>
                <w:color w:val="auto"/>
              </w:rPr>
              <w:t>(Type or print)</w:t>
            </w:r>
          </w:p>
        </w:tc>
        <w:tc>
          <w:tcPr>
            <w:tcW w:w="8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16A. NAME AND TITLE OF CONTRACTING OFFICER (Type or print)</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gridSpan w:val="2"/>
          </w:tcPr>
          <w:p>
            <w:pPr>
              <w:jc w:val="right"/>
              <w:ind w:right="2117"/>
              <w:spacing w:after="0"/>
              <w:rPr>
                <w:sz w:val="20"/>
                <w:szCs w:val="20"/>
                <w:color w:val="auto"/>
              </w:rPr>
            </w:pPr>
            <w:r>
              <w:rPr>
                <w:rFonts w:ascii="Times New Roman" w:cs="Times New Roman" w:eastAsia="Times New Roman" w:hAnsi="Times New Roman"/>
                <w:sz w:val="22"/>
                <w:szCs w:val="22"/>
                <w:color w:val="auto"/>
              </w:rPr>
              <w:t>Jamie Lewis</w:t>
            </w:r>
          </w:p>
        </w:tc>
        <w:tc>
          <w:tcPr>
            <w:tcW w:w="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Caleb W. Owen</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9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color w:val="auto"/>
              </w:rPr>
              <w:t>15B. CONTRACTOR/OFFEROR</w:t>
            </w:r>
          </w:p>
        </w:tc>
        <w:tc>
          <w:tcPr>
            <w:tcW w:w="78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jc w:val="right"/>
              <w:ind w:right="1597"/>
              <w:spacing w:after="0" w:line="102" w:lineRule="exact"/>
              <w:rPr>
                <w:sz w:val="20"/>
                <w:szCs w:val="20"/>
                <w:color w:val="auto"/>
              </w:rPr>
            </w:pPr>
            <w:r>
              <w:rPr>
                <w:rFonts w:ascii="Times New Roman" w:cs="Times New Roman" w:eastAsia="Times New Roman" w:hAnsi="Times New Roman"/>
                <w:sz w:val="11"/>
                <w:szCs w:val="11"/>
                <w:color w:val="auto"/>
              </w:rPr>
              <w:t>15C. DATE SIGNED</w:t>
            </w:r>
          </w:p>
        </w:tc>
        <w:tc>
          <w:tcPr>
            <w:tcW w:w="80" w:type="dxa"/>
            <w:vAlign w:val="bottom"/>
          </w:tcPr>
          <w:p>
            <w:pPr>
              <w:spacing w:after="0"/>
              <w:rPr>
                <w:sz w:val="8"/>
                <w:szCs w:val="8"/>
                <w:color w:val="auto"/>
              </w:rPr>
            </w:pPr>
          </w:p>
        </w:tc>
        <w:tc>
          <w:tcPr>
            <w:tcW w:w="4240" w:type="dxa"/>
            <w:vAlign w:val="bottom"/>
            <w:tcBorders>
              <w:right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color w:val="auto"/>
              </w:rPr>
              <w:t>16B. UNITED STATES OF AMERICA</w:t>
            </w:r>
          </w:p>
        </w:tc>
        <w:tc>
          <w:tcPr>
            <w:tcW w:w="140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16C. DATE SIGNED</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 Jamie Lewis</w:t>
            </w:r>
          </w:p>
        </w:tc>
        <w:tc>
          <w:tcPr>
            <w:tcW w:w="7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vMerge w:val="restart"/>
          </w:tcPr>
          <w:p>
            <w:pPr>
              <w:jc w:val="right"/>
              <w:ind w:right="937"/>
              <w:spacing w:after="0"/>
              <w:rPr>
                <w:sz w:val="20"/>
                <w:szCs w:val="20"/>
                <w:color w:val="auto"/>
              </w:rPr>
            </w:pPr>
            <w:r>
              <w:rPr>
                <w:rFonts w:ascii="Times New Roman" w:cs="Times New Roman" w:eastAsia="Times New Roman" w:hAnsi="Times New Roman"/>
                <w:sz w:val="14"/>
                <w:szCs w:val="14"/>
                <w:color w:val="auto"/>
              </w:rPr>
              <w:t>11/25/2020</w:t>
            </w:r>
          </w:p>
        </w:tc>
        <w:tc>
          <w:tcPr>
            <w:tcW w:w="80" w:type="dxa"/>
            <w:vAlign w:val="bottom"/>
          </w:tcPr>
          <w:p>
            <w:pPr>
              <w:spacing w:after="0"/>
              <w:rPr>
                <w:sz w:val="10"/>
                <w:szCs w:val="10"/>
                <w:color w:val="auto"/>
              </w:rPr>
            </w:pPr>
          </w:p>
        </w:tc>
        <w:tc>
          <w:tcPr>
            <w:tcW w:w="4240" w:type="dxa"/>
            <w:vAlign w:val="bottom"/>
            <w:tcBorders>
              <w:right w:val="single" w:sz="8" w:color="auto"/>
            </w:tcBorders>
            <w:gridSpan w:val="2"/>
          </w:tcPr>
          <w:p>
            <w:pPr>
              <w:spacing w:after="0" w:line="122" w:lineRule="exact"/>
              <w:rPr>
                <w:sz w:val="20"/>
                <w:szCs w:val="20"/>
                <w:color w:val="auto"/>
              </w:rPr>
            </w:pPr>
            <w:r>
              <w:rPr>
                <w:rFonts w:ascii="Times New Roman" w:cs="Times New Roman" w:eastAsia="Times New Roman" w:hAnsi="Times New Roman"/>
                <w:sz w:val="11"/>
                <w:szCs w:val="11"/>
                <w:color w:val="auto"/>
              </w:rPr>
              <w:t>?s/ Caleb W. Owen -S Digitally signed by Caleb W. Owen –S</w:t>
            </w:r>
          </w:p>
        </w:tc>
        <w:tc>
          <w:tcPr>
            <w:tcW w:w="14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11/25/2020</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Borders>
              <w:bottom w:val="single" w:sz="8" w:color="auto"/>
            </w:tcBorders>
          </w:tcPr>
          <w:p>
            <w:pPr>
              <w:ind w:left="600"/>
              <w:spacing w:after="0" w:line="102" w:lineRule="exact"/>
              <w:rPr>
                <w:sz w:val="20"/>
                <w:szCs w:val="20"/>
                <w:color w:val="auto"/>
              </w:rPr>
            </w:pPr>
            <w:r>
              <w:rPr>
                <w:rFonts w:ascii="Times New Roman" w:cs="Times New Roman" w:eastAsia="Times New Roman" w:hAnsi="Times New Roman"/>
                <w:sz w:val="11"/>
                <w:szCs w:val="11"/>
                <w:color w:val="auto"/>
                <w:w w:val="98"/>
              </w:rPr>
              <w:t>Date: 2020.11.25 14:35:18 -05’00’</w:t>
            </w:r>
          </w:p>
        </w:tc>
        <w:tc>
          <w:tcPr>
            <w:tcW w:w="2100" w:type="dxa"/>
            <w:vAlign w:val="bottom"/>
            <w:tcBorders>
              <w:right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2"/>
          </w:tcPr>
          <w:p>
            <w:pPr>
              <w:spacing w:after="0" w:line="109" w:lineRule="exact"/>
              <w:rPr>
                <w:sz w:val="20"/>
                <w:szCs w:val="20"/>
                <w:color w:val="auto"/>
              </w:rPr>
            </w:pPr>
            <w:r>
              <w:rPr>
                <w:rFonts w:ascii="Times New Roman" w:cs="Times New Roman" w:eastAsia="Times New Roman" w:hAnsi="Times New Roman"/>
                <w:sz w:val="11"/>
                <w:szCs w:val="11"/>
                <w:i w:val="1"/>
                <w:iCs w:val="1"/>
                <w:color w:val="auto"/>
              </w:rPr>
              <w:t>(Signature of person author zed to sign)</w:t>
            </w:r>
          </w:p>
        </w:tc>
        <w:tc>
          <w:tcPr>
            <w:tcW w:w="780" w:type="dxa"/>
            <w:vAlign w:val="bottom"/>
            <w:tcBorders>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2"/>
          </w:tcPr>
          <w:p>
            <w:pPr>
              <w:ind w:left="1380"/>
              <w:spacing w:after="0" w:line="109" w:lineRule="exact"/>
              <w:rPr>
                <w:sz w:val="20"/>
                <w:szCs w:val="20"/>
                <w:color w:val="auto"/>
              </w:rPr>
            </w:pPr>
            <w:r>
              <w:rPr>
                <w:rFonts w:ascii="Times New Roman" w:cs="Times New Roman" w:eastAsia="Times New Roman" w:hAnsi="Times New Roman"/>
                <w:sz w:val="11"/>
                <w:szCs w:val="11"/>
                <w:i w:val="1"/>
                <w:iCs w:val="1"/>
                <w:color w:val="auto"/>
              </w:rPr>
              <w:t>(Signature of Contracting Officer)</w:t>
            </w: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-170815</wp:posOffset>
            </wp:positionV>
            <wp:extent cx="17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8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0"/>
          <w:szCs w:val="10"/>
          <w:color w:val="auto"/>
        </w:rPr>
        <w:t>STANDARD FORM 30 (REV. 11/2016)</w:t>
      </w:r>
    </w:p>
    <w:p>
      <w:pPr>
        <w:spacing w:after="0" w:line="1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0"/>
          <w:szCs w:val="10"/>
          <w:color w:val="auto"/>
        </w:rPr>
        <w:t>Prescribed by GSA 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40" w:top="117" w:right="319" w:bottom="1440" w:gutter="0" w:footer="0" w:header="0"/>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24" w:lineRule="exact"/>
        <w:rPr>
          <w:sz w:val="20"/>
          <w:szCs w:val="20"/>
          <w:color w:val="auto"/>
        </w:rPr>
      </w:pPr>
    </w:p>
    <w:tbl>
      <w:tblPr>
        <w:tblLayout w:type="fixed"/>
        <w:tblInd w:w="30" w:type="dxa"/>
        <w:tblCellMar>
          <w:top w:w="0" w:type="dxa"/>
          <w:left w:w="0" w:type="dxa"/>
          <w:bottom w:w="0" w:type="dxa"/>
          <w:right w:w="0" w:type="dxa"/>
        </w:tblCellMar>
      </w:tblPr>
      <w:tr>
        <w:trPr>
          <w:trHeight w:val="253"/>
        </w:trPr>
        <w:tc>
          <w:tcPr>
            <w:tcW w:w="3760" w:type="dxa"/>
            <w:vAlign w:val="bottom"/>
            <w:tcBorders>
              <w:left w:val="single" w:sz="8" w:color="auto"/>
              <w:right w:val="single" w:sz="8" w:color="auto"/>
            </w:tcBorders>
            <w:gridSpan w:val="2"/>
            <w:shd w:val="clear" w:color="auto" w:fill="000000"/>
          </w:tcPr>
          <w:p>
            <w:pPr>
              <w:ind w:left="100"/>
              <w:spacing w:after="0"/>
              <w:rPr>
                <w:sz w:val="20"/>
                <w:szCs w:val="20"/>
                <w:color w:val="auto"/>
              </w:rPr>
            </w:pPr>
            <w:r>
              <w:rPr>
                <w:rFonts w:ascii="Times New Roman" w:cs="Times New Roman" w:eastAsia="Times New Roman" w:hAnsi="Times New Roman"/>
                <w:sz w:val="22"/>
                <w:szCs w:val="22"/>
                <w:color w:val="auto"/>
              </w:rPr>
              <w:t>CONTINUATION SHEET</w:t>
            </w:r>
          </w:p>
        </w:tc>
        <w:tc>
          <w:tcPr>
            <w:tcW w:w="2520" w:type="dxa"/>
            <w:vAlign w:val="bottom"/>
            <w:tcBorders>
              <w:right w:val="single" w:sz="8" w:color="auto"/>
            </w:tcBorders>
            <w:shd w:val="clear" w:color="auto" w:fill="000000"/>
          </w:tcPr>
          <w:p>
            <w:pPr>
              <w:spacing w:after="0"/>
              <w:rPr>
                <w:sz w:val="22"/>
                <w:szCs w:val="22"/>
                <w:color w:val="auto"/>
              </w:rPr>
            </w:pPr>
          </w:p>
        </w:tc>
        <w:tc>
          <w:tcPr>
            <w:tcW w:w="1080" w:type="dxa"/>
            <w:vAlign w:val="bottom"/>
            <w:tcBorders>
              <w:right w:val="single" w:sz="8" w:color="auto"/>
            </w:tcBorders>
            <w:shd w:val="clear" w:color="auto" w:fill="000000"/>
          </w:tcPr>
          <w:p>
            <w:pPr>
              <w:spacing w:after="0"/>
              <w:rPr>
                <w:sz w:val="22"/>
                <w:szCs w:val="22"/>
                <w:color w:val="auto"/>
              </w:rPr>
            </w:pPr>
          </w:p>
        </w:tc>
        <w:tc>
          <w:tcPr>
            <w:tcW w:w="740" w:type="dxa"/>
            <w:vAlign w:val="bottom"/>
            <w:tcBorders>
              <w:right w:val="single" w:sz="8" w:color="auto"/>
            </w:tcBorders>
            <w:shd w:val="clear" w:color="auto" w:fill="000000"/>
          </w:tcPr>
          <w:p>
            <w:pPr>
              <w:spacing w:after="0"/>
              <w:rPr>
                <w:sz w:val="22"/>
                <w:szCs w:val="22"/>
                <w:color w:val="auto"/>
              </w:rPr>
            </w:pPr>
          </w:p>
        </w:tc>
        <w:tc>
          <w:tcPr>
            <w:tcW w:w="1080" w:type="dxa"/>
            <w:vAlign w:val="bottom"/>
            <w:tcBorders>
              <w:right w:val="single" w:sz="8" w:color="auto"/>
            </w:tcBorders>
            <w:shd w:val="clear" w:color="auto" w:fill="000000"/>
          </w:tcPr>
          <w:p>
            <w:pPr>
              <w:spacing w:after="0"/>
              <w:rPr>
                <w:sz w:val="22"/>
                <w:szCs w:val="22"/>
                <w:color w:val="auto"/>
              </w:rPr>
            </w:pPr>
          </w:p>
        </w:tc>
        <w:tc>
          <w:tcPr>
            <w:tcW w:w="380" w:type="dxa"/>
            <w:vAlign w:val="bottom"/>
            <w:shd w:val="clear" w:color="auto" w:fill="000000"/>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140" w:type="dxa"/>
            <w:vAlign w:val="bottom"/>
            <w:tcBorders>
              <w:right w:val="single" w:sz="8" w:color="auto"/>
            </w:tcBorders>
            <w:shd w:val="clear" w:color="auto" w:fill="000000"/>
          </w:tcPr>
          <w:p>
            <w:pPr>
              <w:spacing w:after="0"/>
              <w:rPr>
                <w:sz w:val="22"/>
                <w:szCs w:val="22"/>
                <w:color w:val="auto"/>
              </w:rPr>
            </w:pPr>
          </w:p>
        </w:tc>
        <w:tc>
          <w:tcPr>
            <w:tcW w:w="1300" w:type="dxa"/>
            <w:vAlign w:val="bottom"/>
            <w:tcBorders>
              <w:right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36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REFERENCE NO. OF DOCUMENT BEING CONTINUED</w:t>
            </w:r>
          </w:p>
        </w:tc>
        <w:tc>
          <w:tcPr>
            <w:tcW w:w="74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3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PAGE</w:t>
            </w:r>
          </w:p>
        </w:tc>
        <w:tc>
          <w:tcPr>
            <w:tcW w:w="1680" w:type="dxa"/>
            <w:vAlign w:val="bottom"/>
            <w:tcBorders>
              <w:right w:val="single" w:sz="8" w:color="auto"/>
            </w:tcBorders>
            <w:gridSpan w:val="3"/>
          </w:tcPr>
          <w:p>
            <w:pPr>
              <w:jc w:val="right"/>
              <w:ind w:right="1246"/>
              <w:spacing w:after="0" w:line="108" w:lineRule="exact"/>
              <w:rPr>
                <w:sz w:val="20"/>
                <w:szCs w:val="20"/>
                <w:color w:val="auto"/>
              </w:rPr>
            </w:pPr>
            <w:r>
              <w:rPr>
                <w:rFonts w:ascii="Times New Roman" w:cs="Times New Roman" w:eastAsia="Times New Roman" w:hAnsi="Times New Roman"/>
                <w:sz w:val="11"/>
                <w:szCs w:val="11"/>
                <w:color w:val="auto"/>
              </w:rPr>
              <w:t>OF</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75A50119C00077/P00002</w:t>
            </w: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jc w:val="right"/>
              <w:ind w:right="1126"/>
              <w:spacing w:after="0" w:line="115"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19"/>
        </w:trPr>
        <w:tc>
          <w:tcPr>
            <w:tcW w:w="3760" w:type="dxa"/>
            <w:vAlign w:val="bottom"/>
            <w:tcBorders>
              <w:left w:val="single" w:sz="8" w:color="auto"/>
            </w:tcBorders>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NAME OF OFFEROR OR CONTRACTOR</w:t>
            </w:r>
          </w:p>
        </w:tc>
        <w:tc>
          <w:tcPr>
            <w:tcW w:w="2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OUTSET MEDICAL, INC 1261480</w:t>
            </w:r>
          </w:p>
        </w:tc>
        <w:tc>
          <w:tcPr>
            <w:tcW w:w="2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tcPr>
          <w:p>
            <w:pPr>
              <w:ind w:left="100"/>
              <w:spacing w:after="0" w:line="115" w:lineRule="exact"/>
              <w:rPr>
                <w:sz w:val="20"/>
                <w:szCs w:val="20"/>
                <w:color w:val="auto"/>
              </w:rPr>
            </w:pPr>
            <w:r>
              <w:rPr>
                <w:rFonts w:ascii="Times New Roman" w:cs="Times New Roman" w:eastAsia="Times New Roman" w:hAnsi="Times New Roman"/>
                <w:sz w:val="11"/>
                <w:szCs w:val="11"/>
                <w:color w:val="auto"/>
              </w:rPr>
              <w:t>ITEM NO. (A)</w:t>
            </w:r>
          </w:p>
        </w:tc>
        <w:tc>
          <w:tcPr>
            <w:tcW w:w="188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SUPPLIES/SERVICES (B)</w:t>
            </w:r>
          </w:p>
        </w:tc>
        <w:tc>
          <w:tcPr>
            <w:tcW w:w="25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QUANTITY (C)</w:t>
            </w:r>
          </w:p>
        </w:tc>
        <w:tc>
          <w:tcPr>
            <w:tcW w:w="740" w:type="dxa"/>
            <w:vAlign w:val="bottom"/>
            <w:tcBorders>
              <w:bottom w:val="single" w:sz="8" w:color="auto"/>
              <w:right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color w:val="auto"/>
              </w:rPr>
              <w:t>UNIT D)</w:t>
            </w:r>
          </w:p>
        </w:tc>
        <w:tc>
          <w:tcPr>
            <w:tcW w:w="108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UNIT PRICE (E)</w:t>
            </w:r>
          </w:p>
        </w:tc>
        <w:tc>
          <w:tcPr>
            <w:tcW w:w="2060" w:type="dxa"/>
            <w:vAlign w:val="bottom"/>
            <w:tcBorders>
              <w:bottom w:val="single" w:sz="8" w:color="auto"/>
              <w:right w:val="single" w:sz="8" w:color="auto"/>
            </w:tcBorders>
            <w:gridSpan w:val="4"/>
          </w:tcPr>
          <w:p>
            <w:pPr>
              <w:ind w:left="80"/>
              <w:spacing w:after="0" w:line="115" w:lineRule="exact"/>
              <w:rPr>
                <w:sz w:val="20"/>
                <w:szCs w:val="20"/>
                <w:color w:val="auto"/>
              </w:rPr>
            </w:pPr>
            <w:r>
              <w:rPr>
                <w:rFonts w:ascii="Times New Roman" w:cs="Times New Roman" w:eastAsia="Times New Roman" w:hAnsi="Times New Roman"/>
                <w:sz w:val="11"/>
                <w:szCs w:val="11"/>
                <w:color w:val="auto"/>
              </w:rPr>
              <w:t>AMOUNT (F)</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80" w:type="dxa"/>
            <w:vAlign w:val="bottom"/>
            <w:tcBorders>
              <w:left w:val="single" w:sz="8" w:color="auto"/>
              <w:right w:val="single" w:sz="8" w:color="auto"/>
            </w:tcBorders>
          </w:tcPr>
          <w:p>
            <w:pPr>
              <w:spacing w:after="0"/>
              <w:rPr>
                <w:sz w:val="15"/>
                <w:szCs w:val="15"/>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obligated amount):</w:t>
            </w:r>
          </w:p>
        </w:tc>
        <w:tc>
          <w:tcPr>
            <w:tcW w:w="25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w:t>
            </w:r>
          </w:p>
        </w:tc>
        <w:tc>
          <w:tcPr>
            <w:tcW w:w="4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Training for Healthcare Providers and Technical support</w:t>
            </w:r>
          </w:p>
        </w:tc>
        <w:tc>
          <w:tcPr>
            <w:tcW w:w="10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44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2020.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2020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44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2021.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2021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Change Item 5 to read as follows(amount shown is</w:t>
            </w: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obligated amount):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880" w:type="dxa"/>
            <w:vAlign w:val="bottom"/>
            <w:tcBorders>
              <w:left w:val="single" w:sz="8" w:color="auto"/>
              <w:right w:val="single" w:sz="8" w:color="auto"/>
            </w:tcBorders>
          </w:tcPr>
          <w:p>
            <w:pPr>
              <w:spacing w:after="0"/>
              <w:rPr>
                <w:sz w:val="24"/>
                <w:szCs w:val="24"/>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Field Maintenance</w:t>
            </w:r>
          </w:p>
        </w:tc>
        <w:tc>
          <w:tcPr>
            <w:tcW w:w="252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4400" w:type="dxa"/>
            <w:vAlign w:val="bottom"/>
            <w:tcBorders>
              <w:right w:val="single" w:sz="8" w:color="auto"/>
            </w:tcBorders>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2020.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2020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80" w:type="dxa"/>
            <w:vAlign w:val="bottom"/>
            <w:tcBorders>
              <w:left w:val="single" w:sz="8" w:color="auto"/>
              <w:right w:val="single" w:sz="8" w:color="auto"/>
            </w:tcBorders>
          </w:tcPr>
          <w:p>
            <w:pPr>
              <w:spacing w:after="0"/>
              <w:rPr>
                <w:sz w:val="4"/>
                <w:szCs w:val="4"/>
                <w:color w:val="auto"/>
              </w:rPr>
            </w:pPr>
          </w:p>
        </w:tc>
        <w:tc>
          <w:tcPr>
            <w:tcW w:w="4400" w:type="dxa"/>
            <w:vAlign w:val="bottom"/>
            <w:tcBorders>
              <w:right w:val="single" w:sz="8" w:color="auto"/>
            </w:tcBorders>
            <w:gridSpan w:val="2"/>
            <w:vMerge w:val="continue"/>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tcPr>
          <w:p>
            <w:pPr>
              <w:spacing w:after="0"/>
              <w:rPr>
                <w:sz w:val="8"/>
                <w:szCs w:val="8"/>
                <w:color w:val="auto"/>
              </w:rPr>
            </w:pPr>
          </w:p>
        </w:tc>
        <w:tc>
          <w:tcPr>
            <w:tcW w:w="188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tcPr>
          <w:p>
            <w:pPr>
              <w:spacing w:after="0"/>
              <w:rPr>
                <w:sz w:val="4"/>
                <w:szCs w:val="4"/>
                <w:color w:val="auto"/>
              </w:rPr>
            </w:pPr>
          </w:p>
        </w:tc>
        <w:tc>
          <w:tcPr>
            <w:tcW w:w="1880" w:type="dxa"/>
            <w:vAlign w:val="bottom"/>
            <w:vMerge w:val="continue"/>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44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2021.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2021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Change Item 6 to read as follows(amount shown is</w:t>
            </w: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right w:val="single" w:sz="8" w:color="auto"/>
            </w:tcBorders>
          </w:tcPr>
          <w:p>
            <w:pPr>
              <w:spacing w:after="0"/>
              <w:rPr>
                <w:sz w:val="16"/>
                <w:szCs w:val="16"/>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obligated amount):</w:t>
            </w:r>
          </w:p>
        </w:tc>
        <w:tc>
          <w:tcPr>
            <w:tcW w:w="25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880" w:type="dxa"/>
            <w:vAlign w:val="bottom"/>
            <w:tcBorders>
              <w:left w:val="single" w:sz="8" w:color="auto"/>
              <w:right w:val="single" w:sz="8" w:color="auto"/>
            </w:tcBorders>
          </w:tcPr>
          <w:p>
            <w:pPr>
              <w:spacing w:after="0"/>
              <w:rPr>
                <w:sz w:val="24"/>
                <w:szCs w:val="24"/>
                <w:color w:val="auto"/>
              </w:rPr>
            </w:pPr>
          </w:p>
        </w:tc>
        <w:tc>
          <w:tcPr>
            <w:tcW w:w="4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Short term deployment contingency</w:t>
            </w:r>
          </w:p>
        </w:tc>
        <w:tc>
          <w:tcPr>
            <w:tcW w:w="10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4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2020.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2020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Borders>
              <w:left w:val="single" w:sz="8" w:color="auto"/>
              <w:right w:val="single" w:sz="8" w:color="auto"/>
            </w:tcBorders>
          </w:tcPr>
          <w:p>
            <w:pPr>
              <w:spacing w:after="0"/>
              <w:rPr>
                <w:sz w:val="11"/>
                <w:szCs w:val="11"/>
                <w:color w:val="auto"/>
              </w:rPr>
            </w:pPr>
          </w:p>
        </w:tc>
        <w:tc>
          <w:tcPr>
            <w:tcW w:w="188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tcPr>
          <w:p>
            <w:pPr>
              <w:spacing w:after="0"/>
              <w:rPr>
                <w:sz w:val="8"/>
                <w:szCs w:val="8"/>
                <w:color w:val="auto"/>
              </w:rPr>
            </w:pPr>
          </w:p>
        </w:tc>
        <w:tc>
          <w:tcPr>
            <w:tcW w:w="1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right w:val="single" w:sz="8" w:color="auto"/>
            </w:tcBorders>
          </w:tcPr>
          <w:p>
            <w:pPr>
              <w:spacing w:after="0"/>
              <w:rPr>
                <w:sz w:val="8"/>
                <w:szCs w:val="8"/>
                <w:color w:val="auto"/>
              </w:rPr>
            </w:pPr>
          </w:p>
        </w:tc>
        <w:tc>
          <w:tcPr>
            <w:tcW w:w="1880" w:type="dxa"/>
            <w:vAlign w:val="bottom"/>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Accounting Info:</w:t>
            </w:r>
          </w:p>
        </w:tc>
        <w:tc>
          <w:tcPr>
            <w:tcW w:w="25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44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2021.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Appr. Yr.: 2021 CAN: </w:t>
            </w:r>
            <w:r>
              <w:rPr>
                <w:rFonts w:ascii="Times New Roman" w:cs="Times New Roman" w:eastAsia="Times New Roman" w:hAnsi="Times New Roman"/>
                <w:sz w:val="10"/>
                <w:szCs w:val="10"/>
                <w:color w:val="auto"/>
              </w:rPr>
              <w:t>[***]</w:t>
            </w: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Object Class: </w:t>
            </w:r>
            <w:r>
              <w:rPr>
                <w:rFonts w:ascii="Times New Roman" w:cs="Times New Roman" w:eastAsia="Times New Roman" w:hAnsi="Times New Roman"/>
                <w:sz w:val="10"/>
                <w:szCs w:val="10"/>
                <w:color w:val="auto"/>
              </w:rPr>
              <w:t>[***]</w:t>
            </w:r>
          </w:p>
        </w:tc>
        <w:tc>
          <w:tcPr>
            <w:tcW w:w="25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xml:space="preserve">Funded: </w:t>
            </w:r>
            <w:r>
              <w:rPr>
                <w:rFonts w:ascii="Times New Roman" w:cs="Times New Roman" w:eastAsia="Times New Roman" w:hAnsi="Times New Roman"/>
                <w:sz w:val="10"/>
                <w:szCs w:val="10"/>
                <w:color w:val="auto"/>
              </w:rPr>
              <w:t>[***]</w:t>
            </w:r>
          </w:p>
        </w:tc>
        <w:tc>
          <w:tcPr>
            <w:tcW w:w="25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ind w:right="20"/>
        <w:spacing w:after="0"/>
        <w:tabs>
          <w:tab w:leader="none" w:pos="1360" w:val="left"/>
        </w:tabs>
        <w:rPr>
          <w:sz w:val="20"/>
          <w:szCs w:val="20"/>
          <w:color w:val="auto"/>
        </w:rPr>
      </w:pPr>
      <w:r>
        <w:rPr>
          <w:rFonts w:ascii="Times New Roman" w:cs="Times New Roman" w:eastAsia="Times New Roman" w:hAnsi="Times New Roman"/>
          <w:sz w:val="11"/>
          <w:szCs w:val="11"/>
          <w:color w:val="auto"/>
        </w:rPr>
        <w:t>NSN 7540-01-152-8067</w:t>
      </w:r>
      <w:r>
        <w:rPr>
          <w:sz w:val="20"/>
          <w:szCs w:val="20"/>
          <w:color w:val="auto"/>
        </w:rPr>
        <w:tab/>
      </w:r>
      <w:r>
        <w:rPr>
          <w:rFonts w:ascii="Times New Roman" w:cs="Times New Roman" w:eastAsia="Times New Roman" w:hAnsi="Times New Roman"/>
          <w:sz w:val="10"/>
          <w:szCs w:val="10"/>
          <w:color w:val="auto"/>
        </w:rPr>
        <w:t>OPTIONAL FORM 336 (4-86)</w:t>
      </w:r>
    </w:p>
    <w:p>
      <w:pPr>
        <w:spacing w:after="0" w:line="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color w:val="auto"/>
        </w:rPr>
        <w:t>Sponsored by GSA</w:t>
      </w:r>
    </w:p>
    <w:p>
      <w:pPr>
        <w:jc w:val="right"/>
        <w:ind w:right="20"/>
        <w:spacing w:after="0"/>
        <w:rPr>
          <w:sz w:val="20"/>
          <w:szCs w:val="20"/>
          <w:color w:val="auto"/>
        </w:rPr>
      </w:pPr>
      <w:r>
        <w:rPr>
          <w:rFonts w:ascii="Times New Roman" w:cs="Times New Roman" w:eastAsia="Times New Roman" w:hAnsi="Times New Roman"/>
          <w:sz w:val="11"/>
          <w:szCs w:val="11"/>
          <w:color w:val="auto"/>
        </w:rPr>
        <w:t>FAR (48 CFR) 53.110</w:t>
      </w:r>
    </w:p>
    <w:p>
      <w:pPr>
        <w:sectPr>
          <w:pgSz w:w="11900" w:h="16838" w:orient="portrait"/>
          <w:cols w:equalWidth="0" w:num="1">
            <w:col w:w="11260"/>
          </w:cols>
          <w:pgMar w:left="320" w:top="333" w:right="319" w:bottom="1440" w:gutter="0" w:footer="0" w:header="0"/>
        </w:sectPr>
      </w:pPr>
    </w:p>
    <w:bookmarkStart w:id="179" w:name="page180"/>
    <w:bookmarkEnd w:id="179"/>
    <w:p>
      <w:pPr>
        <w:ind w:left="10120"/>
        <w:spacing w:after="0"/>
        <w:rPr>
          <w:sz w:val="20"/>
          <w:szCs w:val="20"/>
          <w:color w:val="auto"/>
        </w:rPr>
      </w:pPr>
      <w:r>
        <w:rPr>
          <w:rFonts w:ascii="Times New Roman" w:cs="Times New Roman" w:eastAsia="Times New Roman" w:hAnsi="Times New Roman"/>
          <w:sz w:val="19"/>
          <w:szCs w:val="19"/>
          <w:b w:val="1"/>
          <w:bCs w:val="1"/>
          <w:color w:val="auto"/>
        </w:rPr>
        <w:t>Exhibit 10.30</w:t>
      </w:r>
    </w:p>
    <w:p>
      <w:pPr>
        <w:spacing w:after="0" w:line="253" w:lineRule="exact"/>
        <w:rPr>
          <w:sz w:val="20"/>
          <w:szCs w:val="20"/>
          <w:color w:val="auto"/>
        </w:rPr>
      </w:pPr>
    </w:p>
    <w:p>
      <w:pPr>
        <w:jc w:val="center"/>
        <w:ind w:left="340" w:right="200"/>
        <w:spacing w:after="0" w:line="273" w:lineRule="auto"/>
        <w:rPr>
          <w:sz w:val="20"/>
          <w:szCs w:val="20"/>
          <w:color w:val="auto"/>
        </w:rPr>
      </w:pPr>
      <w:r>
        <w:rPr>
          <w:rFonts w:ascii="Times New Roman" w:cs="Times New Roman" w:eastAsia="Times New Roman" w:hAnsi="Times New Roman"/>
          <w:sz w:val="20"/>
          <w:szCs w:val="20"/>
          <w:b w:val="1"/>
          <w:bCs w:val="1"/>
          <w:color w:val="auto"/>
        </w:rPr>
        <w:t>*Portions of this exhibit have been excluded because it both (i) is not material and (ii) would be competitively harmful if publicly disclosed</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This SUPPLY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January 12, 2021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Carlisle Interconnect Technologies, Inc, headquartered at 100 Tensolite Drive, St. Augustine FL 32092 with manufacturing locations at Providien Device Assembly LLC, 6740 Nancy Ridge Drive, San Diego, CA 92121 , (“</w:t>
      </w:r>
      <w:r>
        <w:rPr>
          <w:rFonts w:ascii="Times New Roman" w:cs="Times New Roman" w:eastAsia="Times New Roman" w:hAnsi="Times New Roman"/>
          <w:sz w:val="20"/>
          <w:szCs w:val="20"/>
          <w:b w:val="1"/>
          <w:bCs w:val="1"/>
          <w:i w:val="1"/>
          <w:iCs w:val="1"/>
          <w:color w:val="auto"/>
        </w:rPr>
        <w:t>Supplier</w:t>
      </w:r>
      <w:r>
        <w:rPr>
          <w:rFonts w:ascii="Times New Roman" w:cs="Times New Roman" w:eastAsia="Times New Roman" w:hAnsi="Times New Roman"/>
          <w:sz w:val="20"/>
          <w:szCs w:val="20"/>
          <w:color w:val="auto"/>
        </w:rPr>
        <w:t>”), and Outset Medical, Inc., a Delaware corporation with offices at 3052 Orchard Drive, San Jose CA 95134 (“</w:t>
      </w:r>
      <w:r>
        <w:rPr>
          <w:rFonts w:ascii="Times New Roman" w:cs="Times New Roman" w:eastAsia="Times New Roman" w:hAnsi="Times New Roman"/>
          <w:sz w:val="20"/>
          <w:szCs w:val="20"/>
          <w:b w:val="1"/>
          <w:bCs w:val="1"/>
          <w:i w:val="1"/>
          <w:iCs w:val="1"/>
          <w:color w:val="auto"/>
        </w:rPr>
        <w:t>OUTSET</w:t>
      </w:r>
      <w:r>
        <w:rPr>
          <w:rFonts w:ascii="Times New Roman" w:cs="Times New Roman" w:eastAsia="Times New Roman" w:hAnsi="Times New Roman"/>
          <w:sz w:val="20"/>
          <w:szCs w:val="20"/>
          <w:color w:val="auto"/>
        </w:rPr>
        <w:t>”). Each of OUTSET and Supplier may be referred to in this Agreement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Supplier is in the business of manufacturing and supplying medical devices and manufacturing solutions.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WHEREAS, Outset is a company engaged in the development and commercialization of medical devices, including for use with home dialysis.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WHEREAS, Outset desires to engage Supplier as an independent contractor to manufacture and supply certain products for use in connection with Outset’s proprietary home dialysis system, and Supplier desires to supply these items to Outset, in each case on the terms set forth in this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NOW, THEREFORE, in consideration of the covenants contained in this Agreement, and intending to be legally bound hereby,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agree as follows:</w:t>
      </w:r>
    </w:p>
    <w:p>
      <w:pPr>
        <w:spacing w:after="0" w:line="190"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the purposes of this Agreement, the following terms have the meanings set forth below:</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44" w:lineRule="auto"/>
        <w:tabs>
          <w:tab w:leader="none" w:pos="9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any Person which, directly or indirectly through one or more intermediaries, controls, is controlled by or is under common control with a Party, for so long as such Person controls, is controlled by or is under common control with a Party, and regardless of whether such Affiliate is or becomes an Affiliate on or after the Effective Date. For purposes of this definition,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81" w:lineRule="exact"/>
        <w:rPr>
          <w:rFonts w:ascii="Times New Roman" w:cs="Times New Roman" w:eastAsia="Times New Roman" w:hAnsi="Times New Roman"/>
          <w:sz w:val="20"/>
          <w:szCs w:val="20"/>
          <w:color w:val="auto"/>
        </w:rPr>
      </w:pPr>
    </w:p>
    <w:p>
      <w:pPr>
        <w:ind w:left="960" w:hanging="520"/>
        <w:spacing w:after="0" w:line="273" w:lineRule="auto"/>
        <w:tabs>
          <w:tab w:leader="none" w:pos="9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cGMPs</w:t>
      </w:r>
      <w:r>
        <w:rPr>
          <w:rFonts w:ascii="Times New Roman" w:cs="Times New Roman" w:eastAsia="Times New Roman" w:hAnsi="Times New Roman"/>
          <w:sz w:val="20"/>
          <w:szCs w:val="20"/>
          <w:color w:val="auto"/>
        </w:rPr>
        <w:t>” means all applicable Laws and guidelines relating to the Supply of Products, including the current Good Manufacturing Practices as specified in the United States Code of Federal Regulations.</w:t>
      </w:r>
    </w:p>
    <w:p>
      <w:pPr>
        <w:spacing w:after="0" w:line="151"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means private, proprietary or confidential information, data or materials, including trade secrets, know-how, formulae, processes, marketing and business plans, and technical information, which is disclosed or made available to the Receiving Party (“</w:t>
      </w:r>
      <w:r>
        <w:rPr>
          <w:rFonts w:ascii="Times New Roman" w:cs="Times New Roman" w:eastAsia="Times New Roman" w:hAnsi="Times New Roman"/>
          <w:sz w:val="20"/>
          <w:szCs w:val="20"/>
          <w:b w:val="1"/>
          <w:bCs w:val="1"/>
          <w:i w:val="1"/>
          <w:iCs w:val="1"/>
          <w:color w:val="auto"/>
        </w:rPr>
        <w:t>Receiving Party</w:t>
      </w:r>
      <w:r>
        <w:rPr>
          <w:rFonts w:ascii="Times New Roman" w:cs="Times New Roman" w:eastAsia="Times New Roman" w:hAnsi="Times New Roman"/>
          <w:sz w:val="20"/>
          <w:szCs w:val="20"/>
          <w:color w:val="auto"/>
        </w:rPr>
        <w:t>”) by or on behalf of the Disclosing Party (“</w:t>
      </w:r>
      <w:r>
        <w:rPr>
          <w:rFonts w:ascii="Times New Roman" w:cs="Times New Roman" w:eastAsia="Times New Roman" w:hAnsi="Times New Roman"/>
          <w:sz w:val="20"/>
          <w:szCs w:val="20"/>
          <w:b w:val="1"/>
          <w:bCs w:val="1"/>
          <w:i w:val="1"/>
          <w:iCs w:val="1"/>
          <w:color w:val="auto"/>
        </w:rPr>
        <w:t>Disclosing Party</w:t>
      </w:r>
      <w:r>
        <w:rPr>
          <w:rFonts w:ascii="Times New Roman" w:cs="Times New Roman" w:eastAsia="Times New Roman" w:hAnsi="Times New Roman"/>
          <w:sz w:val="20"/>
          <w:szCs w:val="20"/>
          <w:color w:val="auto"/>
        </w:rPr>
        <w:t>”), whether orally or in writing, regardless of when such disclosure or access occurred. All Confidential Information of the Disclosing Party shall remain the exclusive property of the Disclosing Party. The existence and terms and conditions of this Agreement are deemed to be Confidential Information. Confidential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 w:hanging="520"/>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shall not include [***].</w:t>
      </w:r>
    </w:p>
    <w:p>
      <w:pPr>
        <w:spacing w:after="0" w:line="211" w:lineRule="exact"/>
        <w:rPr>
          <w:rFonts w:ascii="Times New Roman" w:cs="Times New Roman" w:eastAsia="Times New Roman" w:hAnsi="Times New Roman"/>
          <w:sz w:val="20"/>
          <w:szCs w:val="20"/>
          <w:color w:val="auto"/>
        </w:rPr>
      </w:pPr>
    </w:p>
    <w:p>
      <w:pPr>
        <w:jc w:val="both"/>
        <w:ind w:left="640" w:hanging="520"/>
        <w:spacing w:after="0" w:line="242" w:lineRule="auto"/>
        <w:tabs>
          <w:tab w:leader="none" w:pos="640" w:val="left"/>
        </w:tabs>
        <w:numPr>
          <w:ilvl w:val="0"/>
          <w:numId w:val="103"/>
        </w:numPr>
        <w:rPr>
          <w:rFonts w:ascii="Times New Roman" w:cs="Times New Roman" w:eastAsia="Times New Roman" w:hAnsi="Times New Roman"/>
          <w:sz w:val="20"/>
          <w:szCs w:val="20"/>
          <w:i w:val="1"/>
          <w:iCs w:val="1"/>
          <w:color w:val="222222"/>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with respect to Supplier, an event or transaction or series of events or transactions by which: (a) any Third Party (or group of Third Parties acting in concert) becomes the beneficial owner, directly or indirectly, of more than fifty percent (50%) of the outstanding securities of Supplier or the total voting power of such securities normally entitled to vote in elections of directors; (b) (i) Supplier reorganizes, consolidates or comes under common control with, or merges into another entity, or (ii) any entity reorganizes, consolidates or comes under common control with, or merges into Supplier, in either event of the foregoing ((i) or (ii)) where more than fifty percent (50%) of the total voting power of the securities outstanding of the surviving entity normally entitled to vote in elections of directors is not held by the parties holding at least fifty percent (50%) of the outstanding shares of Supplier immediately preceding such consolidation or merger; (c) Supplier conveys, transfers or leases to a Third Party (A) all or substantially all of its assets or the control thereof, or (B) all or substantially all of its assets or business relating to this Agreement or the control thereof; or (d) any other arrangement whereby a Third Party (or group of Third Parties acting in concert) obtains control or the right to control the board of directors or equivalent governing body that has the ability to cause the direction of the management, policies or affairs of such Party .</w:t>
      </w:r>
    </w:p>
    <w:p>
      <w:pPr>
        <w:spacing w:after="0" w:line="187" w:lineRule="exact"/>
        <w:rPr>
          <w:rFonts w:ascii="Times New Roman" w:cs="Times New Roman" w:eastAsia="Times New Roman" w:hAnsi="Times New Roman"/>
          <w:sz w:val="20"/>
          <w:szCs w:val="20"/>
          <w:i w:val="1"/>
          <w:iCs w:val="1"/>
          <w:color w:val="222222"/>
        </w:rPr>
      </w:pPr>
    </w:p>
    <w:p>
      <w:pPr>
        <w:ind w:left="640" w:right="20" w:hanging="520"/>
        <w:spacing w:after="0" w:line="273"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Copyrights</w:t>
      </w:r>
      <w:r>
        <w:rPr>
          <w:rFonts w:ascii="Times New Roman" w:cs="Times New Roman" w:eastAsia="Times New Roman" w:hAnsi="Times New Roman"/>
          <w:sz w:val="20"/>
          <w:szCs w:val="20"/>
          <w:color w:val="auto"/>
        </w:rPr>
        <w:t>” means expressions fixed in a tangible medium, works of authorship, copyrightable material and copyrights associated with the Products.</w:t>
      </w:r>
    </w:p>
    <w:p>
      <w:pPr>
        <w:spacing w:after="0" w:line="151"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Disclosing Party</w:t>
      </w:r>
      <w:r>
        <w:rPr>
          <w:rFonts w:ascii="Times New Roman" w:cs="Times New Roman" w:eastAsia="Times New Roman" w:hAnsi="Times New Roman"/>
          <w:sz w:val="20"/>
          <w:szCs w:val="20"/>
          <w:color w:val="auto"/>
        </w:rPr>
        <w:t>” means the Party disclosing or providing access to its Confidential Information.</w:t>
      </w:r>
    </w:p>
    <w:p>
      <w:pPr>
        <w:spacing w:after="0" w:line="215"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means one or more of Supplier’s facilities set forth in Exhibit C (Approved Locations).</w:t>
      </w:r>
    </w:p>
    <w:p>
      <w:pPr>
        <w:spacing w:after="0" w:line="215" w:lineRule="exact"/>
        <w:rPr>
          <w:rFonts w:ascii="Times New Roman" w:cs="Times New Roman" w:eastAsia="Times New Roman" w:hAnsi="Times New Roman"/>
          <w:sz w:val="20"/>
          <w:szCs w:val="20"/>
          <w:color w:val="auto"/>
        </w:rPr>
      </w:pPr>
    </w:p>
    <w:p>
      <w:pPr>
        <w:ind w:left="640" w:hanging="520"/>
        <w:spacing w:after="0" w:line="273"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FDA</w:t>
      </w:r>
      <w:r>
        <w:rPr>
          <w:rFonts w:ascii="Times New Roman" w:cs="Times New Roman" w:eastAsia="Times New Roman" w:hAnsi="Times New Roman"/>
          <w:sz w:val="20"/>
          <w:szCs w:val="20"/>
          <w:color w:val="auto"/>
        </w:rPr>
        <w:t>” means the U.S. Food and Drug Administration and any successor Regulatory Authority having substantially the same function.</w:t>
      </w:r>
    </w:p>
    <w:p>
      <w:pPr>
        <w:spacing w:after="0" w:line="151" w:lineRule="exact"/>
        <w:rPr>
          <w:rFonts w:ascii="Times New Roman" w:cs="Times New Roman" w:eastAsia="Times New Roman" w:hAnsi="Times New Roman"/>
          <w:sz w:val="20"/>
          <w:szCs w:val="20"/>
          <w:color w:val="auto"/>
        </w:rPr>
      </w:pPr>
    </w:p>
    <w:p>
      <w:pPr>
        <w:ind w:left="640" w:right="20" w:hanging="520"/>
        <w:spacing w:after="0" w:line="273"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Field</w:t>
      </w:r>
      <w:r>
        <w:rPr>
          <w:rFonts w:ascii="Times New Roman" w:cs="Times New Roman" w:eastAsia="Times New Roman" w:hAnsi="Times New Roman"/>
          <w:sz w:val="20"/>
          <w:szCs w:val="20"/>
          <w:color w:val="auto"/>
        </w:rPr>
        <w:t>” means the field of manufacturing systems used in connection with the manufacture or commercial exploitation of medical products.</w:t>
      </w:r>
    </w:p>
    <w:p>
      <w:pPr>
        <w:spacing w:after="0" w:line="151" w:lineRule="exact"/>
        <w:rPr>
          <w:rFonts w:ascii="Times New Roman" w:cs="Times New Roman" w:eastAsia="Times New Roman" w:hAnsi="Times New Roman"/>
          <w:sz w:val="20"/>
          <w:szCs w:val="20"/>
          <w:color w:val="auto"/>
        </w:rPr>
      </w:pPr>
    </w:p>
    <w:p>
      <w:pPr>
        <w:ind w:left="640" w:hanging="520"/>
        <w:spacing w:after="0" w:line="273"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 Authority</w:t>
      </w:r>
      <w:r>
        <w:rPr>
          <w:rFonts w:ascii="Times New Roman" w:cs="Times New Roman" w:eastAsia="Times New Roman" w:hAnsi="Times New Roman"/>
          <w:sz w:val="20"/>
          <w:szCs w:val="20"/>
          <w:color w:val="auto"/>
        </w:rPr>
        <w:t>” means any federal, state, municipal, local, territorial or other government department, regulatory authority, judicial or administrative body, domestic, international or foreign.</w:t>
      </w:r>
    </w:p>
    <w:p>
      <w:pPr>
        <w:spacing w:after="0" w:line="151" w:lineRule="exact"/>
        <w:rPr>
          <w:rFonts w:ascii="Times New Roman" w:cs="Times New Roman" w:eastAsia="Times New Roman" w:hAnsi="Times New Roman"/>
          <w:sz w:val="20"/>
          <w:szCs w:val="20"/>
          <w:color w:val="auto"/>
        </w:rPr>
      </w:pPr>
    </w:p>
    <w:p>
      <w:pPr>
        <w:jc w:val="both"/>
        <w:ind w:left="640" w:hanging="520"/>
        <w:spacing w:after="0" w:line="250"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 Rights</w:t>
      </w:r>
      <w:r>
        <w:rPr>
          <w:rFonts w:ascii="Times New Roman" w:cs="Times New Roman" w:eastAsia="Times New Roman" w:hAnsi="Times New Roman"/>
          <w:sz w:val="20"/>
          <w:szCs w:val="20"/>
          <w:color w:val="auto"/>
        </w:rPr>
        <w:t>” means all rights available under patent, copyright, trademark, service mark, trade name, configuration, industrial design, trade secret or other intellectual property rights, including moral rights and mask works, and all rights in or relating to registrations, renewals, extensions, combinations, divisions, and reissues of, and applications for, any of the foregoing.</w:t>
      </w:r>
    </w:p>
    <w:p>
      <w:pPr>
        <w:spacing w:after="0" w:line="175" w:lineRule="exact"/>
        <w:rPr>
          <w:rFonts w:ascii="Times New Roman" w:cs="Times New Roman" w:eastAsia="Times New Roman" w:hAnsi="Times New Roman"/>
          <w:sz w:val="20"/>
          <w:szCs w:val="20"/>
          <w:color w:val="auto"/>
        </w:rPr>
      </w:pPr>
    </w:p>
    <w:p>
      <w:pPr>
        <w:ind w:left="640" w:hanging="520"/>
        <w:spacing w:after="0" w:line="273"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Laws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applicable laws, statutes, ordinances, codes, rules, regulations, ethical standards and other pronouncements that have the effect of law of any Government Authority, each as amended.</w:t>
      </w:r>
    </w:p>
    <w:p>
      <w:pPr>
        <w:spacing w:after="0" w:line="151" w:lineRule="exact"/>
        <w:rPr>
          <w:rFonts w:ascii="Times New Roman" w:cs="Times New Roman" w:eastAsia="Times New Roman" w:hAnsi="Times New Roman"/>
          <w:sz w:val="20"/>
          <w:szCs w:val="20"/>
          <w:color w:val="auto"/>
        </w:rPr>
      </w:pPr>
    </w:p>
    <w:p>
      <w:pPr>
        <w:jc w:val="both"/>
        <w:ind w:left="640" w:hanging="520"/>
        <w:spacing w:after="0" w:line="256" w:lineRule="auto"/>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Marks</w:t>
      </w:r>
      <w:r>
        <w:rPr>
          <w:rFonts w:ascii="Times New Roman" w:cs="Times New Roman" w:eastAsia="Times New Roman" w:hAnsi="Times New Roman"/>
          <w:sz w:val="20"/>
          <w:szCs w:val="20"/>
          <w:color w:val="auto"/>
        </w:rPr>
        <w:t>” means proprietary indicia, trademarks, service marks, trade names, symbols, logos and/or brand names adopted from time to time by OUTSET Entities to identify OUTSET Entities, the Products or related products or services anywhere in the world, regardless of whether registered.</w:t>
      </w: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4" w:lineRule="exact"/>
        <w:rPr>
          <w:sz w:val="20"/>
          <w:szCs w:val="20"/>
          <w:color w:val="auto"/>
        </w:rPr>
      </w:pPr>
    </w:p>
    <w:p>
      <w:pPr>
        <w:ind w:left="960" w:hanging="520"/>
        <w:spacing w:after="0"/>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w:t>
      </w:r>
      <w:r>
        <w:rPr>
          <w:rFonts w:ascii="Times New Roman" w:cs="Times New Roman" w:eastAsia="Times New Roman" w:hAnsi="Times New Roman"/>
          <w:sz w:val="20"/>
          <w:szCs w:val="20"/>
          <w:color w:val="auto"/>
        </w:rPr>
        <w:t>” means raw materials and/or other materials that are used in the manufacture or formulation of the Product(s).</w:t>
      </w:r>
    </w:p>
    <w:p>
      <w:pPr>
        <w:spacing w:after="0" w:line="229" w:lineRule="exact"/>
        <w:rPr>
          <w:rFonts w:ascii="Times New Roman" w:cs="Times New Roman" w:eastAsia="Times New Roman" w:hAnsi="Times New Roman"/>
          <w:sz w:val="20"/>
          <w:szCs w:val="20"/>
          <w:color w:val="auto"/>
        </w:rPr>
      </w:pPr>
    </w:p>
    <w:p>
      <w:pPr>
        <w:jc w:val="both"/>
        <w:ind w:left="960" w:hanging="520"/>
        <w:spacing w:after="0" w:line="250"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OUTSET Background Technology</w:t>
      </w:r>
      <w:r>
        <w:rPr>
          <w:rFonts w:ascii="Times New Roman" w:cs="Times New Roman" w:eastAsia="Times New Roman" w:hAnsi="Times New Roman"/>
          <w:sz w:val="20"/>
          <w:szCs w:val="20"/>
          <w:color w:val="auto"/>
        </w:rPr>
        <w:t>” means technology, know-how, trade secrets, inventions, and all other intellectual property developed by or on behalf of Outset , or in which Outset obtained rights, prior to the Effective Date, or was developed by OUTSET independently of the design, development or Supply of any Products or the provision of any Services in connection with this Agreement.</w:t>
      </w:r>
    </w:p>
    <w:p>
      <w:pPr>
        <w:spacing w:after="0" w:line="175" w:lineRule="exact"/>
        <w:rPr>
          <w:rFonts w:ascii="Times New Roman" w:cs="Times New Roman" w:eastAsia="Times New Roman" w:hAnsi="Times New Roman"/>
          <w:sz w:val="20"/>
          <w:szCs w:val="20"/>
          <w:color w:val="auto"/>
        </w:rPr>
      </w:pPr>
    </w:p>
    <w:p>
      <w:pPr>
        <w:ind w:left="1380" w:hanging="427"/>
        <w:spacing w:after="0" w:line="273" w:lineRule="auto"/>
        <w:tabs>
          <w:tab w:leader="none" w:pos="138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 individual, corporation, partnership, Limited Liability Company, association, trust, unincorporated organization, or other legal entity or organization, or a Government Authority.</w:t>
      </w:r>
    </w:p>
    <w:p>
      <w:pPr>
        <w:spacing w:after="0" w:line="15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Product</w:t>
      </w:r>
      <w:r>
        <w:rPr>
          <w:rFonts w:ascii="Times New Roman" w:cs="Times New Roman" w:eastAsia="Times New Roman" w:hAnsi="Times New Roman"/>
          <w:sz w:val="20"/>
          <w:szCs w:val="20"/>
          <w:color w:val="auto"/>
        </w:rPr>
        <w:t>” means those products set forth in Exhibit A (Products and Specifications).</w:t>
      </w:r>
    </w:p>
    <w:p>
      <w:pPr>
        <w:spacing w:after="0" w:line="215"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Order</w:t>
      </w:r>
      <w:r>
        <w:rPr>
          <w:rFonts w:ascii="Times New Roman" w:cs="Times New Roman" w:eastAsia="Times New Roman" w:hAnsi="Times New Roman"/>
          <w:sz w:val="20"/>
          <w:szCs w:val="20"/>
          <w:color w:val="auto"/>
        </w:rPr>
        <w:t>” has the meaning set forth in Section 3(c).</w:t>
      </w:r>
    </w:p>
    <w:p>
      <w:pPr>
        <w:spacing w:after="0" w:line="215"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Quarter</w:t>
      </w:r>
      <w:r>
        <w:rPr>
          <w:rFonts w:ascii="Times New Roman" w:cs="Times New Roman" w:eastAsia="Times New Roman" w:hAnsi="Times New Roman"/>
          <w:sz w:val="20"/>
          <w:szCs w:val="20"/>
          <w:color w:val="auto"/>
        </w:rPr>
        <w:t>” means the period of three consecutive calendar months ending March 31, June 30, September 30 and December 31.</w:t>
      </w:r>
    </w:p>
    <w:p>
      <w:pPr>
        <w:spacing w:after="0" w:line="215"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Receiving Party</w:t>
      </w:r>
      <w:r>
        <w:rPr>
          <w:rFonts w:ascii="Times New Roman" w:cs="Times New Roman" w:eastAsia="Times New Roman" w:hAnsi="Times New Roman"/>
          <w:sz w:val="20"/>
          <w:szCs w:val="20"/>
          <w:color w:val="auto"/>
        </w:rPr>
        <w:t>” means a Party that receives or has access to the Confidential Information of the other Party.</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56"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Regulatory Authority</w:t>
      </w:r>
      <w:r>
        <w:rPr>
          <w:rFonts w:ascii="Times New Roman" w:cs="Times New Roman" w:eastAsia="Times New Roman" w:hAnsi="Times New Roman"/>
          <w:sz w:val="20"/>
          <w:szCs w:val="20"/>
          <w:color w:val="auto"/>
        </w:rPr>
        <w:t>” means the FDA, the EMA or any Governmental Authority or regulatory body with similar regulatory authority in any other jurisdiction over the development, manufacture or commercialization of Products (including Supply) anywhere in the world.</w:t>
      </w:r>
    </w:p>
    <w:p>
      <w:pPr>
        <w:spacing w:after="0" w:line="168" w:lineRule="exact"/>
        <w:rPr>
          <w:rFonts w:ascii="Times New Roman" w:cs="Times New Roman" w:eastAsia="Times New Roman" w:hAnsi="Times New Roman"/>
          <w:sz w:val="20"/>
          <w:szCs w:val="20"/>
          <w:color w:val="auto"/>
        </w:rPr>
      </w:pPr>
    </w:p>
    <w:p>
      <w:pPr>
        <w:ind w:left="960" w:hanging="520"/>
        <w:spacing w:after="0" w:line="273"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means the services, functions and responsibilities performed, or required to be performed, by Supplier in connection with the Supply of Products under this Agreement.</w:t>
      </w:r>
    </w:p>
    <w:p>
      <w:pPr>
        <w:spacing w:after="0" w:line="151" w:lineRule="exact"/>
        <w:rPr>
          <w:rFonts w:ascii="Times New Roman" w:cs="Times New Roman" w:eastAsia="Times New Roman" w:hAnsi="Times New Roman"/>
          <w:sz w:val="20"/>
          <w:szCs w:val="20"/>
          <w:color w:val="auto"/>
        </w:rPr>
      </w:pPr>
    </w:p>
    <w:p>
      <w:pPr>
        <w:ind w:left="960" w:hanging="520"/>
        <w:spacing w:after="0" w:line="273"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Specifications</w:t>
      </w:r>
      <w:r>
        <w:rPr>
          <w:rFonts w:ascii="Times New Roman" w:cs="Times New Roman" w:eastAsia="Times New Roman" w:hAnsi="Times New Roman"/>
          <w:sz w:val="20"/>
          <w:szCs w:val="20"/>
          <w:color w:val="auto"/>
        </w:rPr>
        <w:t>” means the specifications for Products, including the Supply of such Products, set forth in Exhibit A (Products and Specifications).</w:t>
      </w:r>
    </w:p>
    <w:p>
      <w:pPr>
        <w:spacing w:after="0" w:line="151" w:lineRule="exact"/>
        <w:rPr>
          <w:rFonts w:ascii="Times New Roman" w:cs="Times New Roman" w:eastAsia="Times New Roman" w:hAnsi="Times New Roman"/>
          <w:sz w:val="20"/>
          <w:szCs w:val="20"/>
          <w:color w:val="auto"/>
        </w:rPr>
      </w:pPr>
    </w:p>
    <w:p>
      <w:pPr>
        <w:jc w:val="both"/>
        <w:ind w:left="960" w:hanging="520"/>
        <w:spacing w:after="0" w:line="256"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Supply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Supplying</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b w:val="1"/>
          <w:bCs w:val="1"/>
          <w:i w:val="1"/>
          <w:iCs w:val="1"/>
          <w:color w:val="auto"/>
        </w:rPr>
        <w:t>Supplied</w:t>
      </w:r>
      <w:r>
        <w:rPr>
          <w:rFonts w:ascii="Times New Roman" w:cs="Times New Roman" w:eastAsia="Times New Roman" w:hAnsi="Times New Roman"/>
          <w:sz w:val="20"/>
          <w:szCs w:val="20"/>
          <w:color w:val="auto"/>
        </w:rPr>
        <w:t>” means the production, manufacturing, packaging, packing, labeling, warehousing, quality control testing (including in-process, release and stability testing), release and, if applicable, shipping and delivery of Products.</w:t>
      </w:r>
    </w:p>
    <w:p>
      <w:pPr>
        <w:spacing w:after="0" w:line="168"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Party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any Person other than OUTSET, Supplier or any Affiliates or either Party.</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56" w:lineRule="auto"/>
        <w:tabs>
          <w:tab w:leader="none" w:pos="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Validation</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b w:val="1"/>
          <w:bCs w:val="1"/>
          <w:i w:val="1"/>
          <w:iCs w:val="1"/>
          <w:color w:val="auto"/>
        </w:rPr>
        <w:t>Validating</w:t>
      </w:r>
      <w:r>
        <w:rPr>
          <w:rFonts w:ascii="Times New Roman" w:cs="Times New Roman" w:eastAsia="Times New Roman" w:hAnsi="Times New Roman"/>
          <w:sz w:val="20"/>
          <w:szCs w:val="20"/>
          <w:color w:val="auto"/>
        </w:rPr>
        <w:t>” means documented programs that provide a high degree of assurance that a specific process, method, or system shall consistently produce a result OUTSET predetermines as acceptance criteria. Each Party shall be responsible for its own costs during any Validation program.</w:t>
      </w:r>
    </w:p>
    <w:p>
      <w:pPr>
        <w:spacing w:after="0" w:line="16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SUPPLY</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Supply of Product</w:t>
      </w:r>
      <w:r>
        <w:rPr>
          <w:rFonts w:ascii="Times New Roman" w:cs="Times New Roman" w:eastAsia="Times New Roman" w:hAnsi="Times New Roman"/>
          <w:sz w:val="20"/>
          <w:szCs w:val="20"/>
          <w:color w:val="auto"/>
        </w:rPr>
        <w:t>. During the Term, in response to any and all Purchase Orders submitted by OUTSET, or any designated OUTSET Entity, Supplier shall Supply Products to OUTSET or the applicable OUTSET Entities in accordance with the Specifications and all other requirements under each Purchase Order and in accordance with the terms of this Agreement. Any additional or differing terms from this Agreement which may be contained on any Purchase Order and/or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3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boilerplate web or portal shall not be binding on either Party unless expressly agreed to by both Parties in writing.</w:t>
      </w:r>
    </w:p>
    <w:p>
      <w:pPr>
        <w:spacing w:after="0" w:line="216" w:lineRule="exact"/>
        <w:rPr>
          <w:sz w:val="20"/>
          <w:szCs w:val="20"/>
          <w:color w:val="auto"/>
        </w:rPr>
      </w:pPr>
    </w:p>
    <w:p>
      <w:pPr>
        <w:jc w:val="both"/>
        <w:ind w:left="640" w:hanging="520"/>
        <w:spacing w:after="0" w:line="254" w:lineRule="auto"/>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Samples</w:t>
      </w:r>
      <w:r>
        <w:rPr>
          <w:rFonts w:ascii="Times New Roman" w:cs="Times New Roman" w:eastAsia="Times New Roman" w:hAnsi="Times New Roman"/>
          <w:sz w:val="20"/>
          <w:szCs w:val="20"/>
          <w:color w:val="auto"/>
        </w:rPr>
        <w:t>. Upon OUTSET’s request, Supplier shall provide OUTSET with a reasonable quantity of samples of Products from an OUTSET specified batch for inspection, testing and analysis. Supplier shall ship such sample Products as requested by OUTSET, and OUTSET shall be responsible for the product cost and shipping expenses.</w:t>
      </w:r>
    </w:p>
    <w:p>
      <w:pPr>
        <w:spacing w:after="0" w:line="174"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In connection with the Supply of Products under this Agreement, in addition to any other Services set forth in this Agreement, Supplier shall provide Services to OUTSET. Services shall include customer support services, technical support services, logistics support services, and all services customary or necessary in connection with the Supply of Products under this Agreement, as reasonably requested by OUTSET and mutually agreed to by Supplier for non-standard requests.</w:t>
      </w:r>
    </w:p>
    <w:p>
      <w:pPr>
        <w:spacing w:after="0" w:line="179" w:lineRule="exact"/>
        <w:rPr>
          <w:rFonts w:ascii="Times New Roman" w:cs="Times New Roman" w:eastAsia="Times New Roman" w:hAnsi="Times New Roman"/>
          <w:sz w:val="20"/>
          <w:szCs w:val="20"/>
          <w:color w:val="auto"/>
        </w:rPr>
      </w:pPr>
    </w:p>
    <w:p>
      <w:pPr>
        <w:jc w:val="both"/>
        <w:ind w:left="640" w:hanging="520"/>
        <w:spacing w:after="0" w:line="246" w:lineRule="auto"/>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Subcontracting</w:t>
      </w:r>
      <w:r>
        <w:rPr>
          <w:rFonts w:ascii="Times New Roman" w:cs="Times New Roman" w:eastAsia="Times New Roman" w:hAnsi="Times New Roman"/>
          <w:sz w:val="20"/>
          <w:szCs w:val="20"/>
          <w:color w:val="auto"/>
        </w:rPr>
        <w:t>. Supplier shall not engage any subcontractors (including any of its Affiliates) to Supply any Products or perform any Services without OUTSET’s prior written consent. Each subcontractor must sign a written agreement, pursuant to which such subcontractor shall, among other things, agree to be bound by the terms and conditions of this Agreement, with respect to the applicable Products and Services, as if such subcontractor were Supplier. Notwithstanding the foregoing, no subcontracting shall relieve Supplier of its responsibility and liability for any Products Supplied or Services performed by its subcontractors.</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57" w:lineRule="auto"/>
        <w:tabs>
          <w:tab w:leader="none" w:pos="6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Tooling</w:t>
      </w:r>
      <w:r>
        <w:rPr>
          <w:rFonts w:ascii="Times New Roman" w:cs="Times New Roman" w:eastAsia="Times New Roman" w:hAnsi="Times New Roman"/>
          <w:sz w:val="19"/>
          <w:szCs w:val="19"/>
          <w:color w:val="auto"/>
        </w:rPr>
        <w:t xml:space="preserve"> - The Parties agree that certain specific tooling and equipment modification will be required at the Facility in order to manufacture the Products. The installation of such tooling and equipment shall be conducted by Supplier in accordance with an operational plan (the “</w:t>
      </w:r>
      <w:r>
        <w:rPr>
          <w:rFonts w:ascii="Times New Roman" w:cs="Times New Roman" w:eastAsia="Times New Roman" w:hAnsi="Times New Roman"/>
          <w:sz w:val="19"/>
          <w:szCs w:val="19"/>
          <w:b w:val="1"/>
          <w:bCs w:val="1"/>
          <w:i w:val="1"/>
          <w:iCs w:val="1"/>
          <w:color w:val="auto"/>
        </w:rPr>
        <w:t>Product Readiness Plan</w:t>
      </w:r>
      <w:r>
        <w:rPr>
          <w:rFonts w:ascii="Times New Roman" w:cs="Times New Roman" w:eastAsia="Times New Roman" w:hAnsi="Times New Roman"/>
          <w:sz w:val="19"/>
          <w:szCs w:val="19"/>
          <w:color w:val="auto"/>
        </w:rPr>
        <w:t>”) to be mutually agreed by the Parties, including a budget for such activities. Outset shall be responsible for the out-of-pocket costs incurred in relation to activities under the Product Readiness Plan (the “</w:t>
      </w:r>
      <w:r>
        <w:rPr>
          <w:rFonts w:ascii="Times New Roman" w:cs="Times New Roman" w:eastAsia="Times New Roman" w:hAnsi="Times New Roman"/>
          <w:sz w:val="19"/>
          <w:szCs w:val="19"/>
          <w:b w:val="1"/>
          <w:bCs w:val="1"/>
          <w:i w:val="1"/>
          <w:iCs w:val="1"/>
          <w:color w:val="auto"/>
        </w:rPr>
        <w:t>Tooling Costs</w:t>
      </w:r>
      <w:r>
        <w:rPr>
          <w:rFonts w:ascii="Times New Roman" w:cs="Times New Roman" w:eastAsia="Times New Roman" w:hAnsi="Times New Roman"/>
          <w:sz w:val="19"/>
          <w:szCs w:val="19"/>
          <w:color w:val="auto"/>
        </w:rPr>
        <w:t>”), in accordance with the budget set forth in the Product Readiness Plan. The Tooling Costs shall be payable by Outset as follows: [***]. Outset shall not be responsible for any Tooling Costs in excess of those set forth in the Product Readiness Plan unless mutually agreed in advance in writing, provided that Outset shall not unreasonably withhold its consent to any additional amounts that do not increase the Tooling Costs in the aggregate by greater than [***]%. Outset shall provide reasonable assistance requested by Supplier, at Outset’s expense, in connection with activities under the Product Readiness Plan.</w:t>
      </w:r>
    </w:p>
    <w:p>
      <w:pPr>
        <w:spacing w:after="0" w:line="175" w:lineRule="exact"/>
        <w:rPr>
          <w:rFonts w:ascii="Times New Roman" w:cs="Times New Roman" w:eastAsia="Times New Roman" w:hAnsi="Times New Roman"/>
          <w:sz w:val="19"/>
          <w:szCs w:val="19"/>
          <w:color w:val="auto"/>
        </w:rPr>
      </w:pPr>
    </w:p>
    <w:p>
      <w:pPr>
        <w:jc w:val="both"/>
        <w:ind w:left="640" w:hanging="520"/>
        <w:spacing w:after="0" w:line="246" w:lineRule="auto"/>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Productivity Goals</w:t>
      </w:r>
      <w:r>
        <w:rPr>
          <w:rFonts w:ascii="Times New Roman" w:cs="Times New Roman" w:eastAsia="Times New Roman" w:hAnsi="Times New Roman"/>
          <w:sz w:val="20"/>
          <w:szCs w:val="20"/>
          <w:color w:val="auto"/>
        </w:rPr>
        <w:t>. Supplier and OUTSET will work together to create, quarterly, a list of technically feasible initiatives, such as but not limited to, Value Stream Mapping, supply chain localization, and Kaizen projects, that will target a [***]% cost reduction against the total spend. All technically feasible proposals submitted by Supplier shall count toward Supplier’s targeted achievement of the [***]% cost savings goal pursuant to this paragraph. These projects may be executed with the allocation of resources from OUTSET to Validate the proposed changes.</w:t>
      </w:r>
    </w:p>
    <w:p>
      <w:pPr>
        <w:spacing w:after="0" w:line="184"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Productivity Improvements</w:t>
      </w:r>
      <w:r>
        <w:rPr>
          <w:rFonts w:ascii="Times New Roman" w:cs="Times New Roman" w:eastAsia="Times New Roman" w:hAnsi="Times New Roman"/>
          <w:sz w:val="20"/>
          <w:szCs w:val="20"/>
          <w:color w:val="auto"/>
        </w:rPr>
        <w:t>. A productivity improvement forum shall occur quarterly, with the goal of reducing costs by at least</w:t>
      </w:r>
    </w:p>
    <w:p>
      <w:pPr>
        <w:spacing w:after="0" w:line="21" w:lineRule="exact"/>
        <w:rPr>
          <w:rFonts w:ascii="Times New Roman" w:cs="Times New Roman" w:eastAsia="Times New Roman" w:hAnsi="Times New Roman"/>
          <w:sz w:val="20"/>
          <w:szCs w:val="20"/>
          <w:color w:val="auto"/>
        </w:rPr>
      </w:pPr>
    </w:p>
    <w:p>
      <w:pPr>
        <w:jc w:val="both"/>
        <w:ind w:left="640" w:hanging="7"/>
        <w:spacing w:after="0"/>
        <w:tabs>
          <w:tab w:leader="none" w:pos="1141"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 annually. Any productivity improvement suggested by either party shall be discussed by Supplier and Outset in good faith. Supplier shall be reimbursed by OUTSET for any expenses associated with implementing the productivity improvement prior to the cost saving implementation. The resulting cost savings shall , (i) first, provided that such productivity improvement opportunity was first identified by Supplier, the parties shall split such savings [***] for the first [***] after implementation, and (ii) thereafter, one hundred percent (100%) of the productivity improvement savings shall be passed on to Outset.</w:t>
      </w: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4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960"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Supplier shall implement a productivity improvement only upon Outset’s prior written consent and payment of applicable expenses incurred by Supplier.</w:t>
      </w:r>
    </w:p>
    <w:p>
      <w:pPr>
        <w:spacing w:after="0" w:line="155" w:lineRule="exact"/>
        <w:rPr>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FORECASTS, PURCHASE ORDERS AND CAPACITY</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Forecast.</w:t>
      </w:r>
      <w:r>
        <w:rPr>
          <w:rFonts w:ascii="Times New Roman" w:cs="Times New Roman" w:eastAsia="Times New Roman" w:hAnsi="Times New Roman"/>
          <w:sz w:val="20"/>
          <w:szCs w:val="20"/>
          <w:color w:val="auto"/>
        </w:rPr>
        <w:t xml:space="preserve"> OUTSET will provide Supplier with a non-binding, good faith, forward looking, [***] month rolling forecast for orders of each Product (each, a “</w:t>
      </w:r>
      <w:r>
        <w:rPr>
          <w:rFonts w:ascii="Times New Roman" w:cs="Times New Roman" w:eastAsia="Times New Roman" w:hAnsi="Times New Roman"/>
          <w:sz w:val="20"/>
          <w:szCs w:val="20"/>
          <w:b w:val="1"/>
          <w:bCs w:val="1"/>
          <w:i w:val="1"/>
          <w:iCs w:val="1"/>
          <w:color w:val="auto"/>
        </w:rPr>
        <w:t>Forecast</w:t>
      </w:r>
      <w:r>
        <w:rPr>
          <w:rFonts w:ascii="Times New Roman" w:cs="Times New Roman" w:eastAsia="Times New Roman" w:hAnsi="Times New Roman"/>
          <w:sz w:val="20"/>
          <w:szCs w:val="20"/>
          <w:color w:val="auto"/>
        </w:rPr>
        <w:t>”). OUTSET shall update Forecast on a monthly basis. OUTSET shall be required to place Purchase Orders for a quantity equals to the first month forecast of Products. Forecasts do not constitute Purchase Orders or commitments to purchase Products except OUTSET shall be responsible for all inventory, WIP, and finished goods, in connection with approved orders and forecasted long lead time items as required in section 3(b) and 3(h)</w:t>
      </w:r>
    </w:p>
    <w:p>
      <w:pPr>
        <w:spacing w:after="0" w:line="184" w:lineRule="exact"/>
        <w:rPr>
          <w:rFonts w:ascii="Times New Roman" w:cs="Times New Roman" w:eastAsia="Times New Roman" w:hAnsi="Times New Roman"/>
          <w:sz w:val="20"/>
          <w:szCs w:val="20"/>
          <w:color w:val="auto"/>
        </w:rPr>
      </w:pPr>
    </w:p>
    <w:p>
      <w:pPr>
        <w:ind w:left="960" w:hanging="520"/>
        <w:spacing w:after="0" w:line="269" w:lineRule="auto"/>
        <w:tabs>
          <w:tab w:leader="none" w:pos="9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Supplier shall maintain sufficient inventory to fulfill OUTSET’s requirements for Products as specified in the then-applicable Forecast and agreed upon safety stock.</w:t>
      </w:r>
    </w:p>
    <w:p>
      <w:pPr>
        <w:spacing w:after="0" w:line="155" w:lineRule="exact"/>
        <w:rPr>
          <w:rFonts w:ascii="Times New Roman" w:cs="Times New Roman" w:eastAsia="Times New Roman" w:hAnsi="Times New Roman"/>
          <w:sz w:val="20"/>
          <w:szCs w:val="20"/>
          <w:color w:val="auto"/>
        </w:rPr>
      </w:pPr>
    </w:p>
    <w:p>
      <w:pPr>
        <w:jc w:val="both"/>
        <w:ind w:left="960" w:hanging="520"/>
        <w:spacing w:after="0" w:line="243" w:lineRule="auto"/>
        <w:tabs>
          <w:tab w:leader="none" w:pos="9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Orders.</w:t>
      </w:r>
      <w:r>
        <w:rPr>
          <w:rFonts w:ascii="Times New Roman" w:cs="Times New Roman" w:eastAsia="Times New Roman" w:hAnsi="Times New Roman"/>
          <w:sz w:val="20"/>
          <w:szCs w:val="20"/>
          <w:color w:val="auto"/>
        </w:rPr>
        <w:t xml:space="preserve"> Outset may place Purchase Orders in a form to be agreed (each a “</w:t>
      </w:r>
      <w:r>
        <w:rPr>
          <w:rFonts w:ascii="Times New Roman" w:cs="Times New Roman" w:eastAsia="Times New Roman" w:hAnsi="Times New Roman"/>
          <w:sz w:val="20"/>
          <w:szCs w:val="20"/>
          <w:b w:val="1"/>
          <w:bCs w:val="1"/>
          <w:i w:val="1"/>
          <w:iCs w:val="1"/>
          <w:color w:val="auto"/>
        </w:rPr>
        <w:t>Purchase Order</w:t>
      </w:r>
      <w:r>
        <w:rPr>
          <w:rFonts w:ascii="Times New Roman" w:cs="Times New Roman" w:eastAsia="Times New Roman" w:hAnsi="Times New Roman"/>
          <w:sz w:val="20"/>
          <w:szCs w:val="20"/>
          <w:color w:val="auto"/>
        </w:rPr>
        <w:t>”) on a monthly basis. In the event of any conflict between a Purchase Order and the terms and conditions of this Agreement, the terms and conditions of this Agreement shall control. Any additional or conflicting terms noted on the Purchase Order are void and will only be binding when those terms have been previously agreed to in writing by both Parties. Terms contained in an order acknowledgement, invoice, or Supplier unilateral document that are in addition to or different from the terms and conditions of this Agreement are void. Outset may place longer term Purchase Orders at its discretion. Delivery dates may be amended (as to quantity or delivery date) at any time before [***] prior to the scheduled delivery date and may only be reschedule out a maximum of [***] from the original delivery date unless agreed to in writing by both Parties. Supplier’s failure to confirm or reject any order with a separate, written acceptance or rejection within [***] days after receipt of such Purchase Order shall be deemed acceptance of such Purchase Order.</w:t>
      </w:r>
    </w:p>
    <w:p>
      <w:pPr>
        <w:spacing w:after="0" w:line="186" w:lineRule="exact"/>
        <w:rPr>
          <w:rFonts w:ascii="Times New Roman" w:cs="Times New Roman" w:eastAsia="Times New Roman" w:hAnsi="Times New Roman"/>
          <w:sz w:val="20"/>
          <w:szCs w:val="20"/>
          <w:color w:val="auto"/>
        </w:rPr>
      </w:pPr>
    </w:p>
    <w:p>
      <w:pPr>
        <w:ind w:left="960" w:hanging="520"/>
        <w:spacing w:after="0" w:line="269" w:lineRule="auto"/>
        <w:tabs>
          <w:tab w:leader="none" w:pos="9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Exceeding the Forecast</w:t>
      </w:r>
      <w:r>
        <w:rPr>
          <w:rFonts w:ascii="Times New Roman" w:cs="Times New Roman" w:eastAsia="Times New Roman" w:hAnsi="Times New Roman"/>
          <w:sz w:val="20"/>
          <w:szCs w:val="20"/>
          <w:color w:val="auto"/>
        </w:rPr>
        <w:t>. Should OUTSET request Supplier to Supply Products in excess of the applicable Forecast, up to [***]% of the Forecast for any applicable period, Supplier shall use its best efforts to:</w:t>
      </w:r>
    </w:p>
    <w:p>
      <w:pPr>
        <w:spacing w:after="0" w:line="159" w:lineRule="exact"/>
        <w:rPr>
          <w:rFonts w:ascii="Times New Roman" w:cs="Times New Roman" w:eastAsia="Times New Roman" w:hAnsi="Times New Roman"/>
          <w:sz w:val="20"/>
          <w:szCs w:val="20"/>
          <w:color w:val="auto"/>
        </w:rPr>
      </w:pPr>
    </w:p>
    <w:p>
      <w:pPr>
        <w:ind w:left="2580" w:hanging="210"/>
        <w:spacing w:after="0"/>
        <w:tabs>
          <w:tab w:leader="none" w:pos="258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unplanned orders;</w:t>
      </w:r>
    </w:p>
    <w:p>
      <w:pPr>
        <w:spacing w:after="0" w:line="229" w:lineRule="exact"/>
        <w:rPr>
          <w:rFonts w:ascii="Times New Roman" w:cs="Times New Roman" w:eastAsia="Times New Roman" w:hAnsi="Times New Roman"/>
          <w:sz w:val="20"/>
          <w:szCs w:val="20"/>
          <w:color w:val="auto"/>
        </w:rPr>
      </w:pPr>
    </w:p>
    <w:p>
      <w:pPr>
        <w:ind w:left="2580" w:hanging="210"/>
        <w:spacing w:after="0"/>
        <w:tabs>
          <w:tab w:leader="none" w:pos="258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delivery dates of existing orders; or</w:t>
      </w:r>
    </w:p>
    <w:p>
      <w:pPr>
        <w:spacing w:after="0" w:line="2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iii.accept increases in quantities on existing orders.</w:t>
      </w:r>
    </w:p>
    <w:p>
      <w:pPr>
        <w:spacing w:after="0" w:line="229" w:lineRule="exact"/>
        <w:rPr>
          <w:sz w:val="20"/>
          <w:szCs w:val="20"/>
          <w:color w:val="auto"/>
        </w:rPr>
      </w:pPr>
    </w:p>
    <w:p>
      <w:pPr>
        <w:ind w:left="960" w:hanging="520"/>
        <w:spacing w:after="0" w:line="269" w:lineRule="auto"/>
        <w:tabs>
          <w:tab w:leader="none" w:pos="9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Canceling or Deferring Purchase Orders</w:t>
      </w:r>
      <w:r>
        <w:rPr>
          <w:rFonts w:ascii="Times New Roman" w:cs="Times New Roman" w:eastAsia="Times New Roman" w:hAnsi="Times New Roman"/>
          <w:sz w:val="20"/>
          <w:szCs w:val="20"/>
          <w:color w:val="auto"/>
        </w:rPr>
        <w:t>. OUTSET may cancel any Purchase Order without penalty, provided that such cancellation Notice is received by Supplier at least [***] days prior to the scheduled delivery date for a Product shipment.</w:t>
      </w:r>
    </w:p>
    <w:p>
      <w:pPr>
        <w:spacing w:after="0" w:line="159" w:lineRule="exact"/>
        <w:rPr>
          <w:rFonts w:ascii="Times New Roman" w:cs="Times New Roman" w:eastAsia="Times New Roman" w:hAnsi="Times New Roman"/>
          <w:sz w:val="20"/>
          <w:szCs w:val="20"/>
          <w:color w:val="auto"/>
        </w:rPr>
      </w:pPr>
    </w:p>
    <w:p>
      <w:pPr>
        <w:jc w:val="both"/>
        <w:ind w:left="960" w:hanging="520"/>
        <w:spacing w:after="0" w:line="245" w:lineRule="auto"/>
        <w:tabs>
          <w:tab w:leader="none" w:pos="9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Deliveries under Purchase Orders</w:t>
      </w:r>
      <w:r>
        <w:rPr>
          <w:rFonts w:ascii="Times New Roman" w:cs="Times New Roman" w:eastAsia="Times New Roman" w:hAnsi="Times New Roman"/>
          <w:sz w:val="20"/>
          <w:szCs w:val="20"/>
          <w:color w:val="auto"/>
        </w:rPr>
        <w:t>. Supplier shall acknowledge the receipt of a purchase order within [***], and accept all requirements under each Purchase Order within [***] days upon placement, or such other date as may be specified in such Purchase Order by OUTSET (the “</w:t>
      </w:r>
      <w:r>
        <w:rPr>
          <w:rFonts w:ascii="Times New Roman" w:cs="Times New Roman" w:eastAsia="Times New Roman" w:hAnsi="Times New Roman"/>
          <w:sz w:val="20"/>
          <w:szCs w:val="20"/>
          <w:b w:val="1"/>
          <w:bCs w:val="1"/>
          <w:i w:val="1"/>
          <w:iCs w:val="1"/>
          <w:color w:val="auto"/>
        </w:rPr>
        <w:t>Delivery Date</w:t>
      </w:r>
      <w:r>
        <w:rPr>
          <w:rFonts w:ascii="Times New Roman" w:cs="Times New Roman" w:eastAsia="Times New Roman" w:hAnsi="Times New Roman"/>
          <w:sz w:val="20"/>
          <w:szCs w:val="20"/>
          <w:color w:val="auto"/>
        </w:rPr>
        <w:t>”). Supplier agrees to maintain on time delivery in [***] percent ([***]%) of its shipments over a [***] period, and Supplier has not cured such delivery issue within the [***] day cure period, Supplier shall be deemed to be in material breach of this Agreement, and OUTSET shall have the right to terminate this Agreement immediately for cause per Section 13(b)(ii).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5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hanging="520"/>
        <w:spacing w:after="0" w:line="242" w:lineRule="auto"/>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Anticipated Failure</w:t>
      </w:r>
      <w:r>
        <w:rPr>
          <w:rFonts w:ascii="Times New Roman" w:cs="Times New Roman" w:eastAsia="Times New Roman" w:hAnsi="Times New Roman"/>
          <w:sz w:val="20"/>
          <w:szCs w:val="20"/>
          <w:color w:val="auto"/>
        </w:rPr>
        <w:t>. Supplier shall immediately provide Notice to OUTSET if Supplier anticipates that it will be unable to meet its obligations to Supply Product in accordance with this Agreement, at the time of placement of a Purchase Order. Failure to Supply greater than [***] percent ([***]%) the quantities of Products covered by Purchase Orders placed by OUTSET in (i) [***]consecutive Purchase Orders, or (ii) more than [***] times during any [***] period; (each, a “</w:t>
      </w:r>
      <w:r>
        <w:rPr>
          <w:rFonts w:ascii="Times New Roman" w:cs="Times New Roman" w:eastAsia="Times New Roman" w:hAnsi="Times New Roman"/>
          <w:sz w:val="20"/>
          <w:szCs w:val="20"/>
          <w:b w:val="1"/>
          <w:bCs w:val="1"/>
          <w:i w:val="1"/>
          <w:iCs w:val="1"/>
          <w:color w:val="auto"/>
        </w:rPr>
        <w:t>Supply Failure</w:t>
      </w:r>
      <w:r>
        <w:rPr>
          <w:rFonts w:ascii="Times New Roman" w:cs="Times New Roman" w:eastAsia="Times New Roman" w:hAnsi="Times New Roman"/>
          <w:sz w:val="20"/>
          <w:szCs w:val="20"/>
          <w:color w:val="auto"/>
        </w:rPr>
        <w:t>”), then OUTSET shall have the right to require that Supplier transfer, at Outset’s expense, all information, data, tooling, know-how and materials used in connection with and specifically relating to the manufacture of the Products to a Third Party designee nominated by Outset, provided that the foregoing shall only include tooling, materials and capital equipment to extent owned by OUTSET or otherwise purchased by OUTSET from Supplier at the time of such transfer. All care will be exercised to minimize cost to Outset as part of such transfer. Any actions that would generate a cost to OUTSET as part of such transfer including but not limited to freight and import cost of tooling and fixture transfer, raw material disposition, and engineering cost shall be subject to OUTSET’s prior written approval. Supplier will also provide commercially reasonable assistance required by OUTSET within the expedited timeframe as determined by OUTSET and such Third party in connection with such transfer.</w:t>
      </w:r>
    </w:p>
    <w:p>
      <w:pPr>
        <w:spacing w:after="0" w:line="187"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Safety Stock</w:t>
      </w:r>
      <w:r>
        <w:rPr>
          <w:rFonts w:ascii="Times New Roman" w:cs="Times New Roman" w:eastAsia="Times New Roman" w:hAnsi="Times New Roman"/>
          <w:sz w:val="20"/>
          <w:szCs w:val="20"/>
          <w:color w:val="auto"/>
        </w:rPr>
        <w:t>. Supplier shall maintain an inventory of Products equal to the average monthly quantity included in the first three</w:t>
      </w:r>
    </w:p>
    <w:p>
      <w:pPr>
        <w:spacing w:after="0" w:line="21" w:lineRule="exact"/>
        <w:rPr>
          <w:rFonts w:ascii="Times New Roman" w:cs="Times New Roman" w:eastAsia="Times New Roman" w:hAnsi="Times New Roman"/>
          <w:sz w:val="20"/>
          <w:szCs w:val="20"/>
          <w:color w:val="auto"/>
        </w:rPr>
      </w:pPr>
    </w:p>
    <w:p>
      <w:pPr>
        <w:jc w:val="both"/>
        <w:ind w:left="6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months of the Forecast. By way of example only, if the forecasted quantity of Products in the first three (3) months of the Forecast is 100+120+140 units, for a total of 360 units of Products, Supplier shall hold a safety stock of 120 units of Products. Outset shall be responsible for the Safety Stock held by Supplier per this requirement if this Agreement is cancelled for any reason or if Purchase Orders are never placed to cover the forecasted requirements. If the safety stock remains in storage for longer than [***] months, OUTSET will be responsible for all storage cost associated with the stock.</w:t>
      </w:r>
    </w:p>
    <w:p>
      <w:pPr>
        <w:spacing w:after="0" w:line="186" w:lineRule="exact"/>
        <w:rPr>
          <w:rFonts w:ascii="Times New Roman" w:cs="Times New Roman" w:eastAsia="Times New Roman" w:hAnsi="Times New Roman"/>
          <w:sz w:val="20"/>
          <w:szCs w:val="20"/>
          <w:color w:val="auto"/>
        </w:rPr>
      </w:pPr>
    </w:p>
    <w:p>
      <w:pPr>
        <w:jc w:val="both"/>
        <w:ind w:left="640" w:hanging="520"/>
        <w:spacing w:after="0" w:line="246" w:lineRule="auto"/>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Surge Capacity</w:t>
      </w:r>
      <w:r>
        <w:rPr>
          <w:rFonts w:ascii="Times New Roman" w:cs="Times New Roman" w:eastAsia="Times New Roman" w:hAnsi="Times New Roman"/>
          <w:sz w:val="20"/>
          <w:szCs w:val="20"/>
          <w:color w:val="auto"/>
        </w:rPr>
        <w:t>: Supplier will maintain the ability to surge factory capacity by [***] percent ([***]%) in a period no greater than [***] days and [***] percent ([***]%) within a period of [***] days, including labor and equipment utilization (but not including availability of raw materials or components), in order to accommodate any increased demands for Product communicated by OUTSET in writing and included in the Forecast. OUTSET is responsible to provide additional customer-supplied equipment if necessary, to meet any increased demands.</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44" w:lineRule="auto"/>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Inventory Reporting</w:t>
      </w:r>
      <w:r>
        <w:rPr>
          <w:rFonts w:ascii="Times New Roman" w:cs="Times New Roman" w:eastAsia="Times New Roman" w:hAnsi="Times New Roman"/>
          <w:sz w:val="20"/>
          <w:szCs w:val="20"/>
          <w:color w:val="auto"/>
        </w:rPr>
        <w:t>. From time to time, but at least quarterly, upon OUTSET’s request, Supplier will provide a written report to OUTSET detailing the level of Aged Inventory and Obsolete Inventory (each as defined below) at Supplier (the “OA Report”). OUTSET will respond to Supplier in writing within [***] days of receipt of the OA Report with any good faith disagreement to it, detailing with reasonable particularity the nature of any such disagreement. For the purposes of this Section 3(j), “</w:t>
      </w:r>
      <w:r>
        <w:rPr>
          <w:rFonts w:ascii="Times New Roman" w:cs="Times New Roman" w:eastAsia="Times New Roman" w:hAnsi="Times New Roman"/>
          <w:sz w:val="20"/>
          <w:szCs w:val="20"/>
          <w:b w:val="1"/>
          <w:bCs w:val="1"/>
          <w:i w:val="1"/>
          <w:iCs w:val="1"/>
          <w:color w:val="auto"/>
        </w:rPr>
        <w:t>Aged Inventory</w:t>
      </w:r>
      <w:r>
        <w:rPr>
          <w:rFonts w:ascii="Times New Roman" w:cs="Times New Roman" w:eastAsia="Times New Roman" w:hAnsi="Times New Roman"/>
          <w:sz w:val="20"/>
          <w:szCs w:val="20"/>
          <w:color w:val="auto"/>
        </w:rPr>
        <w:t>” shall mean inventory of parts that has been endorsed by an Outset’s Purchase order, and has remained in stock for [***] months, and “</w:t>
      </w:r>
      <w:r>
        <w:rPr>
          <w:rFonts w:ascii="Times New Roman" w:cs="Times New Roman" w:eastAsia="Times New Roman" w:hAnsi="Times New Roman"/>
          <w:sz w:val="20"/>
          <w:szCs w:val="20"/>
          <w:b w:val="1"/>
          <w:bCs w:val="1"/>
          <w:i w:val="1"/>
          <w:iCs w:val="1"/>
          <w:color w:val="auto"/>
        </w:rPr>
        <w:t>Obsolete Inventory</w:t>
      </w:r>
      <w:r>
        <w:rPr>
          <w:rFonts w:ascii="Times New Roman" w:cs="Times New Roman" w:eastAsia="Times New Roman" w:hAnsi="Times New Roman"/>
          <w:sz w:val="20"/>
          <w:szCs w:val="20"/>
          <w:color w:val="auto"/>
        </w:rPr>
        <w:t>” shall mean inventory of parts obsoleted by an engineering change and remained in stock for over four months.</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6" w:lineRule="auto"/>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End of Life Management</w:t>
      </w:r>
      <w:r>
        <w:rPr>
          <w:rFonts w:ascii="Times New Roman" w:cs="Times New Roman" w:eastAsia="Times New Roman" w:hAnsi="Times New Roman"/>
          <w:sz w:val="20"/>
          <w:szCs w:val="20"/>
          <w:color w:val="auto"/>
        </w:rPr>
        <w:t>. Supplier will provide to OUTSET, upon OUTSET request , a proactive, reliable and comprehensive life cycle analysis for the procured costed bill of materials (“CBOM”), indicating potential obsolescence, supply disruption or market allocations that could interfere with assurance of supply or cost, extending recommendations for component replacement or inventory management strategies to mitigate or retire foreseeable risk. OUTSET may or may not, at its sole discretion, choose to implement such programs.</w:t>
      </w:r>
    </w:p>
    <w:p>
      <w:pPr>
        <w:spacing w:after="0" w:line="200" w:lineRule="exact"/>
        <w:rPr>
          <w:sz w:val="20"/>
          <w:szCs w:val="20"/>
          <w:color w:val="auto"/>
        </w:rPr>
      </w:pPr>
    </w:p>
    <w:p>
      <w:pPr>
        <w:spacing w:after="0" w:line="23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6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PRICE AND PAYMENTS</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50" w:lineRule="auto"/>
        <w:tabs>
          <w:tab w:leader="none" w:pos="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Supply Price</w:t>
      </w:r>
      <w:r>
        <w:rPr>
          <w:rFonts w:ascii="Times New Roman" w:cs="Times New Roman" w:eastAsia="Times New Roman" w:hAnsi="Times New Roman"/>
          <w:sz w:val="20"/>
          <w:szCs w:val="20"/>
          <w:color w:val="auto"/>
        </w:rPr>
        <w:t>. The price for all Products Supplied by Supplier to any OUTSET Entity under this Agreement (the “</w:t>
      </w:r>
      <w:r>
        <w:rPr>
          <w:rFonts w:ascii="Times New Roman" w:cs="Times New Roman" w:eastAsia="Times New Roman" w:hAnsi="Times New Roman"/>
          <w:sz w:val="20"/>
          <w:szCs w:val="20"/>
          <w:b w:val="1"/>
          <w:bCs w:val="1"/>
          <w:i w:val="1"/>
          <w:iCs w:val="1"/>
          <w:color w:val="auto"/>
        </w:rPr>
        <w:t>Supply Price</w:t>
      </w:r>
      <w:r>
        <w:rPr>
          <w:rFonts w:ascii="Times New Roman" w:cs="Times New Roman" w:eastAsia="Times New Roman" w:hAnsi="Times New Roman"/>
          <w:sz w:val="20"/>
          <w:szCs w:val="20"/>
          <w:color w:val="auto"/>
        </w:rPr>
        <w:t>”) shall be as set forth in Exhibit B (Supply Price) and shall be firm for the Initial Term of this Agreement. Prices subject to adjustment if cost of raw material increases greater than [***]%, In order to pass a cost increase to Outset, Supplier must demonstrate it has exhausted all reasonable cost avoidance efforts</w:t>
      </w:r>
    </w:p>
    <w:p>
      <w:pPr>
        <w:spacing w:after="0" w:line="179" w:lineRule="exact"/>
        <w:rPr>
          <w:rFonts w:ascii="Times New Roman" w:cs="Times New Roman" w:eastAsia="Times New Roman" w:hAnsi="Times New Roman"/>
          <w:sz w:val="20"/>
          <w:szCs w:val="20"/>
          <w:color w:val="auto"/>
        </w:rPr>
      </w:pPr>
    </w:p>
    <w:p>
      <w:pPr>
        <w:jc w:val="both"/>
        <w:ind w:left="960" w:hanging="520"/>
        <w:spacing w:after="0" w:line="263" w:lineRule="auto"/>
        <w:tabs>
          <w:tab w:leader="none" w:pos="96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Materials and Tooling. Outset shall not be responsible for or obligated to reimburse Supplier for the purchase of Materials unless otherwise noted in this agreement. Notwithstanding the foregoing, Outset shall be responsible for any materials purchased by Supplier in support of binding Purchase Order commitments that are not utilized as a result of cancellation or delay of Purchase Orders by Outset. Supplier shall be responsible for any excess or obsolete material to the extent such materials were purchased in excess of a Binding Forecast. Outset shall be responsible for Tooling Costs in accordance with Section 2(e).</w:t>
      </w:r>
    </w:p>
    <w:p>
      <w:pPr>
        <w:spacing w:after="0" w:line="166" w:lineRule="exact"/>
        <w:rPr>
          <w:rFonts w:ascii="Times New Roman" w:cs="Times New Roman" w:eastAsia="Times New Roman" w:hAnsi="Times New Roman"/>
          <w:sz w:val="19"/>
          <w:szCs w:val="19"/>
          <w:color w:val="auto"/>
        </w:rPr>
      </w:pPr>
    </w:p>
    <w:p>
      <w:pPr>
        <w:jc w:val="both"/>
        <w:ind w:left="960" w:hanging="520"/>
        <w:spacing w:after="0" w:line="242" w:lineRule="auto"/>
        <w:tabs>
          <w:tab w:leader="none" w:pos="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OUTSET shall pay to Supplier the Supply Price in U.S. Dollars of each shipment of Products within net [***] days after the date of OUTSET’s receipt of (i) a complete, undisputed invoice, or (ii) the applicable shipment, whichever is later. A “complete invoice” is an invoice that is addressed to Outset Medical, Attention: Accounts Payable, sent to the electronic address [***], and that contains the following information, that must be consistent with this Agreement, and any other information specifically requested by OUTSET: (i) name of Supplier, (ii) “remit to” address, (iii) Supplier’s telephone number, (iv) invoice number, (v) invoice date, (vi) terms of payment, (vii) OUTSET’s purchase order number, (viii) OUTSET’s “ship to” location site name, (ix) itemized listing and description of Products provided and associated costs, (x) any additional costs listed separately (such as freight or handling), (xi) OUTSET’s part number (if any), (xii) gross total invoice amount net of additional costs and taxes, (xiii) amount of taxes along with tax rate and applicable calculation, and (xiv) gross total invoice amount. Supplier may send an invoice to OUTSET upon shipment of goods.</w:t>
      </w:r>
    </w:p>
    <w:p>
      <w:pPr>
        <w:spacing w:after="0" w:line="192"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All fees and expenses to be paid by OUTSET are expressly specified in this Agreement. Unless expressly specified in this Agreement, there are no additional or other fees or expenses to be paid or reimbursed by OUTSET applicable to Supplier’s provision of the Products or Services or Supplier’s performance of its other obligations under this Agreement.</w:t>
      </w:r>
    </w:p>
    <w:p>
      <w:pPr>
        <w:spacing w:after="0" w:line="174"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w:t>
      </w:r>
      <w:r>
        <w:rPr>
          <w:rFonts w:ascii="Times New Roman" w:cs="Times New Roman" w:eastAsia="Times New Roman" w:hAnsi="Times New Roman"/>
          <w:sz w:val="20"/>
          <w:szCs w:val="20"/>
          <w:color w:val="auto"/>
        </w:rPr>
        <w:t>. OUTSET may, at its sole discretion (i) make payments through electronic funds transfer upon receipt of complete banking and transmittal information from Supplier; and (ii) utilize its electronic commerce program for payments to Supplier when appropriate and as determined by OUTSET. OUTSET may not charge Supplier for the use of such forms of payment without Supplier’s prior written consent. If payment is made through the ACH system, the date of payment shall be the date OUTSET initiates such payment in the system.</w:t>
      </w:r>
    </w:p>
    <w:p>
      <w:pPr>
        <w:spacing w:after="0" w:line="184" w:lineRule="exact"/>
        <w:rPr>
          <w:rFonts w:ascii="Times New Roman" w:cs="Times New Roman" w:eastAsia="Times New Roman" w:hAnsi="Times New Roman"/>
          <w:sz w:val="20"/>
          <w:szCs w:val="20"/>
          <w:color w:val="auto"/>
        </w:rPr>
      </w:pPr>
    </w:p>
    <w:p>
      <w:pPr>
        <w:jc w:val="both"/>
        <w:ind w:left="960" w:hanging="520"/>
        <w:spacing w:after="0" w:line="245" w:lineRule="auto"/>
        <w:tabs>
          <w:tab w:leader="none" w:pos="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To the extent that Products Supplied under this Agreement are subject to any consumption based taxes (e.g., sales, use and/or value-added taxes), payment of such taxes customarily paid by customers of Products, if any, is OUTSET’s responsibility. Supplier is liable for any other taxes including taxes on any and all income it receives from OUTSET. OUTSET shall have the right to withhold taxes where required to do so by applicable Laws. Supplier shall take all reasonable actions to minimize mutual tax exposure and to indemnify OUTSET for any losses arising out of Supplier’s failure to take such actions or to comply with applicable tax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7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hanging="520"/>
        <w:spacing w:after="0" w:line="244" w:lineRule="auto"/>
        <w:tabs>
          <w:tab w:leader="none" w:pos="96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Lower Price Offers</w:t>
      </w:r>
      <w:r>
        <w:rPr>
          <w:rFonts w:ascii="Times New Roman" w:cs="Times New Roman" w:eastAsia="Times New Roman" w:hAnsi="Times New Roman"/>
          <w:sz w:val="20"/>
          <w:szCs w:val="20"/>
          <w:color w:val="auto"/>
        </w:rPr>
        <w:t>. OUTSET may provide Supplier with written notification of lower material cost offers for component parts used on Products from alternate suppliers. OUTSET shall disclose the identity of the alternate supplier and the price received for the component part(s) to allow Supplier to vet new component supplier. Supplier shall in good faith consider and discuss purchasing the specific component(s) from the new component supplier in order to meet the lower price offer for the quantity offered. If Supplier agrees that the new component supplier meets purchasing requirement and purchases the component(s) from component supplier at the new reduced price, the Supply Price set forth in this Agreement shall be amended to such lower price for the remainder of the Term.</w:t>
      </w:r>
    </w:p>
    <w:p>
      <w:pPr>
        <w:spacing w:after="0" w:line="185"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Minimum</w:t>
      </w:r>
      <w:r>
        <w:rPr>
          <w:rFonts w:ascii="Times New Roman" w:cs="Times New Roman" w:eastAsia="Times New Roman" w:hAnsi="Times New Roman"/>
          <w:sz w:val="20"/>
          <w:szCs w:val="20"/>
          <w:color w:val="auto"/>
        </w:rPr>
        <w:t>. OUTSET will make a reasonable effort to purchase a minimum of [***]% total production demand requirements of Products or Services under this Agreement from Supplier. If Supplier fails to meet the requirements of this Agreement and fails to cure such default within a [***] day cure period, then OUTSET shall be released from this minimum buy effort. Total demand is confidential and will not be disclosed to supplier.</w:t>
      </w:r>
    </w:p>
    <w:p>
      <w:pPr>
        <w:spacing w:after="0" w:line="179"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Most Favored Customer</w:t>
      </w:r>
      <w:r>
        <w:rPr>
          <w:rFonts w:ascii="Times New Roman" w:cs="Times New Roman" w:eastAsia="Times New Roman" w:hAnsi="Times New Roman"/>
          <w:sz w:val="20"/>
          <w:szCs w:val="20"/>
          <w:color w:val="auto"/>
        </w:rPr>
        <w:t>. Supplier represents, warrants and covenants that all material terms and conditions under this Agreement, including all prices and rates, are (and shall at all times be) at least as favorable as those Supplier offers to any of its other customers for [***]. If Supplier provides or offers to provide more favorable material terms than are contained in this Agreement to any such customer, Supplier shall so notify OUTSET in writing within [***] days and to offer OUTSET those more favorable terms and conditions offered or granted to the other customer.</w:t>
      </w:r>
    </w:p>
    <w:p>
      <w:pPr>
        <w:spacing w:after="0" w:line="180"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OUTSET ENTITIES</w:t>
      </w:r>
    </w:p>
    <w:p>
      <w:pPr>
        <w:spacing w:after="0" w:line="215" w:lineRule="exact"/>
        <w:rPr>
          <w:rFonts w:ascii="Times New Roman" w:cs="Times New Roman" w:eastAsia="Times New Roman" w:hAnsi="Times New Roman"/>
          <w:sz w:val="20"/>
          <w:szCs w:val="20"/>
          <w:color w:val="auto"/>
        </w:rPr>
      </w:pPr>
    </w:p>
    <w:p>
      <w:pPr>
        <w:ind w:left="960" w:right="20" w:hanging="520"/>
        <w:spacing w:after="0" w:line="273" w:lineRule="auto"/>
        <w:tabs>
          <w:tab w:leader="none" w:pos="9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shall Supply the Products to OUTSET or any Affiliate (each, an “</w:t>
      </w:r>
      <w:r>
        <w:rPr>
          <w:rFonts w:ascii="Times New Roman" w:cs="Times New Roman" w:eastAsia="Times New Roman" w:hAnsi="Times New Roman"/>
          <w:sz w:val="20"/>
          <w:szCs w:val="20"/>
          <w:b w:val="1"/>
          <w:bCs w:val="1"/>
          <w:i w:val="1"/>
          <w:iCs w:val="1"/>
          <w:color w:val="auto"/>
        </w:rPr>
        <w:t>OUTSET Entity</w:t>
      </w:r>
      <w:r>
        <w:rPr>
          <w:rFonts w:ascii="Times New Roman" w:cs="Times New Roman" w:eastAsia="Times New Roman" w:hAnsi="Times New Roman"/>
          <w:sz w:val="20"/>
          <w:szCs w:val="20"/>
          <w:color w:val="auto"/>
        </w:rPr>
        <w:t>”), as may be designated by OUTSET in writing from time to time, in accordance with the terms of this Agreement.</w:t>
      </w:r>
    </w:p>
    <w:p>
      <w:pPr>
        <w:spacing w:after="0" w:line="155"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OUTSET Entities may issue Purchase Orders pursuant to this Agreement. Except for the foregoing, Supplier and its Affiliates shall not enter into a separate agreement with any OUTSET Entity unless authorized in writing by the assigned OUTSET Strategic Sourcing Group Manager, and no OUTSET Entity shall have any responsibility or liability in connection with any such unauthorized agreement. Supplier shall ensure that it, its Affiliates, and their respective related employees are informed of the requirements in this Section 5)(b).</w:t>
      </w:r>
    </w:p>
    <w:p>
      <w:pPr>
        <w:spacing w:after="0" w:line="184"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OUTSET Entity shall have the same rights and remedies under this Agreement as OUTSET in connection with such Supply of Products. No OUTSET Entity shall be responsible or liable for any obligations or liabilities of any such OUTSET Entity in connection with this Agreement.</w:t>
      </w:r>
    </w:p>
    <w:p>
      <w:pPr>
        <w:spacing w:after="0" w:line="170"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GOODS AND RISK OF LOSS</w:t>
      </w:r>
    </w:p>
    <w:p>
      <w:pPr>
        <w:spacing w:after="0" w:line="219" w:lineRule="exact"/>
        <w:rPr>
          <w:rFonts w:ascii="Times New Roman" w:cs="Times New Roman" w:eastAsia="Times New Roman" w:hAnsi="Times New Roman"/>
          <w:sz w:val="20"/>
          <w:szCs w:val="20"/>
          <w:color w:val="auto"/>
        </w:rPr>
      </w:pPr>
    </w:p>
    <w:p>
      <w:pPr>
        <w:ind w:left="960" w:hanging="520"/>
        <w:spacing w:after="0" w:line="269" w:lineRule="auto"/>
        <w:tabs>
          <w:tab w:leader="none" w:pos="9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Storage Accommodations</w:t>
      </w:r>
      <w:r>
        <w:rPr>
          <w:rFonts w:ascii="Times New Roman" w:cs="Times New Roman" w:eastAsia="Times New Roman" w:hAnsi="Times New Roman"/>
          <w:sz w:val="20"/>
          <w:szCs w:val="20"/>
          <w:color w:val="auto"/>
        </w:rPr>
        <w:t>. Supplier shall maintain adequate and appropriate storage accommodations for all Products, including as may be specified by OUTSET or as required by Specifications.</w:t>
      </w:r>
    </w:p>
    <w:p>
      <w:pPr>
        <w:spacing w:after="0" w:line="159"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Freight Terms, Title and Risk of Loss</w:t>
      </w:r>
      <w:r>
        <w:rPr>
          <w:rFonts w:ascii="Times New Roman" w:cs="Times New Roman" w:eastAsia="Times New Roman" w:hAnsi="Times New Roman"/>
          <w:sz w:val="20"/>
          <w:szCs w:val="20"/>
          <w:color w:val="auto"/>
        </w:rPr>
        <w:t>. Products sold to OUTSET are [***]. Supplier shall be solely responsible for all risk and costs associated with transfer of Products to [***]. Title and risk of loss and damage will pass from Supplier to OUTSET upon sterilization. Supplier will use commercially reasonable efforts to meet agreed delivery dates. Early delivery up to [***] day 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8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acceptable to OUTSET. If there is reason to believe that the delivery will be delayed, Supplier shall promptly notify OUTSET in writing of the delay, stating the cause for such delay and specifying a new delivery date. Except in the case of Force Majeure, OUTSET may cancel all or any portion of such delayed order if late delivery is not cured within [***] days at no penalty or liability to OUTSET. Supplier will bear the cost of any additional freight charges necessarily incurred as a result of late delivery.</w:t>
      </w:r>
    </w:p>
    <w:p>
      <w:pPr>
        <w:spacing w:after="0" w:line="165" w:lineRule="exact"/>
        <w:rPr>
          <w:sz w:val="20"/>
          <w:szCs w:val="20"/>
          <w:color w:val="auto"/>
        </w:rPr>
      </w:pPr>
    </w:p>
    <w:p>
      <w:pPr>
        <w:jc w:val="both"/>
        <w:ind w:left="640" w:hanging="520"/>
        <w:spacing w:after="0" w:line="249" w:lineRule="auto"/>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Packaging.</w:t>
      </w:r>
      <w:r>
        <w:rPr>
          <w:rFonts w:ascii="Times New Roman" w:cs="Times New Roman" w:eastAsia="Times New Roman" w:hAnsi="Times New Roman"/>
          <w:sz w:val="20"/>
          <w:szCs w:val="20"/>
          <w:color w:val="auto"/>
        </w:rPr>
        <w:t xml:space="preserve"> Pallets, top frames, and tier sheets shall be provided by Supplier, Supplier agrees to maintain and report inventory of all such packaging materials in use or on hand, and shall be responsible for ensuring label information is visible, complete, and in full compliance with Outset requirements. Packing slips shall be visible and complete at all times. Supplier shall not employ any packaging subcontractors without previous written authorization by Outset.</w:t>
      </w:r>
    </w:p>
    <w:p>
      <w:pPr>
        <w:spacing w:after="0" w:line="179" w:lineRule="exact"/>
        <w:rPr>
          <w:rFonts w:ascii="Times New Roman" w:cs="Times New Roman" w:eastAsia="Times New Roman" w:hAnsi="Times New Roman"/>
          <w:sz w:val="20"/>
          <w:szCs w:val="20"/>
          <w:color w:val="auto"/>
        </w:rPr>
      </w:pPr>
    </w:p>
    <w:p>
      <w:pPr>
        <w:jc w:val="both"/>
        <w:ind w:left="640" w:hanging="520"/>
        <w:spacing w:after="0" w:line="242" w:lineRule="auto"/>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Supply Chain Security</w:t>
      </w:r>
      <w:r>
        <w:rPr>
          <w:rFonts w:ascii="Times New Roman" w:cs="Times New Roman" w:eastAsia="Times New Roman" w:hAnsi="Times New Roman"/>
          <w:sz w:val="20"/>
          <w:szCs w:val="20"/>
          <w:color w:val="auto"/>
        </w:rPr>
        <w:t>. Supplier warrants that it has reviewed its supply chain security procedures and that such procedures and their implementation are in accordance with the criteria set forth by the Customs-Trade Partnership Against Terrorism (“</w:t>
      </w:r>
      <w:r>
        <w:rPr>
          <w:rFonts w:ascii="Times New Roman" w:cs="Times New Roman" w:eastAsia="Times New Roman" w:hAnsi="Times New Roman"/>
          <w:sz w:val="20"/>
          <w:szCs w:val="20"/>
          <w:b w:val="1"/>
          <w:bCs w:val="1"/>
          <w:i w:val="1"/>
          <w:iCs w:val="1"/>
          <w:color w:val="auto"/>
        </w:rPr>
        <w:t>C-TPAT</w:t>
      </w:r>
      <w:r>
        <w:rPr>
          <w:rFonts w:ascii="Times New Roman" w:cs="Times New Roman" w:eastAsia="Times New Roman" w:hAnsi="Times New Roman"/>
          <w:sz w:val="20"/>
          <w:szCs w:val="20"/>
          <w:color w:val="auto"/>
        </w:rPr>
        <w:t>”) program of U.S. Customs and Border Protection. Supplier also warrants that it (i) shall apply C-TPAT prescribed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inspection methods prior to loading of the transport conveyance; (ii) shall maintain secure control over its loaded and empty transport conveyances; (iii) shall control and apply certified high-security seals for securing transport conveyance doors; and (iv) shall ensure that its business partners are observing generally accepted supply chain security standards. Supplier further represents and warrants that it has developed and implemented procedures for periodically reviewing and, if necessary, improving its supply chain security procedures. Supplier shall provide OUTSET with documentary evidence of its enrollment in any supply chain security accredited programs such as C-TPAT, Authorized Economic Operation (i.e., AEO), and Nuevo Esquema de Empresas Certificadas (i.e., NEEC), or other similar programs that may exist in the country of the Supplier.</w:t>
      </w:r>
    </w:p>
    <w:p>
      <w:pPr>
        <w:spacing w:after="0" w:line="192" w:lineRule="exact"/>
        <w:rPr>
          <w:rFonts w:ascii="Times New Roman" w:cs="Times New Roman" w:eastAsia="Times New Roman" w:hAnsi="Times New Roman"/>
          <w:sz w:val="20"/>
          <w:szCs w:val="20"/>
          <w:color w:val="auto"/>
        </w:rPr>
      </w:pPr>
    </w:p>
    <w:p>
      <w:pPr>
        <w:jc w:val="both"/>
        <w:ind w:left="640" w:hanging="520"/>
        <w:spacing w:after="0" w:line="241" w:lineRule="auto"/>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Conformance with Specifications and No Defects; Product Warranty</w:t>
      </w:r>
      <w:r>
        <w:rPr>
          <w:rFonts w:ascii="Times New Roman" w:cs="Times New Roman" w:eastAsia="Times New Roman" w:hAnsi="Times New Roman"/>
          <w:sz w:val="20"/>
          <w:szCs w:val="20"/>
          <w:color w:val="auto"/>
        </w:rPr>
        <w:t xml:space="preserve">. Warranty period is [***] from delivery of product to OUTSET’s specified delivery location noted on the Purchase Order. Each Product (i) shall be Supplied in conformity with the Specifications, cGMPs; (ii) shall be free from any defect in design when Supplier is the sole design authority, material or workmanship; (iii) shall be free and clear of all liens, claims or encumbrances of any kind; (iv) shall consist of only new Materials; (v) shall not be the subject of any recall or, investigation taken or required by any Government Authority; and (vi) when delivered to OUTSET, and for a period of [***], shall be in conformity with the Specifications. Payment for Products made by OUTSET does not constitute acceptance of the Products by OUTSET. Outset reserves the right to return the whole batch of product if more [***]% of the products that was inspected within the warranty period are found to be defective as per the Product specifications. </w:t>
      </w:r>
      <w:r>
        <w:rPr>
          <w:rFonts w:ascii="Times New Roman" w:cs="Times New Roman" w:eastAsia="Times New Roman" w:hAnsi="Times New Roman"/>
          <w:sz w:val="20"/>
          <w:szCs w:val="20"/>
          <w:u w:val="single" w:color="auto"/>
          <w:color w:val="auto"/>
        </w:rPr>
        <w:t>Warranty:</w:t>
      </w:r>
      <w:r>
        <w:rPr>
          <w:rFonts w:ascii="Times New Roman" w:cs="Times New Roman" w:eastAsia="Times New Roman" w:hAnsi="Times New Roman"/>
          <w:sz w:val="20"/>
          <w:szCs w:val="20"/>
          <w:color w:val="auto"/>
        </w:rPr>
        <w:t xml:space="preserve"> Supplier hereby warrants that for [***] from date of delivery, Products shall: (i) be new, free from defects in material, manufacturing and workmanship; (ii) conform to the Specifications and this Section 6(e). Supplier shall transfer and assign warranties provide by any subcontractor or third party vendor or supplier to OUTSET to the extent such warranties are transferable and assignable. OUTSET shall be liable for compliance and all costs associated with all Material registration, licensing, testing, and marking in performance under the Supply Agreement. THERE ARE NO WARRANTIES OTHER THAN THOSE SPECIFICALLY INCLUDED WITHIN THIS AGREEMENT, AND ALL OTHER WARRANTIES, INCLUDING WARRANTY OF MERCHANTABILITY AND FITNESS FOR A PARTICULAR PURPOSE, ARE HEREBY EXPRESSLY DISCLAIMED. THE WARRANTY REMEDIES CONTAINED WITHIN THIS SECTION AND SHALL BE THE SOLE AND EXCLUSIVE REMEDIES FOR ANY WARRANTY CLAIM.</w:t>
      </w: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9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hanging="520"/>
        <w:spacing w:after="0" w:line="241" w:lineRule="auto"/>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Compliance</w:t>
      </w:r>
      <w:r>
        <w:rPr>
          <w:rFonts w:ascii="Times New Roman" w:cs="Times New Roman" w:eastAsia="Times New Roman" w:hAnsi="Times New Roman"/>
          <w:sz w:val="20"/>
          <w:szCs w:val="20"/>
          <w:color w:val="auto"/>
        </w:rPr>
        <w:t>. All Products Supplied under this Agreement (i) shall be in compliance with Regulation (EC) No 1907/2006 of the European Parliament and of the Council on the Registration, Evaluation, Authorization and Restriction of Chemicals (“</w:t>
      </w:r>
      <w:r>
        <w:rPr>
          <w:rFonts w:ascii="Times New Roman" w:cs="Times New Roman" w:eastAsia="Times New Roman" w:hAnsi="Times New Roman"/>
          <w:sz w:val="20"/>
          <w:szCs w:val="20"/>
          <w:b w:val="1"/>
          <w:bCs w:val="1"/>
          <w:i w:val="1"/>
          <w:iCs w:val="1"/>
          <w:color w:val="auto"/>
        </w:rPr>
        <w:t>REACH</w:t>
      </w:r>
      <w:r>
        <w:rPr>
          <w:rFonts w:ascii="Times New Roman" w:cs="Times New Roman" w:eastAsia="Times New Roman" w:hAnsi="Times New Roman"/>
          <w:sz w:val="20"/>
          <w:szCs w:val="20"/>
          <w:color w:val="auto"/>
        </w:rPr>
        <w:t>”), the Restriction of the Use of Certain Hazardous Substances (“</w:t>
      </w:r>
      <w:r>
        <w:rPr>
          <w:rFonts w:ascii="Times New Roman" w:cs="Times New Roman" w:eastAsia="Times New Roman" w:hAnsi="Times New Roman"/>
          <w:sz w:val="20"/>
          <w:szCs w:val="20"/>
          <w:b w:val="1"/>
          <w:bCs w:val="1"/>
          <w:i w:val="1"/>
          <w:iCs w:val="1"/>
          <w:color w:val="auto"/>
        </w:rPr>
        <w:t>RoHS</w:t>
      </w:r>
      <w:r>
        <w:rPr>
          <w:rFonts w:ascii="Times New Roman" w:cs="Times New Roman" w:eastAsia="Times New Roman" w:hAnsi="Times New Roman"/>
          <w:sz w:val="20"/>
          <w:szCs w:val="20"/>
          <w:color w:val="auto"/>
        </w:rPr>
        <w:t>”) in Electrical and Electronic Equipment (“</w:t>
      </w:r>
      <w:r>
        <w:rPr>
          <w:rFonts w:ascii="Times New Roman" w:cs="Times New Roman" w:eastAsia="Times New Roman" w:hAnsi="Times New Roman"/>
          <w:sz w:val="20"/>
          <w:szCs w:val="20"/>
          <w:b w:val="1"/>
          <w:bCs w:val="1"/>
          <w:i w:val="1"/>
          <w:iCs w:val="1"/>
          <w:color w:val="auto"/>
        </w:rPr>
        <w:t>EEE</w:t>
      </w:r>
      <w:r>
        <w:rPr>
          <w:rFonts w:ascii="Times New Roman" w:cs="Times New Roman" w:eastAsia="Times New Roman" w:hAnsi="Times New Roman"/>
          <w:sz w:val="20"/>
          <w:szCs w:val="20"/>
          <w:color w:val="auto"/>
        </w:rPr>
        <w:t>”) Directive (2011/65/EU); the Biocidal Product Regulation (EU) No 528/2012 (“</w:t>
      </w:r>
      <w:r>
        <w:rPr>
          <w:rFonts w:ascii="Times New Roman" w:cs="Times New Roman" w:eastAsia="Times New Roman" w:hAnsi="Times New Roman"/>
          <w:sz w:val="20"/>
          <w:szCs w:val="20"/>
          <w:b w:val="1"/>
          <w:bCs w:val="1"/>
          <w:color w:val="auto"/>
        </w:rPr>
        <w:t>BPR</w:t>
      </w:r>
      <w:r>
        <w:rPr>
          <w:rFonts w:ascii="Times New Roman" w:cs="Times New Roman" w:eastAsia="Times New Roman" w:hAnsi="Times New Roman"/>
          <w:sz w:val="20"/>
          <w:szCs w:val="20"/>
          <w:color w:val="auto"/>
        </w:rPr>
        <w:t>”) the U.S. Dodd Frank Act Conflict Minerals Rule (the “</w:t>
      </w:r>
      <w:r>
        <w:rPr>
          <w:rFonts w:ascii="Times New Roman" w:cs="Times New Roman" w:eastAsia="Times New Roman" w:hAnsi="Times New Roman"/>
          <w:sz w:val="20"/>
          <w:szCs w:val="20"/>
          <w:b w:val="1"/>
          <w:bCs w:val="1"/>
          <w:i w:val="1"/>
          <w:iCs w:val="1"/>
          <w:color w:val="auto"/>
        </w:rPr>
        <w:t>Conflict Minerals Rule</w:t>
      </w:r>
      <w:r>
        <w:rPr>
          <w:rFonts w:ascii="Times New Roman" w:cs="Times New Roman" w:eastAsia="Times New Roman" w:hAnsi="Times New Roman"/>
          <w:sz w:val="20"/>
          <w:szCs w:val="20"/>
          <w:color w:val="auto"/>
        </w:rPr>
        <w:t>”) and that the Products comply in all respects with the requirements of applicable Law, including REACH, RoHS, and the Conflict Minerals Rule, when applicable. Supplier shall reimburse OUTSET for any and all reasonable expenses incurred by OUTSET in the event of any breach of warranties by Supplier. Additionally, Supplier shall provide OUTSET with full material disclosure (“</w:t>
      </w:r>
      <w:r>
        <w:rPr>
          <w:rFonts w:ascii="Times New Roman" w:cs="Times New Roman" w:eastAsia="Times New Roman" w:hAnsi="Times New Roman"/>
          <w:sz w:val="20"/>
          <w:szCs w:val="20"/>
          <w:b w:val="1"/>
          <w:bCs w:val="1"/>
          <w:i w:val="1"/>
          <w:iCs w:val="1"/>
          <w:color w:val="auto"/>
        </w:rPr>
        <w:t>FMD</w:t>
      </w:r>
      <w:r>
        <w:rPr>
          <w:rFonts w:ascii="Times New Roman" w:cs="Times New Roman" w:eastAsia="Times New Roman" w:hAnsi="Times New Roman"/>
          <w:sz w:val="20"/>
          <w:szCs w:val="20"/>
          <w:color w:val="auto"/>
        </w:rPr>
        <w:t>”) in accordance with IPC1752 V2.0 Level D or as a minimum, inform OUTSET of the presence and percentage of any substance on the OUTSET Materials of Concern List (“</w:t>
      </w:r>
      <w:r>
        <w:rPr>
          <w:rFonts w:ascii="Times New Roman" w:cs="Times New Roman" w:eastAsia="Times New Roman" w:hAnsi="Times New Roman"/>
          <w:sz w:val="20"/>
          <w:szCs w:val="20"/>
          <w:b w:val="1"/>
          <w:bCs w:val="1"/>
          <w:i w:val="1"/>
          <w:iCs w:val="1"/>
          <w:color w:val="auto"/>
        </w:rPr>
        <w:t>OUTSET MOC</w:t>
      </w:r>
      <w:r>
        <w:rPr>
          <w:rFonts w:ascii="Times New Roman" w:cs="Times New Roman" w:eastAsia="Times New Roman" w:hAnsi="Times New Roman"/>
          <w:sz w:val="20"/>
          <w:szCs w:val="20"/>
          <w:color w:val="auto"/>
        </w:rPr>
        <w:t>”) contained in the Products. If Supplier is not the manufacturer of Product, but is supplying OUTSET with third party product, Supplier must obtain and provide this information from such third party. FMD is the full and complete percentage breakdown of the material composition to the lowest substance level (“</w:t>
      </w:r>
      <w:r>
        <w:rPr>
          <w:rFonts w:ascii="Times New Roman" w:cs="Times New Roman" w:eastAsia="Times New Roman" w:hAnsi="Times New Roman"/>
          <w:sz w:val="20"/>
          <w:szCs w:val="20"/>
          <w:b w:val="1"/>
          <w:bCs w:val="1"/>
          <w:i w:val="1"/>
          <w:iCs w:val="1"/>
          <w:color w:val="auto"/>
        </w:rPr>
        <w:t>CAS</w:t>
      </w:r>
      <w:r>
        <w:rPr>
          <w:rFonts w:ascii="Times New Roman" w:cs="Times New Roman" w:eastAsia="Times New Roman" w:hAnsi="Times New Roman"/>
          <w:sz w:val="20"/>
          <w:szCs w:val="20"/>
          <w:color w:val="auto"/>
        </w:rPr>
        <w:t>”), including all additives. Substances in polymers that cannot be mechanically disjointed must still be reported (e.g., phthalates in PVC). Additives used in a polymerization process, but do not end up in the polymer, also must be reported. The OUTSET MOC list includes REACH Substances of Very High Concern, California Proposition 65 regulated substances and other OUTSET priority chemicals. The OUTSET MOC list shall be periodically updated and the Supplier shall provide information relating to the revised list upon written request by OUTSET.</w:t>
      </w:r>
    </w:p>
    <w:p>
      <w:pPr>
        <w:spacing w:after="0" w:line="191" w:lineRule="exact"/>
        <w:rPr>
          <w:rFonts w:ascii="Times New Roman" w:cs="Times New Roman" w:eastAsia="Times New Roman" w:hAnsi="Times New Roman"/>
          <w:sz w:val="20"/>
          <w:szCs w:val="20"/>
          <w:color w:val="auto"/>
        </w:rPr>
      </w:pPr>
    </w:p>
    <w:p>
      <w:pPr>
        <w:jc w:val="both"/>
        <w:ind w:left="640" w:hanging="520"/>
        <w:spacing w:after="0" w:line="243" w:lineRule="auto"/>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Acceptance</w:t>
      </w:r>
      <w:r>
        <w:rPr>
          <w:rFonts w:ascii="Times New Roman" w:cs="Times New Roman" w:eastAsia="Times New Roman" w:hAnsi="Times New Roman"/>
          <w:sz w:val="20"/>
          <w:szCs w:val="20"/>
          <w:color w:val="auto"/>
        </w:rPr>
        <w:t>. If OUTSET determines that any Supplied Products did not meet any requirements specified in Section 6(e) (each such instance being a “</w:t>
      </w:r>
      <w:r>
        <w:rPr>
          <w:rFonts w:ascii="Times New Roman" w:cs="Times New Roman" w:eastAsia="Times New Roman" w:hAnsi="Times New Roman"/>
          <w:sz w:val="20"/>
          <w:szCs w:val="20"/>
          <w:b w:val="1"/>
          <w:bCs w:val="1"/>
          <w:i w:val="1"/>
          <w:iCs w:val="1"/>
          <w:color w:val="auto"/>
        </w:rPr>
        <w:t>Nonconformity</w:t>
      </w:r>
      <w:r>
        <w:rPr>
          <w:rFonts w:ascii="Times New Roman" w:cs="Times New Roman" w:eastAsia="Times New Roman" w:hAnsi="Times New Roman"/>
          <w:sz w:val="20"/>
          <w:szCs w:val="20"/>
          <w:color w:val="auto"/>
        </w:rPr>
        <w:t>” and each such Product being “</w:t>
      </w:r>
      <w:r>
        <w:rPr>
          <w:rFonts w:ascii="Times New Roman" w:cs="Times New Roman" w:eastAsia="Times New Roman" w:hAnsi="Times New Roman"/>
          <w:sz w:val="20"/>
          <w:szCs w:val="20"/>
          <w:b w:val="1"/>
          <w:bCs w:val="1"/>
          <w:i w:val="1"/>
          <w:iCs w:val="1"/>
          <w:color w:val="auto"/>
        </w:rPr>
        <w:t>Nonconforming</w:t>
      </w:r>
      <w:r>
        <w:rPr>
          <w:rFonts w:ascii="Times New Roman" w:cs="Times New Roman" w:eastAsia="Times New Roman" w:hAnsi="Times New Roman"/>
          <w:sz w:val="20"/>
          <w:szCs w:val="20"/>
          <w:color w:val="auto"/>
        </w:rPr>
        <w:t>”), OUTSET shall notify Supplier within [***] days after OUTSET becomes aware of such Nonconformity. OUTSET shall have the right to reject any Nonconforming Products. If a Nonconformity exists, then, in addition to any other rights or remedies available to OUTSET under this Agreement, Supplier shall, upon mutual agreement between OUTSET and Supplier election, either replace the Nonconforming Products as soon as practicable (and, in any event, within quoted lead-time per Exhibit A) after OUTSET’s return of the Nonconforming Product, at no cost to OUTSET, or promptly refund to OUTSET the price paid for such Nonconforming Products. OUTSET shall be entitled to set off any such refunds against any amounts due and payable by OUTSET to Supplier under this Agreement (or under any other agreement between the Parties).</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56" w:lineRule="auto"/>
        <w:tabs>
          <w:tab w:leader="none" w:pos="6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Returns</w:t>
      </w:r>
      <w:r>
        <w:rPr>
          <w:rFonts w:ascii="Times New Roman" w:cs="Times New Roman" w:eastAsia="Times New Roman" w:hAnsi="Times New Roman"/>
          <w:sz w:val="19"/>
          <w:szCs w:val="19"/>
          <w:color w:val="auto"/>
        </w:rPr>
        <w:t>. Any Nonconforming Products shall, upon mutual agreement between OUTSET and Supplier, either be (i) returned to Supplier at Supplier’s expense; or (ii) destroyed at Supplier’s expense. Supplier will not raise the cost or delay the shipment due to any yield issues. Any Tiered pricing, if any for ramp needs to be agreed as per this agreement. Outset may reject Products (shipped either to Outset or to Outset’s end users) which are established to: (A) have been materially damaged by Supplier prior to, delivery after sterilization. (B) have not met, in all material respects, the specifications provided by Outset. Outset’s failure to provide Supplier with notification of rejection within [***] days of delivery of Product shall be deemed acceptance. Outset will notify Supplier in writing of rejected products and will return them to Supplier at Supplier’s expense within [***] days. Supplier will, as soon as reasonably practical following receipt, at Outset’s election and at Supplier’s expense either repair, replace or credit Outset for rejected products. Supplier will assign a Return Material Authorization tracking number or other identifying information to each nonconforming Product that Outset identifies to be returned to Supplier for repair or rework, as appropriate. All transportation costs, in-transit risk of loss, and damage of Products returned to Supplier for repair will be borne by Supplier.</w:t>
      </w:r>
    </w:p>
    <w:p>
      <w:pPr>
        <w:spacing w:after="0" w:line="200" w:lineRule="exact"/>
        <w:rPr>
          <w:sz w:val="20"/>
          <w:szCs w:val="20"/>
          <w:color w:val="auto"/>
        </w:rPr>
      </w:pPr>
    </w:p>
    <w:p>
      <w:pPr>
        <w:spacing w:after="0" w:line="2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10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hanging="520"/>
        <w:spacing w:after="0" w:line="241" w:lineRule="auto"/>
        <w:tabs>
          <w:tab w:leader="none" w:pos="9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Export-Related Information</w:t>
      </w:r>
      <w:r>
        <w:rPr>
          <w:rFonts w:ascii="Times New Roman" w:cs="Times New Roman" w:eastAsia="Times New Roman" w:hAnsi="Times New Roman"/>
          <w:sz w:val="20"/>
          <w:szCs w:val="20"/>
          <w:color w:val="auto"/>
        </w:rPr>
        <w:t>. Supplier shall provide to OUTSET all export control classification numbers (i.e., U.S. ECCNs or foreign equivalents, where applicable), export licenses, advisory opinions, Government Authority classifications, classification requests and commodity jurisdiction requests relating to any commodities, software or technology provided or disclosed in connection with any Product, activity, delivery or development under this Agreement, and any Government Authority correspondence relating thereto. Upon request of OUTSET, Supplier shall cooperate with OUTSET in seeking any duty drawback available to OUTSET in connection with export by OUTSET of any Products imported by Supplier and provided to OUTSET under this Agreement, or incorporating, or manufactured by OUTSET from, such Products. Without limiting the foregoing, Supplier shall (i) provide all information with respect to such imported Products necessary to complete any such drawback claims to be filed by or on behalf of OUTSET, including U.S. Customs entry numbers, dates of entry, quantities and descriptions of goods, customs values, and rates and amounts of customs duties paid by Supplier; and (ii) execute applicable certificates of delivery and other documents as necessary in connection with OUTSET’s drawback claims. Notwithstanding the transfer of duty drawback rights from Supplier to OUTSET, Supplier is responsible for compliance with all requirements of Law associated with any importation of Products provided to OUTSET under this Agreement, and the payment of all associated duties, taxes and fees.</w:t>
      </w:r>
    </w:p>
    <w:p>
      <w:pPr>
        <w:spacing w:after="0" w:line="19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QUALITY</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Specifications</w:t>
      </w:r>
      <w:r>
        <w:rPr>
          <w:rFonts w:ascii="Times New Roman" w:cs="Times New Roman" w:eastAsia="Times New Roman" w:hAnsi="Times New Roman"/>
          <w:sz w:val="20"/>
          <w:szCs w:val="20"/>
          <w:color w:val="auto"/>
        </w:rPr>
        <w:t>. Supplier shall maintain ongoing quality assurance and testing procedures in accordance with, and sufficient to comply with, the Specifications and OUTSET’s quality assurance policies and procedures as mutually agreed under the signed and executed quality agreement.</w:t>
      </w:r>
    </w:p>
    <w:p>
      <w:pPr>
        <w:spacing w:after="0" w:line="174" w:lineRule="exact"/>
        <w:rPr>
          <w:rFonts w:ascii="Times New Roman" w:cs="Times New Roman" w:eastAsia="Times New Roman" w:hAnsi="Times New Roman"/>
          <w:sz w:val="20"/>
          <w:szCs w:val="20"/>
          <w:color w:val="auto"/>
        </w:rPr>
      </w:pPr>
    </w:p>
    <w:p>
      <w:pPr>
        <w:jc w:val="both"/>
        <w:ind w:left="960" w:hanging="520"/>
        <w:spacing w:after="0" w:line="244" w:lineRule="auto"/>
        <w:tabs>
          <w:tab w:leader="none" w:pos="9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Manufacturing Data and Certificates of Origin</w:t>
      </w:r>
      <w:r>
        <w:rPr>
          <w:rFonts w:ascii="Times New Roman" w:cs="Times New Roman" w:eastAsia="Times New Roman" w:hAnsi="Times New Roman"/>
          <w:sz w:val="20"/>
          <w:szCs w:val="20"/>
          <w:color w:val="auto"/>
        </w:rPr>
        <w:t>. During the Retention Period (as defined below), Supplier shall maintain traceability records in accordance with all applicable standards, including the manufacture date and lot number of each unit of Product (and each component and Material thereof), and shall promptly provide OUTSET with a copy of such records upon OUTSET’s request. Each December during the Term and for a period of [***] after the final delivery of Products under this Agreement, Supplier shall provide a certificate of origin for the Products and Materials used in manufacturing the Products or a manufacturing affidavit validating the manufacturing origin of the Products and the Materials used in manufacturing the Products.</w:t>
      </w:r>
    </w:p>
    <w:p>
      <w:pPr>
        <w:spacing w:after="0" w:line="185" w:lineRule="exact"/>
        <w:rPr>
          <w:rFonts w:ascii="Times New Roman" w:cs="Times New Roman" w:eastAsia="Times New Roman" w:hAnsi="Times New Roman"/>
          <w:sz w:val="20"/>
          <w:szCs w:val="20"/>
          <w:color w:val="auto"/>
        </w:rPr>
      </w:pPr>
    </w:p>
    <w:p>
      <w:pPr>
        <w:jc w:val="both"/>
        <w:ind w:left="960" w:hanging="520"/>
        <w:spacing w:after="0" w:line="256" w:lineRule="auto"/>
        <w:tabs>
          <w:tab w:leader="none" w:pos="96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w:t>
      </w:r>
      <w:r>
        <w:rPr>
          <w:rFonts w:ascii="Times New Roman" w:cs="Times New Roman" w:eastAsia="Times New Roman" w:hAnsi="Times New Roman"/>
          <w:sz w:val="19"/>
          <w:szCs w:val="19"/>
          <w:color w:val="auto"/>
        </w:rPr>
        <w:t>. Supplier shall not in any way change any Specifications, Facilities, Materials, approved subcontractors or Supply procedures without the prior written consent of OUTSET. If Supplier wishes, or is required pursuant to applicable Laws or in response to the order or request of any Government Authority having jurisdiction over any Product, to make any change in any (i) Specifications, or (ii) Facilities, Materials or Supply of any Product, Supplier shall propose by a written Engineering Change Notice (“</w:t>
      </w:r>
      <w:r>
        <w:rPr>
          <w:rFonts w:ascii="Times New Roman" w:cs="Times New Roman" w:eastAsia="Times New Roman" w:hAnsi="Times New Roman"/>
          <w:sz w:val="19"/>
          <w:szCs w:val="19"/>
          <w:b w:val="1"/>
          <w:bCs w:val="1"/>
          <w:i w:val="1"/>
          <w:iCs w:val="1"/>
          <w:color w:val="auto"/>
        </w:rPr>
        <w:t>ECN</w:t>
      </w:r>
      <w:r>
        <w:rPr>
          <w:rFonts w:ascii="Times New Roman" w:cs="Times New Roman" w:eastAsia="Times New Roman" w:hAnsi="Times New Roman"/>
          <w:sz w:val="19"/>
          <w:szCs w:val="19"/>
          <w:color w:val="auto"/>
        </w:rPr>
        <w:t>”) to OUTSET. The recipient of an ECN will use all reasonable efforts to provide a detailed response within [***] of receipt. Supplier will advise OUTSET of the likely impact of an ECN (including but not limited to delivery scheduling and Supply Price, if any) on the provisions of any future orders incorporating the ECN,. Until an ECN and any associated impact have been agreed in writing, the parties will continue to perform their obligations without taking account of that ECN. Supplier shall notify Outset [***] days in advance, in writing, of proposed material changes to the Products or in the Specifications and documentation that would materially impact upon: (A) reliability, (B) requirements of the Specification, or (C)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11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52" w:lineRule="exact"/>
        <w:rPr>
          <w:sz w:val="20"/>
          <w:szCs w:val="20"/>
          <w:color w:val="auto"/>
        </w:rPr>
      </w:pPr>
    </w:p>
    <w:p>
      <w:pPr>
        <w:ind w:left="640" w:right="20"/>
        <w:spacing w:after="0" w:line="269" w:lineRule="auto"/>
        <w:rPr>
          <w:sz w:val="20"/>
          <w:szCs w:val="20"/>
          <w:color w:val="auto"/>
        </w:rPr>
      </w:pPr>
      <w:r>
        <w:rPr>
          <w:rFonts w:ascii="Times New Roman" w:cs="Times New Roman" w:eastAsia="Times New Roman" w:hAnsi="Times New Roman"/>
          <w:sz w:val="20"/>
          <w:szCs w:val="20"/>
          <w:color w:val="auto"/>
        </w:rPr>
        <w:t>form, fit or function of the Products and changes resulting from such notification shall be upon mutual agreement of the Parties and included in an ECN.</w:t>
      </w:r>
    </w:p>
    <w:p>
      <w:pPr>
        <w:spacing w:after="0" w:line="159" w:lineRule="exact"/>
        <w:rPr>
          <w:sz w:val="20"/>
          <w:szCs w:val="20"/>
          <w:color w:val="auto"/>
        </w:rPr>
      </w:pPr>
    </w:p>
    <w:p>
      <w:pPr>
        <w:jc w:val="both"/>
        <w:ind w:left="640" w:hanging="520"/>
        <w:spacing w:after="0" w:line="243" w:lineRule="auto"/>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Required Changes</w:t>
      </w:r>
      <w:r>
        <w:rPr>
          <w:rFonts w:ascii="Times New Roman" w:cs="Times New Roman" w:eastAsia="Times New Roman" w:hAnsi="Times New Roman"/>
          <w:sz w:val="20"/>
          <w:szCs w:val="20"/>
          <w:color w:val="auto"/>
        </w:rPr>
        <w:t>. If OUTSET requests, or is required pursuant to applicable Laws or in response to the order or request of any Government Authority having jurisdiction over any Product, to make any change in any (i) Specifications, or (ii) Facilities, Materials or Supply of any Product (other than a change that is required to correct a Nonconformity, which shall be handled expeditiously by Supplier as if it were a Supplier-initiated change under Section 7(c) above), Supplier shall use commercially reasonable efforts to accommodate such change as promptly as practicable. OUTSET shall be responsible for all reasonable, documented, out-of-pocket costs and expenses to the extent reasonably necessary to effect such change, and the Parties shall negotiate in good faith an amendment to this Agreement to incorporate such change, which may include an equitable adjustment to the Supply Price of the applicable Product.</w:t>
      </w:r>
    </w:p>
    <w:p>
      <w:pPr>
        <w:spacing w:after="0" w:line="189" w:lineRule="exact"/>
        <w:rPr>
          <w:rFonts w:ascii="Times New Roman" w:cs="Times New Roman" w:eastAsia="Times New Roman" w:hAnsi="Times New Roman"/>
          <w:sz w:val="20"/>
          <w:szCs w:val="20"/>
          <w:color w:val="auto"/>
        </w:rPr>
      </w:pPr>
    </w:p>
    <w:p>
      <w:pPr>
        <w:jc w:val="both"/>
        <w:ind w:left="640" w:hanging="520"/>
        <w:spacing w:after="0" w:line="242" w:lineRule="auto"/>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Facility and Equipment</w:t>
      </w:r>
      <w:r>
        <w:rPr>
          <w:rFonts w:ascii="Times New Roman" w:cs="Times New Roman" w:eastAsia="Times New Roman" w:hAnsi="Times New Roman"/>
          <w:sz w:val="20"/>
          <w:szCs w:val="20"/>
          <w:color w:val="auto"/>
        </w:rPr>
        <w:t>. Supplier’s facilities will be certified to conform to the requirements of Clean Room Class 8 and ISO 13485 or successor standards or their equivalent at all times in manufacturing and delivering the Products under this Agreement and the Quality Agreement. Supplier shall Supply all Products at and from the applicable Facility. Supplier shall be responsible for all costs and expenses relating to the Validation and compliance of the Facility, including in relation to bringing any Facility or equipment in compliance with any applicable regulatory or OUTSET requirements as required per the Product specification. Supplier, at its own expense, shall maintain each Facility and all equipment, except equipment owned by OUTSET, in an acceptable state of repair and operating efficiency so as to meet the Specifications and shall Validate such maintenance. Validation procedures must (i) be acceptable to OUTSET; (ii) meet all applicable cGMPs, Laws, regulatory and Regulatory Authority requirements as required per the Product specification; and (iii) be acceptable to Regulatory Authority inspectors, if applicable. If any Regulatory Authority finds Supplier’s Validation procedures to be unacceptable, then all Validation must be repeated to (x) meet all applicable cGMPs, Laws, regulatory and Regulatory Authority requirements and guidelines as required per the Product specification; and (y) receive all Regulatory Authority approvals.</w:t>
      </w:r>
    </w:p>
    <w:p>
      <w:pPr>
        <w:spacing w:after="0" w:line="187" w:lineRule="exact"/>
        <w:rPr>
          <w:rFonts w:ascii="Times New Roman" w:cs="Times New Roman" w:eastAsia="Times New Roman" w:hAnsi="Times New Roman"/>
          <w:sz w:val="20"/>
          <w:szCs w:val="20"/>
          <w:color w:val="auto"/>
        </w:rPr>
      </w:pPr>
    </w:p>
    <w:p>
      <w:pPr>
        <w:jc w:val="both"/>
        <w:ind w:left="640" w:hanging="520"/>
        <w:spacing w:after="0" w:line="245" w:lineRule="auto"/>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Conformance</w:t>
      </w:r>
      <w:r>
        <w:rPr>
          <w:rFonts w:ascii="Times New Roman" w:cs="Times New Roman" w:eastAsia="Times New Roman" w:hAnsi="Times New Roman"/>
          <w:sz w:val="20"/>
          <w:szCs w:val="20"/>
          <w:color w:val="auto"/>
        </w:rPr>
        <w:t xml:space="preserve"> . Supplier shall provide OUTSET with certificates related to Products for each batch released for delivery under this Agreement. These certificates shall document that each batch received by OUTSET conforms to the Specifications. A copy of each certificate shall be included with each batch delivered to OUTSET, and one copy shall be faxed or emailed at the same time to the OUTSET representative specified in the applicable Purchase Order. Supplier also shall provide OUTSET with Regulatory Authority certification, for those countries in which the applicable Regulatory Authority is in the practice of requiring any such certifications.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jc w:val="both"/>
        <w:ind w:left="640" w:hanging="520"/>
        <w:spacing w:after="0" w:line="245" w:lineRule="auto"/>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Quality Control</w:t>
      </w:r>
      <w:r>
        <w:rPr>
          <w:rFonts w:ascii="Times New Roman" w:cs="Times New Roman" w:eastAsia="Times New Roman" w:hAnsi="Times New Roman"/>
          <w:sz w:val="20"/>
          <w:szCs w:val="20"/>
          <w:color w:val="auto"/>
        </w:rPr>
        <w:t>. Throughout the Term, Supplier shall be in compliance with any OUTSET quality control standards that have been provided to Supplier, and any subsequent amendments thereto in the form provided by OUTSET to Supplier during the Term as mutually agreed under the signed and executed quality agreement. Supplier shall perform, at its quality control laboratories, such quality control tests as are indicated in the Specifications, in accordance with the test methods and procedures described by OUTSET. Supplier shall make the results of its quality control tests available to OUTSET on or before the date of delivery of the corresponding batches of Products.</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Safety Issues Notice</w:t>
      </w:r>
      <w:r>
        <w:rPr>
          <w:rFonts w:ascii="Times New Roman" w:cs="Times New Roman" w:eastAsia="Times New Roman" w:hAnsi="Times New Roman"/>
          <w:sz w:val="20"/>
          <w:szCs w:val="20"/>
          <w:color w:val="auto"/>
        </w:rPr>
        <w:t>. Supplier shall immediately (and, in any event, within [***]) notify OUTSET of any information of which it is aware concerning Products Supplied to OUTSET that may affect the safety or efficacy claims regarding or the continued marketing, Supply or use of the Product. Supplier, at its expense and under OUTSET’s direction and to OUTSET’s satisfaction, shall</w:t>
      </w: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12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640" w:right="20"/>
        <w:spacing w:after="0" w:line="269" w:lineRule="auto"/>
        <w:rPr>
          <w:sz w:val="20"/>
          <w:szCs w:val="20"/>
          <w:color w:val="auto"/>
        </w:rPr>
      </w:pPr>
      <w:r>
        <w:rPr>
          <w:rFonts w:ascii="Times New Roman" w:cs="Times New Roman" w:eastAsia="Times New Roman" w:hAnsi="Times New Roman"/>
          <w:sz w:val="20"/>
          <w:szCs w:val="20"/>
          <w:color w:val="auto"/>
        </w:rPr>
        <w:t>prepare material safety data sheets and generate any other information and documentation related to Product safety, including physical, chemical, and biological characteristics of each Product, which OUTSET reasonably requests.</w:t>
      </w:r>
    </w:p>
    <w:p>
      <w:pPr>
        <w:spacing w:after="0" w:line="159" w:lineRule="exact"/>
        <w:rPr>
          <w:sz w:val="20"/>
          <w:szCs w:val="20"/>
          <w:color w:val="auto"/>
        </w:rPr>
      </w:pPr>
    </w:p>
    <w:p>
      <w:pPr>
        <w:ind w:left="640" w:hanging="520"/>
        <w:spacing w:after="0"/>
        <w:tabs>
          <w:tab w:leader="none" w:pos="6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60" w:hanging="427"/>
        <w:spacing w:after="0" w:line="244" w:lineRule="auto"/>
        <w:tabs>
          <w:tab w:leader="none" w:pos="10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shall advise OUTSET immediately of any proposed or unannounced visit or inspection by any Government Authority, including any Regulatory Authority or any environmental regulatory authority, and shall permit one or more qualified representatives of OUTSET to be present if requested by OUTSET. If OUTSET is not present during such a visit or inspection, Supplier shall promptly provide a summary report of the results of the inspection to OUTSET in English. Supplier shall promptly (and in no event later [***] days) furnish OUTSET English summaries of all reports, documents or correspondence with respect to any Regulatory Authority requests or inspections of any Facility, as well as a copy of each such report, document or correspondence in English.</w:t>
      </w:r>
    </w:p>
    <w:p>
      <w:pPr>
        <w:spacing w:after="0" w:line="185" w:lineRule="exact"/>
        <w:rPr>
          <w:rFonts w:ascii="Times New Roman" w:cs="Times New Roman" w:eastAsia="Times New Roman" w:hAnsi="Times New Roman"/>
          <w:sz w:val="20"/>
          <w:szCs w:val="20"/>
          <w:color w:val="auto"/>
        </w:rPr>
      </w:pPr>
    </w:p>
    <w:p>
      <w:pPr>
        <w:jc w:val="both"/>
        <w:ind w:left="1060" w:hanging="427"/>
        <w:spacing w:after="0" w:line="243" w:lineRule="auto"/>
        <w:tabs>
          <w:tab w:leader="none" w:pos="10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shall immediately notify OUTSET of any information Supplier receives regarding any threatened or pending action by any Regulatory Authority, including any Regulatory Authority non-approval or regulatory action, or any requirement to file a medical device report (the cost of which shall be borne by Supplier if required per Suppliers action or inaction, in all other cases the cost shall be borne by OUTSET). Upon receipt of any such information, Supplier shall consult with OUTSET in an effort to arrive at a mutually acceptable procedure for taking appropriate action; provided, however, that nothing contained in this Agreement shall be construed as restricting the right of either Party to make a timely report of such matter to any Regulatory Authority or take other action that it deems to be appropriate or required by applicable Law.</w:t>
      </w:r>
    </w:p>
    <w:p>
      <w:pPr>
        <w:spacing w:after="0" w:line="189" w:lineRule="exact"/>
        <w:rPr>
          <w:sz w:val="20"/>
          <w:szCs w:val="20"/>
          <w:color w:val="auto"/>
        </w:rPr>
      </w:pPr>
    </w:p>
    <w:p>
      <w:pPr>
        <w:jc w:val="both"/>
        <w:ind w:left="640" w:hanging="520"/>
        <w:spacing w:after="0" w:line="246" w:lineRule="auto"/>
        <w:tabs>
          <w:tab w:leader="none" w:pos="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 Issues</w:t>
      </w:r>
      <w:r>
        <w:rPr>
          <w:rFonts w:ascii="Times New Roman" w:cs="Times New Roman" w:eastAsia="Times New Roman" w:hAnsi="Times New Roman"/>
          <w:sz w:val="20"/>
          <w:szCs w:val="20"/>
          <w:color w:val="auto"/>
        </w:rPr>
        <w:t>. Supplier shall promptly notify OUTSET of any lot failure, Supplying problems or similar issues, or any issues that may impact OUTSET’s ability to distribute Products to its customers. Within [***] days after Supplier’s receipt of any response or other Notice from OUTSET that a problem has developed with a Product, Supplier shall perform a failure analysis and provide a detailed written response to OUTSET outlining a plan to resolve the problem, to the extent such problem is related to Supplier’s Supply of the Product or obligations under this Agreement.</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Shelf Life</w:t>
      </w:r>
      <w:r>
        <w:rPr>
          <w:rFonts w:ascii="Times New Roman" w:cs="Times New Roman" w:eastAsia="Times New Roman" w:hAnsi="Times New Roman"/>
          <w:sz w:val="20"/>
          <w:szCs w:val="20"/>
          <w:color w:val="auto"/>
        </w:rPr>
        <w:t>. Outset has tested the products to guarantee a shelf life of [***] post sterilization. Unless otherwise specified in the Specifications, Supplier shall ensure that all Products have a label indicating an expiration date of at least [***]. Should Supplier have any reason to suspect of any identifiable contaminant pertaining to process, storage, or facilities that could reduce the guaranteed shelf life, it shall immediately document the concern and notify Outset.</w:t>
      </w:r>
    </w:p>
    <w:p>
      <w:pPr>
        <w:spacing w:after="0" w:line="179" w:lineRule="exact"/>
        <w:rPr>
          <w:rFonts w:ascii="Times New Roman" w:cs="Times New Roman" w:eastAsia="Times New Roman" w:hAnsi="Times New Roman"/>
          <w:sz w:val="20"/>
          <w:szCs w:val="20"/>
          <w:color w:val="auto"/>
        </w:rPr>
      </w:pPr>
    </w:p>
    <w:p>
      <w:pPr>
        <w:jc w:val="both"/>
        <w:ind w:left="640" w:hanging="520"/>
        <w:spacing w:after="0" w:line="243" w:lineRule="auto"/>
        <w:tabs>
          <w:tab w:leader="none" w:pos="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Complaints</w:t>
      </w:r>
      <w:r>
        <w:rPr>
          <w:rFonts w:ascii="Times New Roman" w:cs="Times New Roman" w:eastAsia="Times New Roman" w:hAnsi="Times New Roman"/>
          <w:sz w:val="20"/>
          <w:szCs w:val="20"/>
          <w:color w:val="auto"/>
        </w:rPr>
        <w:t>. OUTSET is responsible for coordinating any Customer Complaint that it receives concerning any Product. Supplier shall transfer promptly to OUTSET any Customer Complaint that it receives concerning any Product. Supplier shall investigate any Customer Complaint and implement corrective action where necessary. OUTSET is responsible for communicating with OUTSET’s customers regarding any Customer Complaint about any Product. “</w:t>
      </w:r>
      <w:r>
        <w:rPr>
          <w:rFonts w:ascii="Times New Roman" w:cs="Times New Roman" w:eastAsia="Times New Roman" w:hAnsi="Times New Roman"/>
          <w:sz w:val="20"/>
          <w:szCs w:val="20"/>
          <w:b w:val="1"/>
          <w:bCs w:val="1"/>
          <w:i w:val="1"/>
          <w:iCs w:val="1"/>
          <w:color w:val="auto"/>
        </w:rPr>
        <w:t>Customer Complaint</w:t>
      </w:r>
      <w:r>
        <w:rPr>
          <w:rFonts w:ascii="Times New Roman" w:cs="Times New Roman" w:eastAsia="Times New Roman" w:hAnsi="Times New Roman"/>
          <w:sz w:val="20"/>
          <w:szCs w:val="20"/>
          <w:color w:val="auto"/>
        </w:rPr>
        <w:t>” means any written, oral or electronic expression of dissatisfaction relative to the identity, quality, durability, reliability, safety, effectiveness or performance of a Product, made by a customer of OUTSET, including actual or suspected Product tampering, contamination, mislabeling, or wrong components, and any of the foregoing regarding a OUTSET product incorporating a Product.</w:t>
      </w: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13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hanging="520"/>
        <w:spacing w:after="0" w:line="249" w:lineRule="auto"/>
        <w:tabs>
          <w:tab w:leader="none" w:pos="9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Authority Registration</w:t>
      </w:r>
      <w:r>
        <w:rPr>
          <w:rFonts w:ascii="Times New Roman" w:cs="Times New Roman" w:eastAsia="Times New Roman" w:hAnsi="Times New Roman"/>
          <w:sz w:val="20"/>
          <w:szCs w:val="20"/>
          <w:color w:val="auto"/>
        </w:rPr>
        <w:t>. Supplier must be approved by each applicable Regulatory Authority, regarding all aspects and jurisdictions of Supply, prior to the shipment of any Product under this Agreement. Supplier must inform OUTSET in writing in advance of all Regulatory Authority inspection plans and the results thereof, including a full copy of any reports, recommendations or communications between Supplier and any Regulatory Authority related to any Product.</w:t>
      </w:r>
    </w:p>
    <w:p>
      <w:pPr>
        <w:spacing w:after="0" w:line="175" w:lineRule="exact"/>
        <w:rPr>
          <w:rFonts w:ascii="Times New Roman" w:cs="Times New Roman" w:eastAsia="Times New Roman" w:hAnsi="Times New Roman"/>
          <w:sz w:val="20"/>
          <w:szCs w:val="20"/>
          <w:color w:val="auto"/>
        </w:rPr>
      </w:pPr>
    </w:p>
    <w:p>
      <w:pPr>
        <w:jc w:val="both"/>
        <w:ind w:left="960" w:hanging="520"/>
        <w:spacing w:after="0" w:line="245" w:lineRule="auto"/>
        <w:tabs>
          <w:tab w:leader="none" w:pos="9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Epidemic Failure.</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b w:val="1"/>
          <w:bCs w:val="1"/>
          <w:i w:val="1"/>
          <w:iCs w:val="1"/>
          <w:color w:val="auto"/>
        </w:rPr>
        <w:t>Epidemic Failure</w:t>
      </w:r>
      <w:r>
        <w:rPr>
          <w:rFonts w:ascii="Times New Roman" w:cs="Times New Roman" w:eastAsia="Times New Roman" w:hAnsi="Times New Roman"/>
          <w:sz w:val="20"/>
          <w:szCs w:val="20"/>
          <w:color w:val="auto"/>
        </w:rPr>
        <w:t>” shall be deemed to occur if more than [***] percent ([***]%) of the total quantity of any given Product sold and delivered within any [***] period fails to comply with the express limited warranty set forth in Section 6(e) due to a similar (same root cause) defect. Upon such notice of an Epidemic Failure from OUTSET, Supplier shall (i) work together with OUTSET to determine if the root cause was created by design or process issues and promptly develop a plan to (ii) eliminate the problem in all continuing production per plan , (iii) correct the problem In all affected units of product previously sold and delivered during the warranty period (Replace per plan). If root cause of Epidemic Failure is determined to be caused by OUTSET design, cost to correct all affects units will be covered by OUTSET.</w:t>
      </w:r>
    </w:p>
    <w:p>
      <w:pPr>
        <w:spacing w:after="0" w:line="183"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Counterfeit Mitigation System:</w:t>
      </w:r>
      <w:r>
        <w:rPr>
          <w:rFonts w:ascii="Times New Roman" w:cs="Times New Roman" w:eastAsia="Times New Roman" w:hAnsi="Times New Roman"/>
          <w:sz w:val="20"/>
          <w:szCs w:val="20"/>
          <w:color w:val="auto"/>
        </w:rPr>
        <w:t xml:space="preserve"> Supplier shall purchase from OUTSET approved suppliers only. Any change to a new supplier must be approved by OUTSET before Supplier deviates from approved supplier listing. Should supplier have a suspicion of counterfeit acquisition through the approved supply base, supplier shall immediately document the risk, stop inclusion of the suspected components, and notify Outset.</w:t>
      </w:r>
    </w:p>
    <w:p>
      <w:pPr>
        <w:spacing w:after="0" w:line="17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WARRANTIES AND COVENANTS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and throughout the Term, Supplier represents, warrants and covenants to and with OUTSET that:</w:t>
      </w:r>
    </w:p>
    <w:p>
      <w:pPr>
        <w:spacing w:after="0" w:line="215" w:lineRule="exact"/>
        <w:rPr>
          <w:rFonts w:ascii="Times New Roman" w:cs="Times New Roman" w:eastAsia="Times New Roman" w:hAnsi="Times New Roman"/>
          <w:sz w:val="20"/>
          <w:szCs w:val="20"/>
          <w:color w:val="auto"/>
        </w:rPr>
      </w:pPr>
    </w:p>
    <w:p>
      <w:pPr>
        <w:jc w:val="both"/>
        <w:ind w:left="1380" w:hanging="427"/>
        <w:spacing w:after="0" w:line="249" w:lineRule="auto"/>
        <w:tabs>
          <w:tab w:leader="none" w:pos="138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Supplier (i) is duly organized, validly existing and in good standing under the Laws of its jurisdiction of organization; (ii) is qualified or licensed to do business and in good standing in every jurisdiction where such qualification or licensing is required; and (iii) has the requisite power and authority to negotiate, execute, deliver and perform its obligations under this Agreement.</w:t>
      </w:r>
    </w:p>
    <w:p>
      <w:pPr>
        <w:spacing w:after="0" w:line="179" w:lineRule="exact"/>
        <w:rPr>
          <w:rFonts w:ascii="Times New Roman" w:cs="Times New Roman" w:eastAsia="Times New Roman" w:hAnsi="Times New Roman"/>
          <w:sz w:val="20"/>
          <w:szCs w:val="20"/>
          <w:color w:val="auto"/>
        </w:rPr>
      </w:pPr>
    </w:p>
    <w:p>
      <w:pPr>
        <w:ind w:left="1380" w:hanging="427"/>
        <w:spacing w:after="0" w:line="269" w:lineRule="auto"/>
        <w:tabs>
          <w:tab w:leader="none" w:pos="138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.If Services are required, the Services shall be performed in a professional, workmanlike and competent manner, in accordance with the terms of this Agreement and generally accepted standards applicable to services provided.</w:t>
      </w:r>
    </w:p>
    <w:p>
      <w:pPr>
        <w:spacing w:after="0" w:line="159" w:lineRule="exact"/>
        <w:rPr>
          <w:rFonts w:ascii="Times New Roman" w:cs="Times New Roman" w:eastAsia="Times New Roman" w:hAnsi="Times New Roman"/>
          <w:sz w:val="20"/>
          <w:szCs w:val="20"/>
          <w:color w:val="auto"/>
        </w:rPr>
      </w:pPr>
    </w:p>
    <w:p>
      <w:pPr>
        <w:jc w:val="both"/>
        <w:ind w:left="1380" w:hanging="427"/>
        <w:spacing w:after="0" w:line="242" w:lineRule="auto"/>
        <w:tabs>
          <w:tab w:leader="none" w:pos="138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(A) All Products shall, at the time of delivery, be Supplied in accordance with all applicable Laws and Regulatory Authority requirements; (B) all Services shall be performed in accordance with all applicable Laws; and (C) Supplier shall comply with the AdvaMed Code of Conduct, and all Laws applicable to the manufacture and supply of medical devices in the United States, including cGMP pursuant to 21 C.F.R 820, and all applicable lawful orders of any Government Authority, including any notification requirements. Supplier shall immediately notify OUTSET if it becomes aware of any non-compliance with the foregoing requirements. Supplier shall provide all reasonably requested information and assistance to OUTSET in a timely and accurate manner to enable OUTSET to comply with any filing, notice or registration requirement under any applicable Law. The content of any filings, communications, notices, press releases or reports required by or made in connection with any applicable Laws must first be approved by OUTSET prior to any publication or communication thereof to any third party. Supplier shall at all times possess,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14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1060"/>
        <w:spacing w:after="0" w:line="269" w:lineRule="auto"/>
        <w:rPr>
          <w:sz w:val="20"/>
          <w:szCs w:val="20"/>
          <w:color w:val="auto"/>
        </w:rPr>
      </w:pPr>
      <w:r>
        <w:rPr>
          <w:rFonts w:ascii="Times New Roman" w:cs="Times New Roman" w:eastAsia="Times New Roman" w:hAnsi="Times New Roman"/>
          <w:sz w:val="20"/>
          <w:szCs w:val="20"/>
          <w:color w:val="auto"/>
        </w:rPr>
        <w:t>maintain and be in compliance with all licenses, permits and approvals required to execute, deliver and perform its obligations under this Agreement.</w:t>
      </w:r>
    </w:p>
    <w:p>
      <w:pPr>
        <w:spacing w:after="0" w:line="159" w:lineRule="exact"/>
        <w:rPr>
          <w:sz w:val="20"/>
          <w:szCs w:val="20"/>
          <w:color w:val="auto"/>
        </w:rPr>
      </w:pPr>
    </w:p>
    <w:p>
      <w:pPr>
        <w:jc w:val="both"/>
        <w:ind w:left="1060" w:hanging="427"/>
        <w:spacing w:after="0" w:line="254" w:lineRule="auto"/>
        <w:tabs>
          <w:tab w:leader="none" w:pos="10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Infringement</w:t>
      </w:r>
      <w:r>
        <w:rPr>
          <w:rFonts w:ascii="Times New Roman" w:cs="Times New Roman" w:eastAsia="Times New Roman" w:hAnsi="Times New Roman"/>
          <w:sz w:val="20"/>
          <w:szCs w:val="20"/>
          <w:color w:val="auto"/>
        </w:rPr>
        <w:t>. Each Product, and any Supply thereof, and all Services shall not infringe or violate any Intellectual Property Rights or proprietary rights of any third party. Supplier has the right to grant all license and ownership rights granted to OUTSET under this Agreement.</w:t>
      </w:r>
    </w:p>
    <w:p>
      <w:pPr>
        <w:spacing w:after="0" w:line="174" w:lineRule="exact"/>
        <w:rPr>
          <w:rFonts w:ascii="Times New Roman" w:cs="Times New Roman" w:eastAsia="Times New Roman" w:hAnsi="Times New Roman"/>
          <w:sz w:val="20"/>
          <w:szCs w:val="20"/>
          <w:color w:val="auto"/>
        </w:rPr>
      </w:pPr>
    </w:p>
    <w:p>
      <w:pPr>
        <w:ind w:left="1060" w:right="20" w:hanging="427"/>
        <w:spacing w:after="0" w:line="269" w:lineRule="auto"/>
        <w:tabs>
          <w:tab w:leader="none" w:pos="10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is no actual or threatened litigation (i) that affects Supplier’s ability to comply with this Agreement; or (ii) in connection with any Products, or any Supply thereof, or any Facilities.</w:t>
      </w:r>
    </w:p>
    <w:p>
      <w:pPr>
        <w:spacing w:after="0" w:line="159" w:lineRule="exact"/>
        <w:rPr>
          <w:rFonts w:ascii="Times New Roman" w:cs="Times New Roman" w:eastAsia="Times New Roman" w:hAnsi="Times New Roman"/>
          <w:sz w:val="20"/>
          <w:szCs w:val="20"/>
          <w:color w:val="auto"/>
        </w:rPr>
      </w:pPr>
    </w:p>
    <w:p>
      <w:pPr>
        <w:ind w:left="1060" w:hanging="427"/>
        <w:spacing w:after="0"/>
        <w:tabs>
          <w:tab w:leader="none" w:pos="10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Debarment and Exclusion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435"/>
        <w:spacing w:after="0" w:line="254" w:lineRule="auto"/>
        <w:tabs>
          <w:tab w:leader="none" w:pos="150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 and all Related Persons (A) are not currently excluded, debarred, or otherwise ineligible to participate in the federal health care programs as defined in 42 U.S.C. § 1320a-7b(f) (“</w:t>
      </w:r>
      <w:r>
        <w:rPr>
          <w:rFonts w:ascii="Times New Roman" w:cs="Times New Roman" w:eastAsia="Times New Roman" w:hAnsi="Times New Roman"/>
          <w:sz w:val="19"/>
          <w:szCs w:val="19"/>
          <w:b w:val="1"/>
          <w:bCs w:val="1"/>
          <w:i w:val="1"/>
          <w:iCs w:val="1"/>
          <w:color w:val="auto"/>
        </w:rPr>
        <w:t>Federal Health Care Programs</w:t>
      </w:r>
      <w:r>
        <w:rPr>
          <w:rFonts w:ascii="Times New Roman" w:cs="Times New Roman" w:eastAsia="Times New Roman" w:hAnsi="Times New Roman"/>
          <w:sz w:val="19"/>
          <w:szCs w:val="19"/>
          <w:color w:val="auto"/>
        </w:rPr>
        <w:t xml:space="preserve">”) or generally from federal procurement and non-procurement programs; (B) have not been convicted of a criminal offense related to the provision of health care items or services but not yet been excluded, debarred, or otherwise declared ineligible to participate in the Federal Health Care Programs, or generally from federal procurement and non-procurement programs; (C) are not under investigation or otherwise aware of any circumstances that may result in such exclusion from participation in the Federal Health Care Programs, or generally from federal procurement and non-procurement programs; (D) shall at all times maintain accurate and complete accounting and other financial records in accordance with the applicable Laws of the country in which any Services are to be performed; (E) shall, in their performance under this Agreement and in connection with their activities in relation thereto, ensure that no payments of money or anything of value shall be offered, promised or paid, directly or indirectly, to any foreign official, or public or political officer, to induce such official or officer to use their influence with a foreign government or instrumentality to obtain an improper business advantage for OUTSET; (F) shall report immediately to OUTSET any information that may indicate there has been a payment of money or anything of value offered, promised or paid, directly or indirectly, to any foreign official, or public or political officer as described above (an </w:t>
      </w:r>
      <w:r>
        <w:rPr>
          <w:rFonts w:ascii="Times New Roman" w:cs="Times New Roman" w:eastAsia="Times New Roman" w:hAnsi="Times New Roman"/>
          <w:sz w:val="19"/>
          <w:szCs w:val="19"/>
          <w:b w:val="1"/>
          <w:bCs w:val="1"/>
          <w:i w:val="1"/>
          <w:iCs w:val="1"/>
          <w:color w:val="auto"/>
        </w:rPr>
        <w:t>“Improper Payment</w:t>
      </w:r>
      <w:r>
        <w:rPr>
          <w:rFonts w:ascii="Times New Roman" w:cs="Times New Roman" w:eastAsia="Times New Roman" w:hAnsi="Times New Roman"/>
          <w:sz w:val="19"/>
          <w:szCs w:val="19"/>
          <w:color w:val="auto"/>
        </w:rPr>
        <w:t>”); (G) shall, upon OUTSET’s request, certify that they have no knowledge of an Improper Payment; (H) agree that OUTSET may suspend or terminate this Agreement upon confirming information and validating the facts to conclude that Supplier has made or offered an Improper Payment; and (I) agree that payments shall be made to government officials or political parties only purposes permitted by applicable Law, which shall first be fully disclosed in writing to OUTSET.</w:t>
      </w:r>
    </w:p>
    <w:p>
      <w:pPr>
        <w:spacing w:after="0" w:line="183" w:lineRule="exact"/>
        <w:rPr>
          <w:rFonts w:ascii="Times New Roman" w:cs="Times New Roman" w:eastAsia="Times New Roman" w:hAnsi="Times New Roman"/>
          <w:sz w:val="19"/>
          <w:szCs w:val="19"/>
          <w:color w:val="auto"/>
        </w:rPr>
      </w:pPr>
    </w:p>
    <w:p>
      <w:pPr>
        <w:jc w:val="both"/>
        <w:ind w:left="1500" w:hanging="435"/>
        <w:spacing w:after="0" w:line="258" w:lineRule="auto"/>
        <w:tabs>
          <w:tab w:leader="none" w:pos="150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 has not, and shall not, employ or contract with any Person, whether as an employee, consultant, subcontractor or otherwise (each, a “</w:t>
      </w:r>
      <w:r>
        <w:rPr>
          <w:rFonts w:ascii="Times New Roman" w:cs="Times New Roman" w:eastAsia="Times New Roman" w:hAnsi="Times New Roman"/>
          <w:sz w:val="19"/>
          <w:szCs w:val="19"/>
          <w:b w:val="1"/>
          <w:bCs w:val="1"/>
          <w:i w:val="1"/>
          <w:iCs w:val="1"/>
          <w:color w:val="auto"/>
        </w:rPr>
        <w:t>Related Person</w:t>
      </w:r>
      <w:r>
        <w:rPr>
          <w:rFonts w:ascii="Times New Roman" w:cs="Times New Roman" w:eastAsia="Times New Roman" w:hAnsi="Times New Roman"/>
          <w:sz w:val="19"/>
          <w:szCs w:val="19"/>
          <w:color w:val="auto"/>
        </w:rPr>
        <w:t>”) if Supplier has knowledge that (A) such Related Person, or any of its principals or employees, or (B) any Affiliate of such Related Person, its principals or employees who may work on or be involved in providing services or products to or for the benefit of OUTSET, is presently or has been, within the</w:t>
      </w:r>
    </w:p>
    <w:p>
      <w:pPr>
        <w:jc w:val="both"/>
        <w:ind w:left="1500" w:hanging="3"/>
        <w:spacing w:after="0" w:line="241" w:lineRule="auto"/>
        <w:tabs>
          <w:tab w:leader="none" w:pos="200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 preceding the Effective Date, (I) debarred, suspended, proposed for debarment, declared ineligible or voluntarily excluded by any Regulatory Authority (including the FDA and any other U.S. Department of Health and Human Services departments or agencies) from providing services directly or indirectly for companies having pending or approved drug product applications under the U.S. Food, Drug and Cosmetic Act or are otherwise subject to the regulation or jurisdiction of such</w:t>
      </w:r>
    </w:p>
    <w:p>
      <w:pPr>
        <w:spacing w:after="0" w:line="200" w:lineRule="exact"/>
        <w:rPr>
          <w:sz w:val="20"/>
          <w:szCs w:val="20"/>
          <w:color w:val="auto"/>
        </w:rPr>
      </w:pPr>
    </w:p>
    <w:p>
      <w:pPr>
        <w:spacing w:after="0" w:line="23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15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1820"/>
        <w:spacing w:after="0" w:line="249" w:lineRule="auto"/>
        <w:rPr>
          <w:sz w:val="20"/>
          <w:szCs w:val="20"/>
          <w:color w:val="auto"/>
        </w:rPr>
      </w:pPr>
      <w:r>
        <w:rPr>
          <w:rFonts w:ascii="Times New Roman" w:cs="Times New Roman" w:eastAsia="Times New Roman" w:hAnsi="Times New Roman"/>
          <w:sz w:val="20"/>
          <w:szCs w:val="20"/>
          <w:color w:val="auto"/>
        </w:rPr>
        <w:t>agencies, or (II) convicted of a criminal offense that falls within the ambit of 42 U.S.C. §1320a – 7(a), but has not yet been excluded, debarred, suspended or otherwise declared ineligible. Prior to any Related Person providing Services to OUTSET, Supplier shall secure from such Related Person a written certification as to the statement of no debarment and no conviction status set forth above in this Section 8(f)(ii).</w:t>
      </w:r>
    </w:p>
    <w:p>
      <w:pPr>
        <w:spacing w:after="0" w:line="180" w:lineRule="exact"/>
        <w:rPr>
          <w:sz w:val="20"/>
          <w:szCs w:val="20"/>
          <w:color w:val="auto"/>
        </w:rPr>
      </w:pPr>
    </w:p>
    <w:p>
      <w:pPr>
        <w:ind w:left="1820" w:hanging="435"/>
        <w:spacing w:after="0" w:line="269" w:lineRule="auto"/>
        <w:tabs>
          <w:tab w:leader="none" w:pos="1820" w:val="left"/>
        </w:tabs>
        <w:numPr>
          <w:ilvl w:val="3"/>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Section 8(a)(vi) shall give OUTSET the right to terminate this Agreement immediately for cause without a right to cure pursuant to Section 13(b)(ii).</w:t>
      </w:r>
    </w:p>
    <w:p>
      <w:pPr>
        <w:spacing w:after="0" w:line="159" w:lineRule="exact"/>
        <w:rPr>
          <w:rFonts w:ascii="Times New Roman" w:cs="Times New Roman" w:eastAsia="Times New Roman" w:hAnsi="Times New Roman"/>
          <w:sz w:val="20"/>
          <w:szCs w:val="20"/>
          <w:color w:val="auto"/>
        </w:rPr>
      </w:pPr>
    </w:p>
    <w:p>
      <w:pPr>
        <w:jc w:val="both"/>
        <w:ind w:left="1380" w:hanging="427"/>
        <w:spacing w:after="0" w:line="243" w:lineRule="auto"/>
        <w:tabs>
          <w:tab w:leader="none" w:pos="138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Persons</w:t>
      </w:r>
      <w:r>
        <w:rPr>
          <w:rFonts w:ascii="Times New Roman" w:cs="Times New Roman" w:eastAsia="Times New Roman" w:hAnsi="Times New Roman"/>
          <w:sz w:val="20"/>
          <w:szCs w:val="20"/>
          <w:color w:val="auto"/>
        </w:rPr>
        <w:t>. Neither Supplier nor any Related Person appear on any list of prohibited persons maintained by the United States or other applicable government or Government Authority (“</w:t>
      </w:r>
      <w:r>
        <w:rPr>
          <w:rFonts w:ascii="Times New Roman" w:cs="Times New Roman" w:eastAsia="Times New Roman" w:hAnsi="Times New Roman"/>
          <w:sz w:val="20"/>
          <w:szCs w:val="20"/>
          <w:b w:val="1"/>
          <w:bCs w:val="1"/>
          <w:i w:val="1"/>
          <w:iCs w:val="1"/>
          <w:color w:val="auto"/>
        </w:rPr>
        <w:t>Prohibited Lists</w:t>
      </w:r>
      <w:r>
        <w:rPr>
          <w:rFonts w:ascii="Times New Roman" w:cs="Times New Roman" w:eastAsia="Times New Roman" w:hAnsi="Times New Roman"/>
          <w:sz w:val="20"/>
          <w:szCs w:val="20"/>
          <w:color w:val="auto"/>
        </w:rPr>
        <w:t>”), including the list of “Specially Designated Nationals and Other Blocked Persons” maintained by the U.S. Department of Treasury, and the “Denied Persons List” maintained by the U.S. Bureau of Industry &amp; Security. Supplier monitors all changes to the Prohibited Lists and ensures continuing compliance therewith. Supplier shall (i) immediately remove any Related Person identified on a Prohibited List from any involvement whatsoever related to any Supply of Products or rendering of any Services, (ii) immediately inform OUTSET of such identification, (iii) cooperate with OUTSET in any investigation thereof, and (iv) take any measures OUTSET reasonably may request to rectify or address any violation of this Section 8(g) that is discovered.</w:t>
      </w:r>
    </w:p>
    <w:p>
      <w:pPr>
        <w:spacing w:after="0" w:line="185" w:lineRule="exact"/>
        <w:rPr>
          <w:rFonts w:ascii="Times New Roman" w:cs="Times New Roman" w:eastAsia="Times New Roman" w:hAnsi="Times New Roman"/>
          <w:sz w:val="20"/>
          <w:szCs w:val="20"/>
          <w:color w:val="auto"/>
        </w:rPr>
      </w:pPr>
    </w:p>
    <w:p>
      <w:pPr>
        <w:jc w:val="both"/>
        <w:ind w:left="1380" w:hanging="427"/>
        <w:spacing w:after="0" w:line="254" w:lineRule="auto"/>
        <w:tabs>
          <w:tab w:leader="none" w:pos="138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Opportunity Employer</w:t>
      </w:r>
      <w:r>
        <w:rPr>
          <w:rFonts w:ascii="Times New Roman" w:cs="Times New Roman" w:eastAsia="Times New Roman" w:hAnsi="Times New Roman"/>
          <w:sz w:val="20"/>
          <w:szCs w:val="20"/>
          <w:color w:val="auto"/>
        </w:rPr>
        <w:t>. Supplier is an equal opportunity employer and it hires and assigns Related Persons regardless of race, sex, color, religion, creed, ancestry, national origin, disability, age, marital status or other protected class status pursuant to applicable Law.</w:t>
      </w:r>
    </w:p>
    <w:p>
      <w:pPr>
        <w:spacing w:after="0" w:line="174" w:lineRule="exact"/>
        <w:rPr>
          <w:rFonts w:ascii="Times New Roman" w:cs="Times New Roman" w:eastAsia="Times New Roman" w:hAnsi="Times New Roman"/>
          <w:sz w:val="20"/>
          <w:szCs w:val="20"/>
          <w:color w:val="auto"/>
        </w:rPr>
      </w:pPr>
    </w:p>
    <w:p>
      <w:pPr>
        <w:jc w:val="both"/>
        <w:ind w:left="1380" w:hanging="427"/>
        <w:spacing w:after="0" w:line="246" w:lineRule="auto"/>
        <w:tabs>
          <w:tab w:leader="none" w:pos="1488"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Interference</w:t>
      </w:r>
      <w:r>
        <w:rPr>
          <w:rFonts w:ascii="Times New Roman" w:cs="Times New Roman" w:eastAsia="Times New Roman" w:hAnsi="Times New Roman"/>
          <w:sz w:val="20"/>
          <w:szCs w:val="20"/>
          <w:color w:val="auto"/>
        </w:rPr>
        <w:t>. Supplier is under no obligation to any third party that would interfere with it Supplying to OUTSET any Products, or rendering to OUTSET any Services, as described under this Agreement or which would be inconsistent with any terms or conditions of this Agreement. Supplier shall promptly disclose to OUTSET in detail, including copies of any written agreements, any relationships between Supplier (or its Affiliates) and any OUTSET Entity, regardless of when such relationship existed or arises.</w:t>
      </w:r>
    </w:p>
    <w:p>
      <w:pPr>
        <w:spacing w:after="0" w:line="184" w:lineRule="exact"/>
        <w:rPr>
          <w:rFonts w:ascii="Times New Roman" w:cs="Times New Roman" w:eastAsia="Times New Roman" w:hAnsi="Times New Roman"/>
          <w:sz w:val="20"/>
          <w:szCs w:val="20"/>
          <w:color w:val="auto"/>
        </w:rPr>
      </w:pPr>
    </w:p>
    <w:p>
      <w:pPr>
        <w:ind w:left="960" w:right="20" w:hanging="520"/>
        <w:spacing w:after="0" w:line="269" w:lineRule="auto"/>
        <w:tabs>
          <w:tab w:leader="none" w:pos="9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Supplier shall promptly notify OUTSET of a change in status of Supplier’s compliance with any of the representations, warranties or covenants set forth in this Section 7)(n).</w:t>
      </w:r>
    </w:p>
    <w:p>
      <w:pPr>
        <w:spacing w:after="0" w:line="159"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Disclaimer</w:t>
      </w:r>
      <w:r>
        <w:rPr>
          <w:rFonts w:ascii="Times New Roman" w:cs="Times New Roman" w:eastAsia="Times New Roman" w:hAnsi="Times New Roman"/>
          <w:sz w:val="20"/>
          <w:szCs w:val="20"/>
          <w:color w:val="auto"/>
        </w:rPr>
        <w:t>. EXCEPT AS SET FORTH IN THIS AGREEMENT, EACH PARTY DISCLAIMS ALL WARRANTIES, EXPRESS OR IMPLIED, INCLUDING ANY IMPLIED WARRANTIES OF MERCHANTABILITY OR FITNESS FOR A PARTICULAR PURPOSE.</w:t>
      </w:r>
    </w:p>
    <w:p>
      <w:pPr>
        <w:spacing w:after="0" w:line="170"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Marks.</w:t>
      </w:r>
      <w:r>
        <w:rPr>
          <w:rFonts w:ascii="Times New Roman" w:cs="Times New Roman" w:eastAsia="Times New Roman" w:hAnsi="Times New Roman"/>
          <w:sz w:val="20"/>
          <w:szCs w:val="20"/>
          <w:color w:val="auto"/>
        </w:rPr>
        <w:t xml:space="preserve"> The packaging of the Products Supplied under this Agreement shall bear the Marks in accordance with the Specifications. Upon OUTSET’s request, Supplier shall provide OUTSET with samples of all of Supplier-prepared materials referencing the Copyrights or Marks. Supplier shall not move, obscure, deface, alter, add or overlay any labels, statements or other markings placed on the Products in a manner not specified in the Specifications.</w:t>
      </w:r>
    </w:p>
    <w:p>
      <w:pPr>
        <w:spacing w:after="0" w:line="179"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 Grant and Restrictions</w:t>
      </w:r>
      <w:r>
        <w:rPr>
          <w:rFonts w:ascii="Times New Roman" w:cs="Times New Roman" w:eastAsia="Times New Roman" w:hAnsi="Times New Roman"/>
          <w:sz w:val="20"/>
          <w:szCs w:val="20"/>
          <w:color w:val="auto"/>
        </w:rPr>
        <w:t>. OUTSET grants Supplier a limited, revocable, non-exclusive, non-transferable, and non-sublicensable license, under which Supplier may use the Marks and reproduce the Copyrights solely for the purpose of, and solely as reasonably necessary to, Supply the Products under this Agreement, as required in this Agreement and in the Specifications.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16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9"/>
          <w:szCs w:val="19"/>
          <w:color w:val="auto"/>
        </w:rPr>
        <w:t>Supplier shall abide by OUTSET’s instructions and guidelines for use of the Marks, including the display of Marks on all Product labels and packaging as well as Mark registration symbols and notices. OUTSET reserves all rights in the Marks, Copyrights and other OUTSET Technology not expressly granted in this Agreement, and all associated goodwill. OUTSET acknowledges and agrees that Supplier is not contributing any Supplier Background Technology or other Intellectual Property Rights in Supplying Product to OUTSET hereunder. Supplier and its Affiliates therefore covenant and agree that if Outset manufactures the Products at another facility, Supplier shall have no right to sue or bring any claim against Outset for infringement or misappropriation of Supplier Background Technology or other Intellectual Property Rights in connection with such manufacture of Products.</w:t>
      </w:r>
    </w:p>
    <w:p>
      <w:pPr>
        <w:spacing w:after="0" w:line="172" w:lineRule="exact"/>
        <w:rPr>
          <w:sz w:val="20"/>
          <w:szCs w:val="20"/>
          <w:color w:val="auto"/>
        </w:rPr>
      </w:pPr>
    </w:p>
    <w:p>
      <w:pPr>
        <w:jc w:val="both"/>
        <w:ind w:left="640" w:hanging="520"/>
        <w:spacing w:after="0" w:line="241" w:lineRule="auto"/>
        <w:tabs>
          <w:tab w:leader="none" w:pos="6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OUTSET’s Ownership and Related Matters</w:t>
      </w:r>
      <w:r>
        <w:rPr>
          <w:rFonts w:ascii="Times New Roman" w:cs="Times New Roman" w:eastAsia="Times New Roman" w:hAnsi="Times New Roman"/>
          <w:sz w:val="20"/>
          <w:szCs w:val="20"/>
          <w:color w:val="auto"/>
        </w:rPr>
        <w:t>. Outset shall retain all right, title and interest in and to its background intellectual property, including the Specifications, the designs and design files for the Products and all components thereof, and all data, information, know how, processes and methods relating to the Products. As between the Parties, OUTSET is the owner of all OUTSET Technology, including rights in and to the Marks and Copyrights and all other Intellectual Property Rights associated therewith. Nothing in this Agreement confers or conveys any ownership interest to Supplier in any OUTSET Technology in any medium or format now in existence or hereafter developed. The use of any Marks or Copyrights or other OUTSET Technology, directly or indirectly, by Supplier, any Affiliate of Supplier or any subcontractor, inures solely to the benefit of OUTSET and the other applicable OUTSET Entities. OUTSET Entities shall have the sole right to pursue and secure Intellectual Property Right protection for any OUTSET Technology as may be available worldwide. Upon termination of this Agreement for any reason, Supplier shall immediately discontinue all uses of the Marks and Copyrights, and all rights granted to Supplier in and to the Marks and Copyrights automatically and immediately revert to OUTSET. Supplier shall not use any other word, trademark, service mark, brand name, trade name, design, logo, or the like, or register or obtain a license to any domain name that is similar to or may be confusingly similar to the Marks. Supplier shall not contest or deny the validity of the Marks or OUTSET’s proprietary interest in the Marks. If Supplier learns of any actual or intended infringement, simulation or imitation of the Marks by any Person that has not been granted the right to use the Marks by OUTSET, Supplier shall notify OUTSET in writing promptly after discovery.</w:t>
      </w:r>
    </w:p>
    <w:p>
      <w:pPr>
        <w:spacing w:after="0" w:line="193" w:lineRule="exact"/>
        <w:rPr>
          <w:rFonts w:ascii="Times New Roman" w:cs="Times New Roman" w:eastAsia="Times New Roman" w:hAnsi="Times New Roman"/>
          <w:sz w:val="20"/>
          <w:szCs w:val="20"/>
          <w:color w:val="auto"/>
        </w:rPr>
      </w:pPr>
    </w:p>
    <w:p>
      <w:pPr>
        <w:jc w:val="both"/>
        <w:ind w:left="640" w:hanging="520"/>
        <w:spacing w:after="0" w:line="244" w:lineRule="auto"/>
        <w:tabs>
          <w:tab w:leader="none" w:pos="6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 Improvements.</w:t>
      </w:r>
      <w:r>
        <w:rPr>
          <w:rFonts w:ascii="Times New Roman" w:cs="Times New Roman" w:eastAsia="Times New Roman" w:hAnsi="Times New Roman"/>
          <w:sz w:val="20"/>
          <w:szCs w:val="20"/>
          <w:color w:val="auto"/>
        </w:rPr>
        <w:t xml:space="preserve"> Outset shall own all discoveries, inventions, modifications, improvements or developments made to or in connection with the Products as a result of the activities under this Agreement, whether invented or developed by or on behalf of either Party individually or by the Parties together (the “</w:t>
      </w:r>
      <w:r>
        <w:rPr>
          <w:rFonts w:ascii="Times New Roman" w:cs="Times New Roman" w:eastAsia="Times New Roman" w:hAnsi="Times New Roman"/>
          <w:sz w:val="20"/>
          <w:szCs w:val="20"/>
          <w:b w:val="1"/>
          <w:bCs w:val="1"/>
          <w:i w:val="1"/>
          <w:iCs w:val="1"/>
          <w:color w:val="auto"/>
        </w:rPr>
        <w:t>Product Improvements</w:t>
      </w:r>
      <w:r>
        <w:rPr>
          <w:rFonts w:ascii="Times New Roman" w:cs="Times New Roman" w:eastAsia="Times New Roman" w:hAnsi="Times New Roman"/>
          <w:sz w:val="20"/>
          <w:szCs w:val="20"/>
          <w:color w:val="auto"/>
        </w:rPr>
        <w:t>”). Notwithstanding the foregoing, Product Improvements shall not include any inventions, discoveries, improvements arising from activities under this Agreement that relate to manufacturing processes generally or are improvements to Supplier’s manufacturing technology and are not specifically related to the Products. Supplier shall assign and hereby assigns all rights in Product Improvements to OUTSET and agrees to take all actions necessary to perfect such assignment of Product Inventions to OUTSET.</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Specifications, Provision of Artwork and Copy, and Inserts, Materials and Claims</w:t>
      </w:r>
      <w:r>
        <w:rPr>
          <w:rFonts w:ascii="Times New Roman" w:cs="Times New Roman" w:eastAsia="Times New Roman" w:hAnsi="Times New Roman"/>
          <w:sz w:val="20"/>
          <w:szCs w:val="20"/>
          <w:color w:val="auto"/>
        </w:rPr>
        <w:t>. Supplier shall label and package the Products before shipment to OUTSET using artwork, copy, packaging and labeling in accordance with the Specifications. OUTSET shall provide all artwork and copy needed for such packaging and labeling. The packaging of the Products may only include inserts, materials and Product claims that are approved by OUTSET in advance and in writing.</w:t>
      </w:r>
    </w:p>
    <w:p>
      <w:pPr>
        <w:spacing w:after="0" w:line="179" w:lineRule="exact"/>
        <w:rPr>
          <w:rFonts w:ascii="Times New Roman" w:cs="Times New Roman" w:eastAsia="Times New Roman" w:hAnsi="Times New Roman"/>
          <w:sz w:val="20"/>
          <w:szCs w:val="20"/>
          <w:color w:val="auto"/>
        </w:rPr>
      </w:pPr>
    </w:p>
    <w:p>
      <w:pPr>
        <w:ind w:left="640" w:hanging="520"/>
        <w:spacing w:after="0" w:line="269" w:lineRule="auto"/>
        <w:tabs>
          <w:tab w:leader="none" w:pos="6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OUTSET Technology</w:t>
      </w:r>
      <w:r>
        <w:rPr>
          <w:rFonts w:ascii="Times New Roman" w:cs="Times New Roman" w:eastAsia="Times New Roman" w:hAnsi="Times New Roman"/>
          <w:sz w:val="20"/>
          <w:szCs w:val="20"/>
          <w:color w:val="auto"/>
        </w:rPr>
        <w:t>. Supplier shall have the limited, revocable right during the Term to make, have made, or use, including the right to sublicense (subject to confidentiality restrictions</w:t>
      </w: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17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960"/>
        <w:spacing w:after="0" w:line="269" w:lineRule="auto"/>
        <w:rPr>
          <w:sz w:val="20"/>
          <w:szCs w:val="20"/>
          <w:color w:val="auto"/>
        </w:rPr>
      </w:pPr>
      <w:r>
        <w:rPr>
          <w:rFonts w:ascii="Times New Roman" w:cs="Times New Roman" w:eastAsia="Times New Roman" w:hAnsi="Times New Roman"/>
          <w:sz w:val="20"/>
          <w:szCs w:val="20"/>
          <w:color w:val="auto"/>
        </w:rPr>
        <w:t>consistent with the terms of this Agreement), OUTSET Technology solely to the extent reasonably necessary and solely for the purpose of providing Services or Supplying Products under this Agreement.</w:t>
      </w:r>
    </w:p>
    <w:p>
      <w:pPr>
        <w:spacing w:after="0" w:line="159" w:lineRule="exact"/>
        <w:rPr>
          <w:sz w:val="20"/>
          <w:szCs w:val="20"/>
          <w:color w:val="auto"/>
        </w:rPr>
      </w:pPr>
    </w:p>
    <w:p>
      <w:pPr>
        <w:jc w:val="both"/>
        <w:ind w:left="960" w:hanging="520"/>
        <w:spacing w:after="0" w:line="243" w:lineRule="auto"/>
        <w:tabs>
          <w:tab w:leader="none" w:pos="9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Non-Exclusive License to Supplier Background Technology</w:t>
      </w:r>
      <w:r>
        <w:rPr>
          <w:rFonts w:ascii="Times New Roman" w:cs="Times New Roman" w:eastAsia="Times New Roman" w:hAnsi="Times New Roman"/>
          <w:sz w:val="20"/>
          <w:szCs w:val="20"/>
          <w:color w:val="auto"/>
        </w:rPr>
        <w:t>. OUTSET acknowledges and agrees that Supplier is not performing any development services or contributing any Supplier Background Technology or any Intellectual Property Rights in connection with the Supply of Products. Notwithstanding the foregoing, Supplier hereby grants the OUTSET Entities a royalty-free, perpetual, irrevocable, worldwide, transferable, sublicensable, non-exclusive license under all Supplier Background Technology to the extent necessary to , use(to any OUTSET Entity and any employee, contractor, representative or agent thereof) and sell, or offer for sale the Products Supplied to any OUTSET Entity under this Agreement, or to authorize third parties to do so on OUTSET’s behalf. The foregoing licenses to Supplier Background Technology under this Section 9(h) shall survive the expiration or other termination of this Agreement for any reason.</w:t>
      </w:r>
    </w:p>
    <w:p>
      <w:pPr>
        <w:spacing w:after="0" w:line="189"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Except as expressly set forth in the Supply Agreement, nothing in this Agreement or any Purchase Order grants to a Party (whether directly, indirectly, or by implication, estoppel or otherwise) any rights to any Intellectual Property Rights owned by or licensed to the other Party.</w:t>
      </w:r>
    </w:p>
    <w:p>
      <w:pPr>
        <w:spacing w:after="0" w:line="174"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960" w:hanging="520"/>
        <w:spacing w:after="0" w:line="269" w:lineRule="auto"/>
        <w:tabs>
          <w:tab w:leader="none" w:pos="9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w:t>
      </w:r>
      <w:r>
        <w:rPr>
          <w:rFonts w:ascii="Times New Roman" w:cs="Times New Roman" w:eastAsia="Times New Roman" w:hAnsi="Times New Roman"/>
          <w:sz w:val="20"/>
          <w:szCs w:val="20"/>
          <w:color w:val="auto"/>
        </w:rPr>
        <w:t>. OUTSET Entities shall have the exclusive right to secure copyright, trademark, patent, design and other intellectual property protection for any Product as may be available worldwide.</w:t>
      </w:r>
    </w:p>
    <w:p>
      <w:pPr>
        <w:spacing w:after="0" w:line="159" w:lineRule="exact"/>
        <w:rPr>
          <w:rFonts w:ascii="Times New Roman" w:cs="Times New Roman" w:eastAsia="Times New Roman" w:hAnsi="Times New Roman"/>
          <w:sz w:val="20"/>
          <w:szCs w:val="20"/>
          <w:color w:val="auto"/>
        </w:rPr>
      </w:pPr>
    </w:p>
    <w:p>
      <w:pPr>
        <w:jc w:val="both"/>
        <w:ind w:left="960" w:hanging="520"/>
        <w:spacing w:after="0" w:line="249" w:lineRule="auto"/>
        <w:tabs>
          <w:tab w:leader="none" w:pos="9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OUTSET Entities shall have all rights and remedies set forth in Section 365(n) (or similar or successor provisions) of the U.S. Bankruptcy Code, subject to and in accordance with the terms thereof, and the Parties agree that any rights licensed to OUTSET Entities under this Section 7)(n) shall be deemed to fall within the definition of “intellectual property” under Section 101 of the U.S. Bankruptcy Code (or similar or successor provisions)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RECORDS AND AUDITS</w:t>
      </w:r>
    </w:p>
    <w:p>
      <w:pPr>
        <w:spacing w:after="0" w:line="215" w:lineRule="exact"/>
        <w:rPr>
          <w:rFonts w:ascii="Times New Roman" w:cs="Times New Roman" w:eastAsia="Times New Roman" w:hAnsi="Times New Roman"/>
          <w:sz w:val="20"/>
          <w:szCs w:val="20"/>
          <w:color w:val="auto"/>
        </w:rPr>
      </w:pPr>
    </w:p>
    <w:p>
      <w:pPr>
        <w:ind w:left="960" w:hanging="520"/>
        <w:spacing w:after="0" w:line="273" w:lineRule="auto"/>
        <w:tabs>
          <w:tab w:leader="none" w:pos="96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Open Book Policy. </w:t>
      </w:r>
      <w:r>
        <w:rPr>
          <w:rFonts w:ascii="Times New Roman" w:cs="Times New Roman" w:eastAsia="Times New Roman" w:hAnsi="Times New Roman"/>
          <w:sz w:val="20"/>
          <w:szCs w:val="20"/>
          <w:color w:val="auto"/>
        </w:rPr>
        <w:t>Supplier will maintain an open book approach in relation to the Agreement to enable Outset to monitor,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scrutinize and verify the accuracy of all amounts invoiced to Outset under this Agreement in accordance with this Section 10.</w:t>
      </w:r>
    </w:p>
    <w:p>
      <w:pPr>
        <w:spacing w:after="0" w:line="155" w:lineRule="exact"/>
        <w:rPr>
          <w:rFonts w:ascii="Times New Roman" w:cs="Times New Roman" w:eastAsia="Times New Roman" w:hAnsi="Times New Roman"/>
          <w:sz w:val="20"/>
          <w:szCs w:val="20"/>
          <w:color w:val="auto"/>
        </w:rPr>
      </w:pPr>
    </w:p>
    <w:p>
      <w:pPr>
        <w:jc w:val="both"/>
        <w:ind w:left="960" w:hanging="520"/>
        <w:spacing w:after="0" w:line="244" w:lineRule="auto"/>
        <w:tabs>
          <w:tab w:leader="none" w:pos="96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of Records</w:t>
      </w:r>
      <w:r>
        <w:rPr>
          <w:rFonts w:ascii="Times New Roman" w:cs="Times New Roman" w:eastAsia="Times New Roman" w:hAnsi="Times New Roman"/>
          <w:sz w:val="20"/>
          <w:szCs w:val="20"/>
          <w:color w:val="auto"/>
        </w:rPr>
        <w:t>. Supplier shall maintain complete and accurate books and records (i) regarding all financial matters under this Agreement in accordance with generally accepted accounting practices, including detailed substantiation of all fees; and (ii) reasonably necessary to demonstrate compliance with the requirements of this Agreement, in each case during the Term and for a period of at least [***] years following the date of termination or expiration of this Agreement and for any additional time required by applicable Law or Government Authority (“</w:t>
      </w:r>
      <w:r>
        <w:rPr>
          <w:rFonts w:ascii="Times New Roman" w:cs="Times New Roman" w:eastAsia="Times New Roman" w:hAnsi="Times New Roman"/>
          <w:sz w:val="20"/>
          <w:szCs w:val="20"/>
          <w:b w:val="1"/>
          <w:bCs w:val="1"/>
          <w:i w:val="1"/>
          <w:iCs w:val="1"/>
          <w:color w:val="auto"/>
        </w:rPr>
        <w:t>Retention Period</w:t>
      </w:r>
      <w:r>
        <w:rPr>
          <w:rFonts w:ascii="Times New Roman" w:cs="Times New Roman" w:eastAsia="Times New Roman" w:hAnsi="Times New Roman"/>
          <w:sz w:val="20"/>
          <w:szCs w:val="20"/>
          <w:color w:val="auto"/>
        </w:rPr>
        <w:t>”); provided, however, that in the event of any dispute arising with respect to this Agreement, the Retention Period shall last until the resolution of the dispute becomes final and non-appealable and all obligations of the Parties are fully satisfied.</w:t>
      </w:r>
    </w:p>
    <w:p>
      <w:pPr>
        <w:spacing w:after="0" w:line="185" w:lineRule="exact"/>
        <w:rPr>
          <w:rFonts w:ascii="Times New Roman" w:cs="Times New Roman" w:eastAsia="Times New Roman" w:hAnsi="Times New Roman"/>
          <w:sz w:val="20"/>
          <w:szCs w:val="20"/>
          <w:color w:val="auto"/>
        </w:rPr>
      </w:pPr>
    </w:p>
    <w:p>
      <w:pPr>
        <w:ind w:left="960" w:hanging="520"/>
        <w:spacing w:after="0" w:line="269" w:lineRule="auto"/>
        <w:tabs>
          <w:tab w:leader="none" w:pos="96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Audits</w:t>
      </w:r>
      <w:r>
        <w:rPr>
          <w:rFonts w:ascii="Times New Roman" w:cs="Times New Roman" w:eastAsia="Times New Roman" w:hAnsi="Times New Roman"/>
          <w:sz w:val="20"/>
          <w:szCs w:val="20"/>
          <w:color w:val="auto"/>
        </w:rPr>
        <w:t>. OUTSET or its designee has the right, but not the obligation, during the Retention Period, to audit and inspect, during normal business hours and with reasonable Notice to Supplier,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18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0"/>
          <w:szCs w:val="20"/>
          <w:color w:val="auto"/>
        </w:rPr>
        <w:t>Supplier’s facilities, books, records and any other documents related to the Products in a date and time mutually agreed to by the Parties. Such audit right may be exercised no more than [***] in each calendar year unless [***]. Supplier shall reasonably cooperate in any such audit or inspection. During the Retention Period, and upon Supplier’s agreement to disclose financial records and/or proprietary business information, Supplier shall make its books and records, and external audit opinions, letters, statements and reports (e.g., SOC 2 and ISO certification) relating to Supplier’s provision of the Products and Services available for inspection by OUTSET or its authorized representatives, and if agreed by Supplier may have the right to make copies on Supplier’s premises or take any of these materials to an offsite location for the sole purpose of copying them.</w:t>
      </w:r>
    </w:p>
    <w:p>
      <w:pPr>
        <w:spacing w:after="0" w:line="186" w:lineRule="exact"/>
        <w:rPr>
          <w:sz w:val="20"/>
          <w:szCs w:val="20"/>
          <w:color w:val="auto"/>
        </w:rPr>
      </w:pPr>
    </w:p>
    <w:p>
      <w:pPr>
        <w:jc w:val="both"/>
        <w:ind w:left="960" w:hanging="520"/>
        <w:spacing w:after="0" w:line="249" w:lineRule="auto"/>
        <w:tabs>
          <w:tab w:leader="none" w:pos="96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Overcharge</w:t>
      </w:r>
      <w:r>
        <w:rPr>
          <w:rFonts w:ascii="Times New Roman" w:cs="Times New Roman" w:eastAsia="Times New Roman" w:hAnsi="Times New Roman"/>
          <w:sz w:val="20"/>
          <w:szCs w:val="20"/>
          <w:color w:val="auto"/>
        </w:rPr>
        <w:t>. If an auditor determines that Supplier overcharged OUTSET with a reasonable description of the overcharge, Supplier shall pay to OUTSET the amount of the overcharge. OUTSET shall pay its own costs of the audit unless the aggregate overcharge exceeds [***] percent ([***]%) of the correct amount owed during such audit period, in which case Supplier shall pay OUTSET’s reasonable and documented costs of the audit.</w:t>
      </w:r>
    </w:p>
    <w:p>
      <w:pPr>
        <w:spacing w:after="0" w:line="17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RECALLS</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44" w:lineRule="auto"/>
        <w:tabs>
          <w:tab w:leader="none" w:pos="9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 and Reimbursement</w:t>
      </w:r>
      <w:r>
        <w:rPr>
          <w:rFonts w:ascii="Times New Roman" w:cs="Times New Roman" w:eastAsia="Times New Roman" w:hAnsi="Times New Roman"/>
          <w:sz w:val="20"/>
          <w:szCs w:val="20"/>
          <w:color w:val="auto"/>
        </w:rPr>
        <w:t>. In the event that any Product (or any product incorporating a Product) is recalled, withdrawn or field corrected, Supplier shall fully cooperate with OUTSET in connection with such recall, withdrawal, or field correction. If such recall, withdrawal or field correction is caused by Supplier’s breach of any of the terms or conditions set forth in this Agreement, Supplier shall reimburse OUTSET for (i) all Products and/or all Products incorporated into the recalled, withdrawn or field-corrected product; (ii) all direct costs associated with Supplying the recalled, withdrawn or field-corrected product, including formulation, packaging and distribution expenses; and (iii) all expenses incurred in connection with such recall, withdrawal or field correction which shall not exceed [***].</w:t>
      </w:r>
    </w:p>
    <w:p>
      <w:pPr>
        <w:spacing w:after="0" w:line="185" w:lineRule="exact"/>
        <w:rPr>
          <w:rFonts w:ascii="Times New Roman" w:cs="Times New Roman" w:eastAsia="Times New Roman" w:hAnsi="Times New Roman"/>
          <w:sz w:val="20"/>
          <w:szCs w:val="20"/>
          <w:color w:val="auto"/>
        </w:rPr>
      </w:pPr>
    </w:p>
    <w:p>
      <w:pPr>
        <w:jc w:val="both"/>
        <w:ind w:left="960" w:hanging="520"/>
        <w:spacing w:after="0" w:line="263" w:lineRule="auto"/>
        <w:tabs>
          <w:tab w:leader="none" w:pos="96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Recall, Withdrawal, and/or Deletion Decisions. Supplier shall abide by all decisions of OUTSET to recall, withdraw, field correct or delete Products (or any product incorporating a Product). Supplier shall not disclose to any third party any information regarding such decisions or contemplation of such decisions without OUTSET’s prior written consent. Supplier shall not voluntarily initiate any recall of the Products without OUTSET’s prior written consent. Supplier shall immediately notify and provide copies to OUTSET of any communications, whether relating to recalls or otherwise, with any Government Authority.</w:t>
      </w:r>
    </w:p>
    <w:p>
      <w:pPr>
        <w:spacing w:after="0" w:line="162" w:lineRule="exact"/>
        <w:rPr>
          <w:rFonts w:ascii="Times New Roman" w:cs="Times New Roman" w:eastAsia="Times New Roman" w:hAnsi="Times New Roman"/>
          <w:sz w:val="19"/>
          <w:szCs w:val="19"/>
          <w:color w:val="auto"/>
        </w:rPr>
      </w:pPr>
    </w:p>
    <w:p>
      <w:pPr>
        <w:ind w:left="440" w:hanging="432"/>
        <w:spacing w:after="0"/>
        <w:tabs>
          <w:tab w:leader="none" w:pos="4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CLAIMS AND LOSSES AND LIMITATION OF LIABILITY</w:t>
      </w:r>
    </w:p>
    <w:p>
      <w:pPr>
        <w:spacing w:after="0" w:line="215" w:lineRule="exact"/>
        <w:rPr>
          <w:rFonts w:ascii="Times New Roman" w:cs="Times New Roman" w:eastAsia="Times New Roman" w:hAnsi="Times New Roman"/>
          <w:sz w:val="20"/>
          <w:szCs w:val="20"/>
          <w:color w:val="auto"/>
        </w:rPr>
      </w:pPr>
    </w:p>
    <w:p>
      <w:pPr>
        <w:ind w:left="960" w:hanging="520"/>
        <w:spacing w:after="0" w:line="273" w:lineRule="auto"/>
        <w:tabs>
          <w:tab w:leader="none" w:pos="9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means any claim, demand, proceeding, suit or action brought by any Third Party, and the term “</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means any losses, damages, liabilities, judgments, costs or expenses (including reasonable attorneys’ fees).</w:t>
      </w:r>
    </w:p>
    <w:p>
      <w:pPr>
        <w:spacing w:after="0" w:line="155" w:lineRule="exact"/>
        <w:rPr>
          <w:rFonts w:ascii="Times New Roman" w:cs="Times New Roman" w:eastAsia="Times New Roman" w:hAnsi="Times New Roman"/>
          <w:sz w:val="20"/>
          <w:szCs w:val="20"/>
          <w:color w:val="auto"/>
        </w:rPr>
      </w:pPr>
    </w:p>
    <w:p>
      <w:pPr>
        <w:jc w:val="both"/>
        <w:ind w:left="960" w:hanging="520"/>
        <w:spacing w:after="0" w:line="245" w:lineRule="auto"/>
        <w:tabs>
          <w:tab w:leader="none" w:pos="96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shall defend, indemnify and hold harmless OUTSET and its Affiliates and its and their respective members, directors, officers, and employees, (each, a “</w:t>
      </w:r>
      <w:r>
        <w:rPr>
          <w:rFonts w:ascii="Times New Roman" w:cs="Times New Roman" w:eastAsia="Times New Roman" w:hAnsi="Times New Roman"/>
          <w:sz w:val="20"/>
          <w:szCs w:val="20"/>
          <w:b w:val="1"/>
          <w:bCs w:val="1"/>
          <w:i w:val="1"/>
          <w:iCs w:val="1"/>
          <w:color w:val="auto"/>
        </w:rPr>
        <w:t>OUTSET Indemnified Party</w:t>
      </w:r>
      <w:r>
        <w:rPr>
          <w:rFonts w:ascii="Times New Roman" w:cs="Times New Roman" w:eastAsia="Times New Roman" w:hAnsi="Times New Roman"/>
          <w:sz w:val="20"/>
          <w:szCs w:val="20"/>
          <w:color w:val="auto"/>
        </w:rPr>
        <w:t>”), from and against any Claim, and any associated Losses, to the extent arising from Supplier’s defective products: (i) any Nonconformity or other defects or failure of the Product to conform with the Specifications; (ii) Supplier’s [***]. Supplier shall not be responsible for any Claims or Losses to the extent that such Claims or Losses are due to the negligence or willful misconduct of OUTSET. Supplier shall defend OUTSET, at OUTSET’s request, against any such Claim in accordance with Section 12(e)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19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hanging="520"/>
        <w:spacing w:after="0" w:line="244" w:lineRule="auto"/>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OUTSET shall defend, indemnify and hold harmless Supplier, its Affiliates, and its and their respective members, directors, officers, and employees (each, a “</w:t>
      </w:r>
      <w:r>
        <w:rPr>
          <w:rFonts w:ascii="Times New Roman" w:cs="Times New Roman" w:eastAsia="Times New Roman" w:hAnsi="Times New Roman"/>
          <w:sz w:val="20"/>
          <w:szCs w:val="20"/>
          <w:b w:val="1"/>
          <w:bCs w:val="1"/>
          <w:i w:val="1"/>
          <w:iCs w:val="1"/>
          <w:color w:val="auto"/>
        </w:rPr>
        <w:t>Supplier Indemnified Party</w:t>
      </w:r>
      <w:r>
        <w:rPr>
          <w:rFonts w:ascii="Times New Roman" w:cs="Times New Roman" w:eastAsia="Times New Roman" w:hAnsi="Times New Roman"/>
          <w:sz w:val="20"/>
          <w:szCs w:val="20"/>
          <w:color w:val="auto"/>
        </w:rPr>
        <w:t>”), from and against any Claim, and any associated Losses, to the extent arising out of or resulting from (i) the [***] of any OUTSET Indemnified Party [***] and (ii) any infringement, alleged infringement, or misappropriation of any intellectual property rights of any third party if the Products have been manufactured in accordance with the specifications provided to Supplier by OUTSET. OUTSET shall not be responsible for any Claims or Losses to the extent that such Claims or Losses are due to any matter for which Supplier is required to indemnify OUTSET under Section 12(b) above.”</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3" w:lineRule="auto"/>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and not in lieu of Supplier’s obligations in this Agreement, should the Products, or their Supply, or any Services become the subject of a Claim of actual or alleged infringement or violation of any Intellectual Property Rights or proprietary rights, Supplier shall to the extent commercially feasible modify or replace the Products or Services at OUTSET’s expense, as applicable, to eliminate any Claim; provided that the modification or replacement is functionally equivalent to the modified or replaced Product or Service and successfully Validated. If Supplier cannot or does not promptly do any of the foregoing, then OUTSET may terminate this Agreement in accordance with section 13 of this Agreement upon written notice to Supplier, and Outset shall reimburse Supplier for any finished goods, work in process, and material in stock or on order for the terminated portion of work. .</w:t>
      </w:r>
    </w:p>
    <w:p>
      <w:pPr>
        <w:spacing w:after="0" w:line="189"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indemnification procedure for any Claim is set forth below.</w:t>
      </w:r>
    </w:p>
    <w:p>
      <w:pPr>
        <w:spacing w:after="0" w:line="215" w:lineRule="exact"/>
        <w:rPr>
          <w:rFonts w:ascii="Times New Roman" w:cs="Times New Roman" w:eastAsia="Times New Roman" w:hAnsi="Times New Roman"/>
          <w:sz w:val="20"/>
          <w:szCs w:val="20"/>
          <w:color w:val="auto"/>
        </w:rPr>
      </w:pPr>
    </w:p>
    <w:p>
      <w:pPr>
        <w:jc w:val="both"/>
        <w:ind w:left="1060" w:hanging="427"/>
        <w:spacing w:after="0" w:line="244" w:lineRule="auto"/>
        <w:tabs>
          <w:tab w:leader="none" w:pos="1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Indemnified Party must give the indemnifying Party prompt written Notice of a Claim; provided, however, that failure to give prompt written Notice does not relieve the indemnifying Party from its indemnification obligations under this Agreement unless the defense of the Claim is materially prejudiced by the failure. When a Party receives Notice of a Claim from an Indemnified Party, if the Indemnified Party requests such defense, the indemnifying Party, at its sole cost and expense, shall assume the defense of the Claim by representatives chosen by such Party. The Indemnified Party may participate in the defense of any such Claim and employ counsel at its own expense to assist in the defense of the Claim, subject to the indemnifying Party retaining final authority and control over the conduct of the defense.</w:t>
      </w:r>
    </w:p>
    <w:p>
      <w:pPr>
        <w:spacing w:after="0" w:line="185" w:lineRule="exact"/>
        <w:rPr>
          <w:rFonts w:ascii="Times New Roman" w:cs="Times New Roman" w:eastAsia="Times New Roman" w:hAnsi="Times New Roman"/>
          <w:sz w:val="20"/>
          <w:szCs w:val="20"/>
          <w:color w:val="auto"/>
        </w:rPr>
      </w:pPr>
    </w:p>
    <w:p>
      <w:pPr>
        <w:jc w:val="both"/>
        <w:ind w:left="1060" w:hanging="427"/>
        <w:spacing w:after="0" w:line="243" w:lineRule="auto"/>
        <w:tabs>
          <w:tab w:leader="none" w:pos="1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indemnifying Party’s defense attorneys must be reasonably experienced and qualified in the areas of litigation applicable to the defense. The indemnifying Party has the right to assert any defenses, causes of action or counterclaims arising from the subject of the Claim available to the Indemnified Party and also has the right to settle the Claim, subject to the Indemnified Party’s prior written consent to the extent such settlement affects the rights or obligations of the Indemnified Party, which consent shall not be unreasonably withheld, conditioned or delayed. The Indemnified Party shall provide the indemnifying Party with reasonable assistance, at the indemnifying Party’s expense, as may be reasonably requested by the indemnifying Party in connection with any defense, including providing the indemnifying Party with information, documents, records and reasonable access to the Indemnified Party as the indemnifying Party reasonably deems necessary.</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VIOLATION OF APPLICABLE LAW, ANY BREACH OF CONFIDENTIALITY OBLIGATIONS AND/OR GROSS NEGLIGENCE OR WILLFUL MISCONDUCT, NEITHER PARTY SHALL BE LIABLE TO THE OTHER PARTY FOR ANY CONSEQUENTIAL, INDIRECT, INCIDENTAL, PUNITIVE OR SPECIAL DAMAGES, INCLUDING WITHOUT LIMITATION, LOSS OF USE, LOSS OF PROFIT AND CLAIMS OF</w:t>
      </w: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20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spacing w:after="0" w:line="246" w:lineRule="auto"/>
        <w:rPr>
          <w:sz w:val="20"/>
          <w:szCs w:val="20"/>
          <w:color w:val="auto"/>
        </w:rPr>
      </w:pPr>
      <w:r>
        <w:rPr>
          <w:rFonts w:ascii="Times New Roman" w:cs="Times New Roman" w:eastAsia="Times New Roman" w:hAnsi="Times New Roman"/>
          <w:sz w:val="20"/>
          <w:szCs w:val="20"/>
          <w:color w:val="auto"/>
        </w:rPr>
        <w:t>THIRD PARTIES REGARDLESS OF THE BASIS OF THE CLAIM OR WHETHER ADVISED OF THE POSSIBILITY OF SUCH DAMAGES. NOTWITHSTANDING THE FOREGOING OR ANY OTHER PROVISION TO THE CONTRARY HEREIN OR IN ANY PURCHASE ORDER, OR OTHERWISE, BOTH PARTY’S LIABILITY UNDER THIS AGREEMENT SHALL BE LIMITED TO EITHER (i) THE PAST TWELVE (12) MONTHS OF PURCHASE ORDERS DELIVERED UNDER THIS AGREEMENT OR, (ii) FIVE (5) MILLION DOLLARS, WHICHEVER IS LESS.</w:t>
      </w:r>
    </w:p>
    <w:p>
      <w:pPr>
        <w:spacing w:after="0" w:line="181" w:lineRule="exact"/>
        <w:rPr>
          <w:sz w:val="20"/>
          <w:szCs w:val="20"/>
          <w:color w:val="auto"/>
        </w:rPr>
      </w:pPr>
    </w:p>
    <w:p>
      <w:pPr>
        <w:ind w:left="440" w:hanging="432"/>
        <w:spacing w:after="0"/>
        <w:tabs>
          <w:tab w:leader="none" w:pos="4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50" w:lineRule="auto"/>
        <w:tabs>
          <w:tab w:leader="none" w:pos="96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initial term of this Agreement begins on the Effective Date and ends on May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2022 (the “</w:t>
      </w:r>
      <w:r>
        <w:rPr>
          <w:rFonts w:ascii="Times New Roman" w:cs="Times New Roman" w:eastAsia="Times New Roman" w:hAnsi="Times New Roman"/>
          <w:sz w:val="20"/>
          <w:szCs w:val="20"/>
          <w:b w:val="1"/>
          <w:bCs w:val="1"/>
          <w:i w:val="1"/>
          <w:i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OUTSET may, upon written agreement with Supplier, renew this Agreement for successive two (2) year terms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providing at least [***] prior written Notice to Supplier (each, a “</w:t>
      </w:r>
      <w:r>
        <w:rPr>
          <w:rFonts w:ascii="Times New Roman" w:cs="Times New Roman" w:eastAsia="Times New Roman" w:hAnsi="Times New Roman"/>
          <w:sz w:val="20"/>
          <w:szCs w:val="20"/>
          <w:b w:val="1"/>
          <w:bCs w:val="1"/>
          <w:i w:val="1"/>
          <w:iCs w:val="1"/>
          <w:color w:val="auto"/>
        </w:rPr>
        <w:t>Renewal Term</w:t>
      </w:r>
      <w:r>
        <w:rPr>
          <w:rFonts w:ascii="Times New Roman" w:cs="Times New Roman" w:eastAsia="Times New Roman" w:hAnsi="Times New Roman"/>
          <w:sz w:val="20"/>
          <w:szCs w:val="20"/>
          <w:color w:val="auto"/>
        </w:rPr>
        <w:t>”; the Renewal Terms and the Initial Term, collectively being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The Parties shall mutually agree on the Supply Price for each Renewal Term.</w:t>
      </w:r>
    </w:p>
    <w:p>
      <w:pPr>
        <w:spacing w:after="0" w:line="179"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80" w:hanging="427"/>
        <w:spacing w:after="0" w:line="244" w:lineRule="auto"/>
        <w:tabs>
          <w:tab w:leader="none" w:pos="138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Insolvency</w:t>
      </w:r>
      <w:r>
        <w:rPr>
          <w:rFonts w:ascii="Times New Roman" w:cs="Times New Roman" w:eastAsia="Times New Roman" w:hAnsi="Times New Roman"/>
          <w:sz w:val="20"/>
          <w:szCs w:val="20"/>
          <w:color w:val="auto"/>
        </w:rPr>
        <w:t>. If either Party is adjudged insolvent or bankrupt, or upon the institution of any proceedings by a Party seeking relief, reorganization or arrangement under any Laws relating to insolvency, or if an involuntary petition in bankruptcy is filed against a Party and the petition is not discharged within [***] days after filing, or upon any assignment for the benefit of a Party’s creditors, or upon the appointment of a receiver, liquidator or trustee of any of a Party’s assets, or upon the liquidation, dissolution or winding up of its business (each, an “</w:t>
      </w:r>
      <w:r>
        <w:rPr>
          <w:rFonts w:ascii="Times New Roman" w:cs="Times New Roman" w:eastAsia="Times New Roman" w:hAnsi="Times New Roman"/>
          <w:sz w:val="20"/>
          <w:szCs w:val="20"/>
          <w:b w:val="1"/>
          <w:bCs w:val="1"/>
          <w:i w:val="1"/>
          <w:iCs w:val="1"/>
          <w:color w:val="auto"/>
        </w:rPr>
        <w:t>Event of Bankruptcy</w:t>
      </w:r>
      <w:r>
        <w:rPr>
          <w:rFonts w:ascii="Times New Roman" w:cs="Times New Roman" w:eastAsia="Times New Roman" w:hAnsi="Times New Roman"/>
          <w:sz w:val="20"/>
          <w:szCs w:val="20"/>
          <w:color w:val="auto"/>
        </w:rPr>
        <w:t>”), then the Party affected by any such Event of Bankruptcy must immediately give Notice of the Event of Bankruptcy to the other Party, and, if not prohibited by applicable Law, the other Party may terminate this Agreement by Notice to the affected Party.</w:t>
      </w:r>
    </w:p>
    <w:p>
      <w:pPr>
        <w:spacing w:after="0" w:line="185" w:lineRule="exact"/>
        <w:rPr>
          <w:rFonts w:ascii="Times New Roman" w:cs="Times New Roman" w:eastAsia="Times New Roman" w:hAnsi="Times New Roman"/>
          <w:sz w:val="20"/>
          <w:szCs w:val="20"/>
          <w:color w:val="auto"/>
        </w:rPr>
      </w:pPr>
    </w:p>
    <w:p>
      <w:pPr>
        <w:jc w:val="both"/>
        <w:ind w:left="1380" w:hanging="427"/>
        <w:spacing w:after="0" w:line="244" w:lineRule="auto"/>
        <w:tabs>
          <w:tab w:leader="none" w:pos="138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Breach</w:t>
      </w:r>
      <w:r>
        <w:rPr>
          <w:rFonts w:ascii="Times New Roman" w:cs="Times New Roman" w:eastAsia="Times New Roman" w:hAnsi="Times New Roman"/>
          <w:sz w:val="20"/>
          <w:szCs w:val="20"/>
          <w:color w:val="auto"/>
        </w:rPr>
        <w:t>. If either Party breaches any material provision contained in this Agreement, and the breach is not cured within [***] days after the breaching Party receives Notice of the breach from the non-breaching Party (provided that in the event of a breach by Supplier of Section 3(f) no cure period shall apply), the non-breaching Party may immediately terminate this Agreement by providing a second Notice thereof to the breaching Party. If OUTSET terminates this Agreement under this Section 13(b)(ii), Supplier is not entitled to any compensation for Products not properly provided in accordance with the terms of this Agreement as of the date of OUTSET’s initial Notice to Supplier of breach or in accordance with Section 13(c)(ii) below.</w:t>
      </w:r>
    </w:p>
    <w:p>
      <w:pPr>
        <w:spacing w:after="0" w:line="185" w:lineRule="exact"/>
        <w:rPr>
          <w:rFonts w:ascii="Times New Roman" w:cs="Times New Roman" w:eastAsia="Times New Roman" w:hAnsi="Times New Roman"/>
          <w:sz w:val="20"/>
          <w:szCs w:val="20"/>
          <w:color w:val="auto"/>
        </w:rPr>
      </w:pPr>
    </w:p>
    <w:p>
      <w:pPr>
        <w:jc w:val="both"/>
        <w:ind w:left="1380" w:hanging="427"/>
        <w:spacing w:after="0" w:line="249" w:lineRule="auto"/>
        <w:tabs>
          <w:tab w:leader="none" w:pos="138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Change</w:t>
      </w:r>
      <w:r>
        <w:rPr>
          <w:rFonts w:ascii="Times New Roman" w:cs="Times New Roman" w:eastAsia="Times New Roman" w:hAnsi="Times New Roman"/>
          <w:sz w:val="20"/>
          <w:szCs w:val="20"/>
          <w:color w:val="auto"/>
        </w:rPr>
        <w:t>. This Agreement may be terminated by written Notice thereof given by OUTSET to Supplier, effective upon receipt of the Notice by Supplier (unless otherwise specified), in the following circumstances: (A) if there is any Change of Control of Supplier; or (B) if any Product is not approved or is withdrawn or deleted by any Regulatory Authority or by OUTSET.</w:t>
      </w:r>
    </w:p>
    <w:p>
      <w:pPr>
        <w:spacing w:after="0" w:line="179" w:lineRule="exact"/>
        <w:rPr>
          <w:rFonts w:ascii="Times New Roman" w:cs="Times New Roman" w:eastAsia="Times New Roman" w:hAnsi="Times New Roman"/>
          <w:sz w:val="20"/>
          <w:szCs w:val="20"/>
          <w:color w:val="auto"/>
        </w:rPr>
      </w:pPr>
    </w:p>
    <w:p>
      <w:pPr>
        <w:ind w:left="1380" w:hanging="427"/>
        <w:spacing w:after="0"/>
        <w:tabs>
          <w:tab w:leader="none" w:pos="138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Convenience</w:t>
      </w:r>
      <w:r>
        <w:rPr>
          <w:rFonts w:ascii="Times New Roman" w:cs="Times New Roman" w:eastAsia="Times New Roman" w:hAnsi="Times New Roman"/>
          <w:sz w:val="20"/>
          <w:szCs w:val="20"/>
          <w:color w:val="auto"/>
        </w:rPr>
        <w:t>. This Agreement may be terminated by OUTSET for any reason or no reason, effective upon</w:t>
      </w:r>
    </w:p>
    <w:p>
      <w:pPr>
        <w:spacing w:after="0" w:line="21" w:lineRule="exact"/>
        <w:rPr>
          <w:rFonts w:ascii="Times New Roman" w:cs="Times New Roman" w:eastAsia="Times New Roman" w:hAnsi="Times New Roman"/>
          <w:sz w:val="20"/>
          <w:szCs w:val="20"/>
          <w:color w:val="auto"/>
        </w:rPr>
      </w:pPr>
    </w:p>
    <w:p>
      <w:pPr>
        <w:jc w:val="both"/>
        <w:ind w:left="1380" w:firstLine="5"/>
        <w:spacing w:after="0" w:line="242" w:lineRule="auto"/>
        <w:tabs>
          <w:tab w:leader="none" w:pos="1868" w:val="left"/>
        </w:tabs>
        <w:numPr>
          <w:ilvl w:val="3"/>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written Notice from OUTSET to Supplier. Supplier may not terminate the Supply Agreement during the Initial Term, but may terminate during any Renewal Term by giving [***] written notice to Outset. If this agreement is terminated for Convenience by Outset, Outset shall be responsible for all completed products, work 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21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1060" w:right="20"/>
        <w:spacing w:after="0" w:line="269" w:lineRule="auto"/>
        <w:rPr>
          <w:sz w:val="20"/>
          <w:szCs w:val="20"/>
          <w:color w:val="auto"/>
        </w:rPr>
      </w:pPr>
      <w:r>
        <w:rPr>
          <w:rFonts w:ascii="Times New Roman" w:cs="Times New Roman" w:eastAsia="Times New Roman" w:hAnsi="Times New Roman"/>
          <w:sz w:val="20"/>
          <w:szCs w:val="20"/>
          <w:color w:val="auto"/>
        </w:rPr>
        <w:t>process, and materials in stock or on non-cancellable open orders placed in connection with the forecast to support the cancelled portion of the agreement.</w:t>
      </w:r>
    </w:p>
    <w:p>
      <w:pPr>
        <w:spacing w:after="0" w:line="159" w:lineRule="exact"/>
        <w:rPr>
          <w:sz w:val="20"/>
          <w:szCs w:val="20"/>
          <w:color w:val="auto"/>
        </w:rPr>
      </w:pPr>
    </w:p>
    <w:p>
      <w:pPr>
        <w:jc w:val="both"/>
        <w:ind w:left="1060" w:hanging="427"/>
        <w:spacing w:after="0" w:line="254" w:lineRule="auto"/>
        <w:tabs>
          <w:tab w:leader="none" w:pos="106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Force Majeure</w:t>
      </w:r>
      <w:r>
        <w:rPr>
          <w:rFonts w:ascii="Times New Roman" w:cs="Times New Roman" w:eastAsia="Times New Roman" w:hAnsi="Times New Roman"/>
          <w:sz w:val="20"/>
          <w:szCs w:val="20"/>
          <w:color w:val="auto"/>
        </w:rPr>
        <w:t>. If any failure to perform or delay in performance due to a Force Majeure Event (as defined below) lasts, or is reasonably likely to last, longer [***] days, or if [***] Force Majeure Events apply to the performance of a Party during [***], OUTSET shall be entitled to terminate this Agreement on [***] days Notice to Supplier.</w:t>
      </w:r>
    </w:p>
    <w:p>
      <w:pPr>
        <w:spacing w:after="0" w:line="174" w:lineRule="exact"/>
        <w:rPr>
          <w:rFonts w:ascii="Times New Roman" w:cs="Times New Roman" w:eastAsia="Times New Roman" w:hAnsi="Times New Roman"/>
          <w:sz w:val="20"/>
          <w:szCs w:val="20"/>
          <w:color w:val="auto"/>
        </w:rPr>
      </w:pPr>
    </w:p>
    <w:p>
      <w:pPr>
        <w:ind w:left="640" w:hanging="520"/>
        <w:spacing w:after="0"/>
        <w:tabs>
          <w:tab w:leader="none" w:pos="6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Effects of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60" w:hanging="427"/>
        <w:spacing w:after="0" w:line="245" w:lineRule="auto"/>
        <w:tabs>
          <w:tab w:leader="none" w:pos="106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following Sections of this Agreement survive any expiration or other termination of this Agreement: Section 9 (Intellectual Property, with respect to ownership and perpetual license rights), Section 10 (Records and Audits, but only for the length of the Retention Period), Section 11 (Recalls), Section 12 (Claims and Losses), Section 13(c) (Effects of Termination), Section 14 (Insurance, but only for a period of five (5) years), Section 16 (Notices), Section 18 (Publicity), Section 19 (Confidentiality), and Section 20 (General), as well as any other provisions expressly stated to survive the termination, or necessary for the interpretation, of this Agreement.</w:t>
      </w:r>
    </w:p>
    <w:p>
      <w:pPr>
        <w:spacing w:after="0" w:line="184" w:lineRule="exact"/>
        <w:rPr>
          <w:sz w:val="20"/>
          <w:szCs w:val="20"/>
          <w:color w:val="auto"/>
        </w:rPr>
      </w:pPr>
    </w:p>
    <w:p>
      <w:pPr>
        <w:ind w:left="1060" w:hanging="427"/>
        <w:spacing w:after="0" w:line="269" w:lineRule="auto"/>
        <w:tabs>
          <w:tab w:leader="none" w:pos="10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Order Notice</w:t>
      </w:r>
      <w:r>
        <w:rPr>
          <w:rFonts w:ascii="Times New Roman" w:cs="Times New Roman" w:eastAsia="Times New Roman" w:hAnsi="Times New Roman"/>
          <w:sz w:val="20"/>
          <w:szCs w:val="20"/>
          <w:color w:val="auto"/>
        </w:rPr>
        <w:t>. Upon any expiration or other termination of this Agreement, OUTSET shall give Notice to Supplier requiring either:</w:t>
      </w:r>
    </w:p>
    <w:p>
      <w:pPr>
        <w:spacing w:after="0" w:line="159" w:lineRule="exact"/>
        <w:rPr>
          <w:rFonts w:ascii="Times New Roman" w:cs="Times New Roman" w:eastAsia="Times New Roman" w:hAnsi="Times New Roman"/>
          <w:sz w:val="20"/>
          <w:szCs w:val="20"/>
          <w:color w:val="auto"/>
        </w:rPr>
      </w:pPr>
    </w:p>
    <w:p>
      <w:pPr>
        <w:ind w:left="1500" w:hanging="435"/>
        <w:spacing w:after="0" w:line="269" w:lineRule="auto"/>
        <w:tabs>
          <w:tab w:leader="none" w:pos="150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Order Fulfillment</w:t>
      </w:r>
      <w:r>
        <w:rPr>
          <w:rFonts w:ascii="Times New Roman" w:cs="Times New Roman" w:eastAsia="Times New Roman" w:hAnsi="Times New Roman"/>
          <w:sz w:val="20"/>
          <w:szCs w:val="20"/>
          <w:color w:val="auto"/>
        </w:rPr>
        <w:t>. If requested by OUTSET, all Purchase Orders in effect as of the expiration or other termination of this Agreement shall be fulfilled by Supplier; or</w:t>
      </w:r>
    </w:p>
    <w:p>
      <w:pPr>
        <w:spacing w:after="0" w:line="159" w:lineRule="exact"/>
        <w:rPr>
          <w:rFonts w:ascii="Times New Roman" w:cs="Times New Roman" w:eastAsia="Times New Roman" w:hAnsi="Times New Roman"/>
          <w:sz w:val="20"/>
          <w:szCs w:val="20"/>
          <w:color w:val="auto"/>
        </w:rPr>
      </w:pPr>
    </w:p>
    <w:p>
      <w:pPr>
        <w:jc w:val="both"/>
        <w:ind w:left="1500" w:hanging="435"/>
        <w:spacing w:after="0" w:line="245" w:lineRule="auto"/>
        <w:tabs>
          <w:tab w:leader="none" w:pos="150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Order Cancellation and Right to Purchase Already Supplied Products</w:t>
      </w:r>
      <w:r>
        <w:rPr>
          <w:rFonts w:ascii="Times New Roman" w:cs="Times New Roman" w:eastAsia="Times New Roman" w:hAnsi="Times New Roman"/>
          <w:sz w:val="20"/>
          <w:szCs w:val="20"/>
          <w:color w:val="auto"/>
        </w:rPr>
        <w:t>. If this Agreement is terminated by Supplier, or for cause by OUTSET, OUTSET shall have the right (but not the obligation) to purchase all Products covered by a Purchase Order at the Supply Price. If OUTSET elects not to make such purchases, all Purchase Orders are cancelled and OUTSET shall have no further liability with respect thereto. If this Agreement is terminated by Suppler for breach by Outset, Outset shall be responsible for all completed products, work in process, and materials in stock or on order to support the current purchase orders at time of cancellation.</w:t>
      </w:r>
    </w:p>
    <w:p>
      <w:pPr>
        <w:spacing w:after="0" w:line="184" w:lineRule="exact"/>
        <w:rPr>
          <w:rFonts w:ascii="Times New Roman" w:cs="Times New Roman" w:eastAsia="Times New Roman" w:hAnsi="Times New Roman"/>
          <w:sz w:val="20"/>
          <w:szCs w:val="20"/>
          <w:color w:val="auto"/>
        </w:rPr>
      </w:pPr>
    </w:p>
    <w:p>
      <w:pPr>
        <w:jc w:val="both"/>
        <w:ind w:left="1060" w:hanging="427"/>
        <w:spacing w:after="0" w:line="243" w:lineRule="auto"/>
        <w:tabs>
          <w:tab w:leader="none" w:pos="10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Materials, Products, Etc</w:t>
      </w:r>
      <w:r>
        <w:rPr>
          <w:rFonts w:ascii="Times New Roman" w:cs="Times New Roman" w:eastAsia="Times New Roman" w:hAnsi="Times New Roman"/>
          <w:sz w:val="20"/>
          <w:szCs w:val="20"/>
          <w:color w:val="auto"/>
        </w:rPr>
        <w:t>. If this Agreement expires or is otherwise terminated, Supplier shall return to OUTSET within [***] days after such expiration or other termination, at OUTSET’s expense, (A) any remaining inventory of Materials received from OUTSET or its suppliers; (B) all components necessary for the supply of Products paid for or otherwise owned by OUTSET; (C) at OUTSET’s election, Products, including Products in process, subject to OUTSET’s payment of the Supply Price; and (D) any other Products or Materials being stored for OUTSET. Notwithstanding the foregoing, if such termination shall have been as a result of a breach of this Agreement by Supplier, such inventory shall be returned at Supplier’s expense. OUTSET shall specify the location to which delivery of the foregoing is to be made by Supplier.</w:t>
      </w:r>
    </w:p>
    <w:p>
      <w:pPr>
        <w:spacing w:after="0" w:line="189" w:lineRule="exact"/>
        <w:rPr>
          <w:rFonts w:ascii="Times New Roman" w:cs="Times New Roman" w:eastAsia="Times New Roman" w:hAnsi="Times New Roman"/>
          <w:sz w:val="20"/>
          <w:szCs w:val="20"/>
          <w:color w:val="auto"/>
        </w:rPr>
      </w:pPr>
    </w:p>
    <w:p>
      <w:pPr>
        <w:jc w:val="both"/>
        <w:ind w:left="1060" w:hanging="427"/>
        <w:spacing w:after="0" w:line="249" w:lineRule="auto"/>
        <w:tabs>
          <w:tab w:leader="none" w:pos="10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Remedies</w:t>
      </w:r>
      <w:r>
        <w:rPr>
          <w:rFonts w:ascii="Times New Roman" w:cs="Times New Roman" w:eastAsia="Times New Roman" w:hAnsi="Times New Roman"/>
          <w:sz w:val="20"/>
          <w:szCs w:val="20"/>
          <w:color w:val="auto"/>
        </w:rPr>
        <w:t>. The expiration or other termination of this Agreement shall not (A) prejudice any remedy either Party may have against the other Party; or (B) relieve either Party of any liability or obligation that has accrued or arisen under this Agreement prior to the effective date of such expiration or other termination. Upon the expiration or other termination of this Agreement, all rights granted to Supplier under Section 9 shall automatically and</w:t>
      </w: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22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immediately cease, except to the extent necessary to fulfill outstanding Purchase Orders under Section 13(c)(ii).</w:t>
      </w:r>
    </w:p>
    <w:p>
      <w:pPr>
        <w:spacing w:after="0" w:line="216" w:lineRule="exact"/>
        <w:rPr>
          <w:sz w:val="20"/>
          <w:szCs w:val="20"/>
          <w:color w:val="auto"/>
        </w:rPr>
      </w:pPr>
    </w:p>
    <w:p>
      <w:pPr>
        <w:jc w:val="both"/>
        <w:ind w:left="1380" w:hanging="427"/>
        <w:spacing w:after="0" w:line="245" w:lineRule="auto"/>
        <w:tabs>
          <w:tab w:leader="none" w:pos="138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Prepaid Amounts</w:t>
      </w:r>
      <w:r>
        <w:rPr>
          <w:rFonts w:ascii="Times New Roman" w:cs="Times New Roman" w:eastAsia="Times New Roman" w:hAnsi="Times New Roman"/>
          <w:sz w:val="20"/>
          <w:szCs w:val="20"/>
          <w:color w:val="auto"/>
        </w:rPr>
        <w:t>. In the event that OUTSET has prepaid fees for any Products or Services that have not been properly delivered or completed upon the expiration or other termination of this Agreement, Supplier shall provide a refund to OUTSET of any prepaid amounts for such Products and Services within [***] days after such expiration or other termination, as applicable. In the event that Supplier has properly provided Products and Services through the date of expiration or other termination of this Agreement that have not been paid for by OUTSET, OUTSET shall pay for such Products and Services within [***] days after receipt of a complete invoice detailing such fees.</w:t>
      </w:r>
    </w:p>
    <w:p>
      <w:pPr>
        <w:spacing w:after="0" w:line="180" w:lineRule="exact"/>
        <w:rPr>
          <w:rFonts w:ascii="Times New Roman" w:cs="Times New Roman" w:eastAsia="Times New Roman" w:hAnsi="Times New Roman"/>
          <w:sz w:val="20"/>
          <w:szCs w:val="20"/>
          <w:color w:val="auto"/>
        </w:rPr>
      </w:pPr>
    </w:p>
    <w:p>
      <w:pPr>
        <w:jc w:val="both"/>
        <w:ind w:left="440" w:hanging="432"/>
        <w:spacing w:after="0" w:line="246" w:lineRule="auto"/>
        <w:tabs>
          <w:tab w:leader="none" w:pos="4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TRANSITION ASSISTANCE</w:t>
      </w:r>
      <w:r>
        <w:rPr>
          <w:rFonts w:ascii="Times New Roman" w:cs="Times New Roman" w:eastAsia="Times New Roman" w:hAnsi="Times New Roman"/>
          <w:sz w:val="20"/>
          <w:szCs w:val="20"/>
          <w:color w:val="auto"/>
        </w:rPr>
        <w:t>. Upon the expiration or other termination of this Agreement, Supplier shall reasonably cooperate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OUTSET to ensure an orderly and efficient transition of the Supply of Products and Services to OUTSET, any OUTSET Affiliate or another vendor designated by OUTSET. Supplier shall provide all reasonably necessary details and information regarding the Products and Services, and Supplier shall use its best efforts to transfer licenses or assign agreements for any software or Third-Party services, with the approval of the applicable Third Parties, used to provide the Products or Services, to OUTSET, other OUTSET Entities or another vendor designated by OUTSET.</w:t>
      </w:r>
    </w:p>
    <w:p>
      <w:pPr>
        <w:spacing w:after="0" w:line="178" w:lineRule="exact"/>
        <w:rPr>
          <w:rFonts w:ascii="Times New Roman" w:cs="Times New Roman" w:eastAsia="Times New Roman" w:hAnsi="Times New Roman"/>
          <w:sz w:val="20"/>
          <w:szCs w:val="20"/>
          <w:color w:val="auto"/>
        </w:rPr>
      </w:pPr>
    </w:p>
    <w:p>
      <w:pPr>
        <w:jc w:val="both"/>
        <w:ind w:left="440" w:hanging="432"/>
        <w:spacing w:after="0" w:line="256" w:lineRule="auto"/>
        <w:tabs>
          <w:tab w:leader="none" w:pos="4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Supplier shall comply with all the requirements of Exhibit F (Insurance Requirements). Nothing in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any indemnification obligations, shall be construed to relieve any insurer of its obligation to pay claims consistent with the provisions of a valid insurance policy.</w:t>
      </w:r>
    </w:p>
    <w:p>
      <w:pPr>
        <w:spacing w:after="0" w:line="168" w:lineRule="exact"/>
        <w:rPr>
          <w:rFonts w:ascii="Times New Roman" w:cs="Times New Roman" w:eastAsia="Times New Roman" w:hAnsi="Times New Roman"/>
          <w:sz w:val="20"/>
          <w:szCs w:val="20"/>
          <w:color w:val="auto"/>
        </w:rPr>
      </w:pPr>
    </w:p>
    <w:p>
      <w:pPr>
        <w:jc w:val="both"/>
        <w:ind w:left="440" w:hanging="432"/>
        <w:spacing w:after="0" w:line="250" w:lineRule="auto"/>
        <w:tabs>
          <w:tab w:leader="none" w:pos="4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as used throughout this Agreement means written notice, except where specifically provided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the contrary. Notice shall be delivered by (i) certified mail, return receipt requested (or the equivalent); (ii) hand delivery with receipt acknowledged; or (iii) nationally recognized overnight courier service that provides a delivery receipt to the following addresses or to such other address or person as a Party may specify by Notice given in accordance with this provision:</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If to OUTSET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Outset Medical,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3052 Orchard Drive, San Jose, CA 95134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Rebecca Chambers, CFO</w:t>
      </w:r>
    </w:p>
    <w:p>
      <w:pPr>
        <w:spacing w:after="0" w:line="200" w:lineRule="exact"/>
        <w:rPr>
          <w:sz w:val="20"/>
          <w:szCs w:val="20"/>
          <w:color w:val="auto"/>
        </w:rPr>
      </w:pPr>
    </w:p>
    <w:p>
      <w:pPr>
        <w:sectPr>
          <w:pgSz w:w="11900" w:h="16838" w:orient="portrait"/>
          <w:cols w:equalWidth="0" w:num="2">
            <w:col w:w="2520" w:space="720"/>
            <w:col w:w="8000"/>
          </w:cols>
          <w:pgMar w:left="320" w:top="117" w:right="339" w:bottom="1440" w:gutter="0" w:footer="0" w:header="0"/>
          <w:type w:val="continuous"/>
        </w:sectPr>
      </w:pP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Outset Medical, Inc.</w:t>
      </w:r>
    </w:p>
    <w:p>
      <w:pPr>
        <w:spacing w:after="0" w:line="200" w:lineRule="exact"/>
        <w:rPr>
          <w:sz w:val="20"/>
          <w:szCs w:val="20"/>
          <w:color w:val="auto"/>
        </w:rPr>
      </w:pPr>
    </w:p>
    <w:p>
      <w:pPr>
        <w:sectPr>
          <w:pgSz w:w="11900" w:h="16838" w:orient="portrait"/>
          <w:cols w:equalWidth="0" w:num="2">
            <w:col w:w="2520" w:space="720"/>
            <w:col w:w="8000"/>
          </w:cols>
          <w:pgMar w:left="320" w:top="117" w:right="339" w:bottom="1440" w:gutter="0" w:footer="0" w:header="0"/>
          <w:type w:val="continuous"/>
        </w:sectPr>
      </w:pPr>
    </w:p>
    <w:p>
      <w:pPr>
        <w:spacing w:after="0" w:line="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3052 Orchard Drive, San Jose, CA 95134</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John Brotten, General Counsel</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If to Supplier</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7" w:right="339" w:bottom="1440" w:gutter="0" w:footer="0" w:header="0"/>
          <w:type w:val="continuous"/>
        </w:sectPr>
      </w:pP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Carlisle Interconnect Technologies Inc.</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100 Tensolite Drive, St. Augustine FL, 32092.</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Attn: Contracts Management Department</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Notice given in accordance with this provision shall be deemed delivered: (x) when received; or (y) upon refusal of receipt.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23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FORCE MAJEURE</w:t>
      </w:r>
    </w:p>
    <w:p>
      <w:pPr>
        <w:spacing w:after="0" w:line="215" w:lineRule="exact"/>
        <w:rPr>
          <w:rFonts w:ascii="Times New Roman" w:cs="Times New Roman" w:eastAsia="Times New Roman" w:hAnsi="Times New Roman"/>
          <w:sz w:val="20"/>
          <w:szCs w:val="20"/>
          <w:color w:val="auto"/>
        </w:rPr>
      </w:pPr>
    </w:p>
    <w:p>
      <w:pPr>
        <w:jc w:val="both"/>
        <w:ind w:left="960" w:hanging="520"/>
        <w:spacing w:after="0" w:line="242" w:lineRule="auto"/>
        <w:tabs>
          <w:tab w:leader="none" w:pos="96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If and to the extent that the performance by a Party (an “</w:t>
      </w:r>
      <w:r>
        <w:rPr>
          <w:rFonts w:ascii="Times New Roman" w:cs="Times New Roman" w:eastAsia="Times New Roman" w:hAnsi="Times New Roman"/>
          <w:sz w:val="20"/>
          <w:szCs w:val="20"/>
          <w:b w:val="1"/>
          <w:bCs w:val="1"/>
          <w:i w:val="1"/>
          <w:iCs w:val="1"/>
          <w:color w:val="auto"/>
        </w:rPr>
        <w:t>Affected Party</w:t>
      </w:r>
      <w:r>
        <w:rPr>
          <w:rFonts w:ascii="Times New Roman" w:cs="Times New Roman" w:eastAsia="Times New Roman" w:hAnsi="Times New Roman"/>
          <w:sz w:val="20"/>
          <w:szCs w:val="20"/>
          <w:color w:val="auto"/>
        </w:rPr>
        <w:t>”) of any of its obligations under this Agreement is delayed by [***] (each, a “</w:t>
      </w:r>
      <w:r>
        <w:rPr>
          <w:rFonts w:ascii="Times New Roman" w:cs="Times New Roman" w:eastAsia="Times New Roman" w:hAnsi="Times New Roman"/>
          <w:sz w:val="20"/>
          <w:szCs w:val="20"/>
          <w:b w:val="1"/>
          <w:bCs w:val="1"/>
          <w:i w:val="1"/>
          <w:iCs w:val="1"/>
          <w:color w:val="auto"/>
        </w:rPr>
        <w:t>Force Majeure Event</w:t>
      </w:r>
      <w:r>
        <w:rPr>
          <w:rFonts w:ascii="Times New Roman" w:cs="Times New Roman" w:eastAsia="Times New Roman" w:hAnsi="Times New Roman"/>
          <w:sz w:val="20"/>
          <w:szCs w:val="20"/>
          <w:color w:val="auto"/>
        </w:rPr>
        <w:t>”), and such delay could not have been prevented by reasonable precautions by the Affected Party, then the Affected Party shall be excused for such delay of those obligations affected by the Force Majeure Event for as long as such Force Majeure Event continues and the Affected Party continues to use commercially reasonable efforts to recommence performance whenever and to whatever extent reasonably possible without delay, including through the use of alternate sources, workaround plans or other means; provided, however, that the use of such alternate sources, workaround plans or other means shall cease upon the cessation of the Force Majeure Event. The Affected Party shall immediately notify the other Party of the occurrence of the Force Majeure Event and, to the extent possible, describe in reasonable detail the nature of the Force Majeure Event and a good faith estimate of the likely impact on the Products and Services, including any delivery or scheduling changes. The occurrence of a Force Majeure Event does not excuse, limit or otherwise affect Supplier’s obligation to implement any disaster recovery or business continuity plan and restore performance in accordance with the terms of such plan and does not give rise to any damages or additional compensation from OUTSET.</w:t>
      </w:r>
    </w:p>
    <w:p>
      <w:pPr>
        <w:spacing w:after="0" w:line="191" w:lineRule="exact"/>
        <w:rPr>
          <w:rFonts w:ascii="Times New Roman" w:cs="Times New Roman" w:eastAsia="Times New Roman" w:hAnsi="Times New Roman"/>
          <w:sz w:val="20"/>
          <w:szCs w:val="20"/>
          <w:color w:val="auto"/>
        </w:rPr>
      </w:pPr>
    </w:p>
    <w:p>
      <w:pPr>
        <w:jc w:val="both"/>
        <w:ind w:left="960" w:hanging="520"/>
        <w:spacing w:after="0" w:line="245" w:lineRule="auto"/>
        <w:tabs>
          <w:tab w:leader="none" w:pos="96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and Allocation of Products</w:t>
      </w:r>
      <w:r>
        <w:rPr>
          <w:rFonts w:ascii="Times New Roman" w:cs="Times New Roman" w:eastAsia="Times New Roman" w:hAnsi="Times New Roman"/>
          <w:sz w:val="20"/>
          <w:szCs w:val="20"/>
          <w:color w:val="auto"/>
        </w:rPr>
        <w:t>. In addition to, and not in lieu of, the terms and conditions in Section 17(a), in the event that any Products or Materials required to Supply Products are in short supply, even if there is no Force Majeure Event, Supplier shall notify OUTSET in writing of such circumstances as soon as possible, including the underlying reasons for such shortage, proposed remedial measures, the date such shortage is expected to end and the amount of Products or Materials (as applicable) allocated to OUTSET. Supplier shall provide equal priority to any OUTSET Entity as to any other key customers of Supplier with respect to allocation of Products, Materials or related resources.</w:t>
      </w:r>
    </w:p>
    <w:p>
      <w:pPr>
        <w:spacing w:after="0" w:line="184"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Disaster Recovery and Business Continuity Plans</w:t>
      </w:r>
      <w:r>
        <w:rPr>
          <w:rFonts w:ascii="Times New Roman" w:cs="Times New Roman" w:eastAsia="Times New Roman" w:hAnsi="Times New Roman"/>
          <w:sz w:val="20"/>
          <w:szCs w:val="20"/>
          <w:color w:val="auto"/>
        </w:rPr>
        <w:t>. Supplier shall implement and maintain adequate disaster recovery and business continuity plans in respect of Supplier’s service locations and business. If Supplier fails to provide the Products or Services, the fees under this Agreement shall be adjusted in a manner such that OUTSET is not responsible for the payment of fees (or other charges) for Products or Services that Supplier fails to provide. Any interruption or delay, regardless of the reason, shall not give rise to any additional compensation obligations of OUTSET.</w:t>
      </w:r>
    </w:p>
    <w:p>
      <w:pPr>
        <w:spacing w:after="0" w:line="180" w:lineRule="exact"/>
        <w:rPr>
          <w:rFonts w:ascii="Times New Roman" w:cs="Times New Roman" w:eastAsia="Times New Roman" w:hAnsi="Times New Roman"/>
          <w:sz w:val="20"/>
          <w:szCs w:val="20"/>
          <w:color w:val="auto"/>
        </w:rPr>
      </w:pPr>
    </w:p>
    <w:p>
      <w:pPr>
        <w:jc w:val="both"/>
        <w:ind w:left="440" w:hanging="432"/>
        <w:spacing w:after="0" w:line="246" w:lineRule="auto"/>
        <w:tabs>
          <w:tab w:leader="none" w:pos="4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PUBLICITY</w:t>
      </w:r>
      <w:r>
        <w:rPr>
          <w:rFonts w:ascii="Times New Roman" w:cs="Times New Roman" w:eastAsia="Times New Roman" w:hAnsi="Times New Roman"/>
          <w:sz w:val="20"/>
          <w:szCs w:val="20"/>
          <w:color w:val="auto"/>
        </w:rPr>
        <w:t>. Supplier shall not make, publish or distribute any public announcements, press releases, advertising, marketing materials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promotional materials relating to the negotiation, execution or performance of this Agreement without OUTSET’s prior written consent. Supplier shall not make any oral or written statement or perform any act indicating that OUTSET endorses or approves or has endorsed or approved Supplier or its products or services. Supplier may submit a request to use OUTSET’s Marks, in accordance with this Agreement and the then-effective OUTSET Trademark Usage Guidelines, by following the instructions and guidelines available at </w:t>
      </w:r>
      <w:r>
        <w:rPr>
          <w:rFonts w:ascii="Times New Roman" w:cs="Times New Roman" w:eastAsia="Times New Roman" w:hAnsi="Times New Roman"/>
          <w:sz w:val="20"/>
          <w:szCs w:val="20"/>
          <w:u w:val="single" w:color="auto"/>
          <w:color w:val="auto"/>
        </w:rPr>
        <w:t>https://www.Outset.com/legal/trademark_usage/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54" w:lineRule="auto"/>
        <w:tabs>
          <w:tab w:leader="none" w:pos="96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Obligations</w:t>
      </w:r>
      <w:r>
        <w:rPr>
          <w:rFonts w:ascii="Times New Roman" w:cs="Times New Roman" w:eastAsia="Times New Roman" w:hAnsi="Times New Roman"/>
          <w:sz w:val="20"/>
          <w:szCs w:val="20"/>
          <w:color w:val="auto"/>
        </w:rPr>
        <w:t>. Each Party must use commercially reasonable methods, at least as substantial as the methods it uses to protect its own confidential information, data and materials of a similar nature, to maintain and cause its employees and representatives to maintain the confidentiality of the Confidential Information. A Receiving Party may not modify or delete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24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intellectual property or proprietary rights legend appearing in the Disclosing Party’s Confidential Information. The existence and terms and conditions of this Agreement are deemed to be Confidential Information. In the case of Supplier as the Disclosing Party, all such information must be either marked as “confidential” or “proprietary,” or within [***] after an oral disclosure, be described in a detailed written Notice provided to OUTSET, in which case such described information becomes Confidential Information of Supplier on a going forward basis from the date of OUTSET’s receipt of such Notice. A Receiving Party’s obligations with respect to Confidential Information hereunder shall not apply to any information that [***].</w:t>
      </w:r>
    </w:p>
    <w:p>
      <w:pPr>
        <w:spacing w:after="0" w:line="184" w:lineRule="exact"/>
        <w:rPr>
          <w:sz w:val="20"/>
          <w:szCs w:val="20"/>
          <w:color w:val="auto"/>
        </w:rPr>
      </w:pPr>
    </w:p>
    <w:p>
      <w:pPr>
        <w:jc w:val="both"/>
        <w:ind w:left="640" w:hanging="520"/>
        <w:spacing w:after="0" w:line="243" w:lineRule="auto"/>
        <w:tabs>
          <w:tab w:leader="none" w:pos="6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and Representative Access</w:t>
      </w:r>
      <w:r>
        <w:rPr>
          <w:rFonts w:ascii="Times New Roman" w:cs="Times New Roman" w:eastAsia="Times New Roman" w:hAnsi="Times New Roman"/>
          <w:sz w:val="20"/>
          <w:szCs w:val="20"/>
          <w:color w:val="auto"/>
        </w:rPr>
        <w:t>. The Receiving Party must advise each employee before receiving Confidential Information hereunder of the obligations of the Receiving Party regarding the Confidential Information under this Agreement. Each Party may share Confidential Information of the other Party with its Affiliates and its and their respective directors, officers, attorneys, accountants and other advisors, agents, consultants and contractors with a bona fide need to know and under an obligation of confidentiality and nondisclosure substantially similar to the obligations under this Agreement. OUTSET may also disclose Confidential Information to its actual or potential investors, acquirors, collaborators, licensors or licensees, provided that in each case such disclosure shall be under a written agreement containing confidentiality provisions no less restrictive than those set forth in this Section 19.</w:t>
      </w:r>
    </w:p>
    <w:p>
      <w:pPr>
        <w:spacing w:after="0" w:line="189" w:lineRule="exact"/>
        <w:rPr>
          <w:rFonts w:ascii="Times New Roman" w:cs="Times New Roman" w:eastAsia="Times New Roman" w:hAnsi="Times New Roman"/>
          <w:sz w:val="20"/>
          <w:szCs w:val="20"/>
          <w:color w:val="auto"/>
        </w:rPr>
      </w:pPr>
    </w:p>
    <w:p>
      <w:pPr>
        <w:jc w:val="both"/>
        <w:ind w:left="640" w:hanging="520"/>
        <w:spacing w:after="0" w:line="243" w:lineRule="auto"/>
        <w:tabs>
          <w:tab w:leader="none" w:pos="6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or Destruction</w:t>
      </w:r>
      <w:r>
        <w:rPr>
          <w:rFonts w:ascii="Times New Roman" w:cs="Times New Roman" w:eastAsia="Times New Roman" w:hAnsi="Times New Roman"/>
          <w:sz w:val="20"/>
          <w:szCs w:val="20"/>
          <w:color w:val="auto"/>
        </w:rPr>
        <w:t>. After (i) a request by the Disclosing Party, and (ii) either the expiration or other termination of this Agreement, the Receiving Party must within [***] days return or destroy (or cause the return or destruction) (and promptly certify to such destruction in writing) all Confidential Information of the Disclosing Party, including all copies, notes, summaries and excerpts thereof. Notwithstanding the foregoing, Receiving Party may retain Confidential Information (A) as required by applicable Laws or orders of a Government Authority with jurisdiction over Receiving Party (“</w:t>
      </w:r>
      <w:r>
        <w:rPr>
          <w:rFonts w:ascii="Times New Roman" w:cs="Times New Roman" w:eastAsia="Times New Roman" w:hAnsi="Times New Roman"/>
          <w:sz w:val="20"/>
          <w:szCs w:val="20"/>
          <w:b w:val="1"/>
          <w:bCs w:val="1"/>
          <w:i w:val="1"/>
          <w:iCs w:val="1"/>
          <w:color w:val="auto"/>
        </w:rPr>
        <w:t>Retention Requirements</w:t>
      </w:r>
      <w:r>
        <w:rPr>
          <w:rFonts w:ascii="Times New Roman" w:cs="Times New Roman" w:eastAsia="Times New Roman" w:hAnsi="Times New Roman"/>
          <w:sz w:val="20"/>
          <w:szCs w:val="20"/>
          <w:color w:val="auto"/>
        </w:rPr>
        <w:t>”), but any such uses or disclosures of Confidential Information by the Receiving Party shall be limited to only those uses and disclosures mandated by the Retention Requirements; and (B) to the extent that Receiving Party’s routine back-up procedures create copies of Confidential Information, but only for such archiving purposes during Receiving Party’s normal archiving period and subject to the confidentiality obligations under this Agreement.</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4" w:lineRule="auto"/>
        <w:tabs>
          <w:tab w:leader="none" w:pos="6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Disclosure</w:t>
      </w:r>
      <w:r>
        <w:rPr>
          <w:rFonts w:ascii="Times New Roman" w:cs="Times New Roman" w:eastAsia="Times New Roman" w:hAnsi="Times New Roman"/>
          <w:sz w:val="20"/>
          <w:szCs w:val="20"/>
          <w:color w:val="auto"/>
        </w:rPr>
        <w:t>. In the event any Confidential Information is required to be disclosed by Law or order of any Government Authority having jurisdiction over the Receiving Party (including as necessary for a Party to assert a claim in a court of competent jurisdiction), before any such disclosure the Receiving Party, to the extent permitted by applicable Law, shall provide Notice to the Disclosing Party reasonably sufficient to allow the Disclosing Party the opportunity to apply for, and provide reasonable cooperation in connection with obtaining, a protective order or other restriction regarding such disclosure. In the event such Confidential Information is disclosed in such circumstances, such Confidential Information shall continue to constitute Confidential Information in all other circumstances pursuant to this Agreement.</w:t>
      </w:r>
    </w:p>
    <w:p>
      <w:pPr>
        <w:spacing w:after="0" w:line="185" w:lineRule="exact"/>
        <w:rPr>
          <w:rFonts w:ascii="Times New Roman" w:cs="Times New Roman" w:eastAsia="Times New Roman" w:hAnsi="Times New Roman"/>
          <w:sz w:val="20"/>
          <w:szCs w:val="20"/>
          <w:color w:val="auto"/>
        </w:rPr>
      </w:pPr>
    </w:p>
    <w:p>
      <w:pPr>
        <w:ind w:left="640" w:hanging="520"/>
        <w:spacing w:after="0" w:line="269" w:lineRule="auto"/>
        <w:tabs>
          <w:tab w:leader="none" w:pos="6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Copying</w:t>
      </w:r>
      <w:r>
        <w:rPr>
          <w:rFonts w:ascii="Times New Roman" w:cs="Times New Roman" w:eastAsia="Times New Roman" w:hAnsi="Times New Roman"/>
          <w:sz w:val="20"/>
          <w:szCs w:val="20"/>
          <w:color w:val="auto"/>
        </w:rPr>
        <w:t>. Supplier shall not duplicate any material containing OUTSET Confidential Information, except in the direct performance of its obligations under this Agreement.</w:t>
      </w:r>
    </w:p>
    <w:p>
      <w:pPr>
        <w:spacing w:after="0" w:line="159" w:lineRule="exact"/>
        <w:rPr>
          <w:rFonts w:ascii="Times New Roman" w:cs="Times New Roman" w:eastAsia="Times New Roman" w:hAnsi="Times New Roman"/>
          <w:sz w:val="20"/>
          <w:szCs w:val="20"/>
          <w:color w:val="auto"/>
        </w:rPr>
      </w:pPr>
    </w:p>
    <w:p>
      <w:pPr>
        <w:jc w:val="both"/>
        <w:ind w:left="640" w:hanging="520"/>
        <w:spacing w:after="0" w:line="254" w:lineRule="auto"/>
        <w:tabs>
          <w:tab w:leader="none" w:pos="6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Injunctive Relief</w:t>
      </w:r>
      <w:r>
        <w:rPr>
          <w:rFonts w:ascii="Times New Roman" w:cs="Times New Roman" w:eastAsia="Times New Roman" w:hAnsi="Times New Roman"/>
          <w:sz w:val="20"/>
          <w:szCs w:val="20"/>
          <w:color w:val="auto"/>
        </w:rPr>
        <w:t>. If a Party actually, threatens to, or would inevitably breach the terms of this Section 19, such Party acknowledges that the breach may cause the other Party irreparable harm, a remedy at Law alone may be inadequate, and the other Party is entitled to apply for injunctive relief without any requirement to post a bond or other security.</w:t>
      </w:r>
    </w:p>
    <w:p>
      <w:pPr>
        <w:spacing w:after="0" w:line="200" w:lineRule="exact"/>
        <w:rPr>
          <w:sz w:val="20"/>
          <w:szCs w:val="20"/>
          <w:color w:val="auto"/>
        </w:rPr>
      </w:pPr>
    </w:p>
    <w:p>
      <w:pPr>
        <w:spacing w:after="0" w:line="2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25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960" w:hanging="520"/>
        <w:spacing w:after="0" w:line="243" w:lineRule="auto"/>
        <w:tabs>
          <w:tab w:leader="none" w:pos="9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Unauthorized Acts</w:t>
      </w:r>
      <w:r>
        <w:rPr>
          <w:rFonts w:ascii="Times New Roman" w:cs="Times New Roman" w:eastAsia="Times New Roman" w:hAnsi="Times New Roman"/>
          <w:sz w:val="20"/>
          <w:szCs w:val="20"/>
          <w:color w:val="auto"/>
        </w:rPr>
        <w:t>. Supplier shall (i) notify OUTSET promptly upon its becoming aware of any unauthorized possession, use, or knowledge of any Confidential Information by any Person, any attempt by any Person to gain possession of Confidential Information without authorization, or any attempt to use or acquire knowledge of any Confidential Information without authorization (collectively, “</w:t>
      </w:r>
      <w:r>
        <w:rPr>
          <w:rFonts w:ascii="Times New Roman" w:cs="Times New Roman" w:eastAsia="Times New Roman" w:hAnsi="Times New Roman"/>
          <w:sz w:val="20"/>
          <w:szCs w:val="20"/>
          <w:b w:val="1"/>
          <w:bCs w:val="1"/>
          <w:i w:val="1"/>
          <w:iCs w:val="1"/>
          <w:color w:val="auto"/>
        </w:rPr>
        <w:t>Unauthorized Access</w:t>
      </w:r>
      <w:r>
        <w:rPr>
          <w:rFonts w:ascii="Times New Roman" w:cs="Times New Roman" w:eastAsia="Times New Roman" w:hAnsi="Times New Roman"/>
          <w:sz w:val="20"/>
          <w:szCs w:val="20"/>
          <w:color w:val="auto"/>
        </w:rPr>
        <w:t>”); (ii) promptly furnish OUTSET with full details of the Unauthorized Access and use reasonable efforts to assist OUTSET in investigating or preventing the reoccurrence of any Unauthorized Access; (iii) cooperate with OUTSET in any litigation against, and/or in an investigation of third parties deemed reasonably necessary by OUTSET to protect its proprietary rights; and (iv) promptly take all reasonable actions necessary to prevent a reoccurrence of any such Unauthorized Access.</w:t>
      </w:r>
    </w:p>
    <w:p>
      <w:pPr>
        <w:spacing w:after="0" w:line="189"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Disclosures</w:t>
      </w:r>
      <w:r>
        <w:rPr>
          <w:rFonts w:ascii="Times New Roman" w:cs="Times New Roman" w:eastAsia="Times New Roman" w:hAnsi="Times New Roman"/>
          <w:sz w:val="20"/>
          <w:szCs w:val="20"/>
          <w:color w:val="auto"/>
        </w:rPr>
        <w:t>. Notwithstanding the confidentiality, nondisclosure and proprietary rights provisions of this Agreement, Supplier acknowledges and agrees that each of the OUTSET Entities (i) has the right to file a copy of, and/or disclose, all or part of this Agreement and related documents and information, including performance reports and fees and invoicing, as may be required or requested by its regulators and auditors; and (ii) may freely discuss all aspects of Supplier’s performance and the OUTSET Entities’ satisfaction with such performance with prospective Supplier customers brought to OUTSET by Supplier.</w:t>
      </w:r>
    </w:p>
    <w:p>
      <w:pPr>
        <w:spacing w:after="0" w:line="184"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and Assignment Agreements</w:t>
      </w:r>
      <w:r>
        <w:rPr>
          <w:rFonts w:ascii="Times New Roman" w:cs="Times New Roman" w:eastAsia="Times New Roman" w:hAnsi="Times New Roman"/>
          <w:sz w:val="20"/>
          <w:szCs w:val="20"/>
          <w:color w:val="auto"/>
        </w:rPr>
        <w:t>. Any Person with access to OUTSET Technology, or access to or involved in the conception or development of any Product Inventions shall have executed and delivered or shall execute and deliver to Supplier a proprietary rights agreement with Supplier pursuant to which such employees and consultants agree to confidentiality and intellectual property assignment terms sufficient to enable Supplier to meet its obligations to OUTSET under this Agreement, including the assignment of Intellectual Property Rights.</w:t>
      </w:r>
    </w:p>
    <w:p>
      <w:pPr>
        <w:spacing w:after="0" w:line="180"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p>
    <w:p>
      <w:pPr>
        <w:spacing w:after="0" w:line="219" w:lineRule="exact"/>
        <w:rPr>
          <w:rFonts w:ascii="Times New Roman" w:cs="Times New Roman" w:eastAsia="Times New Roman" w:hAnsi="Times New Roman"/>
          <w:sz w:val="20"/>
          <w:szCs w:val="20"/>
          <w:color w:val="auto"/>
        </w:rPr>
      </w:pPr>
    </w:p>
    <w:p>
      <w:pPr>
        <w:jc w:val="both"/>
        <w:ind w:left="960" w:hanging="520"/>
        <w:spacing w:after="0" w:line="246" w:lineRule="auto"/>
        <w:tabs>
          <w:tab w:leader="none" w:pos="9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including all attached Exhibits hereto, constitutes the entire agreement between the Parties with respect to the subject matter of this Agreement and supersedes any other oral or written communications, advertisements, documents or understandings with respect to the subject matter of this Agreement. Any different or additional terms and conditions shall have no legal effect between the Parties. In all instances, the exhibits to this Agreement shall be incorporated into and deemed a part of this Agreement and all references to this Agreement shall include the exhibits to this Agreement.</w:t>
      </w:r>
    </w:p>
    <w:p>
      <w:pPr>
        <w:spacing w:after="0" w:line="184" w:lineRule="exact"/>
        <w:rPr>
          <w:rFonts w:ascii="Times New Roman" w:cs="Times New Roman" w:eastAsia="Times New Roman" w:hAnsi="Times New Roman"/>
          <w:sz w:val="20"/>
          <w:szCs w:val="20"/>
          <w:color w:val="auto"/>
        </w:rPr>
      </w:pPr>
    </w:p>
    <w:p>
      <w:pPr>
        <w:ind w:left="960" w:right="20" w:hanging="520"/>
        <w:spacing w:after="0" w:line="269" w:lineRule="auto"/>
        <w:tabs>
          <w:tab w:leader="none" w:pos="9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No amendment or other modification or waiver of the terms of this Agreement shall be binding on either Party unless made in writing and signed by a duly authorized representative of each Party.</w:t>
      </w:r>
    </w:p>
    <w:p>
      <w:pPr>
        <w:spacing w:after="0" w:line="159" w:lineRule="exact"/>
        <w:rPr>
          <w:rFonts w:ascii="Times New Roman" w:cs="Times New Roman" w:eastAsia="Times New Roman" w:hAnsi="Times New Roman"/>
          <w:sz w:val="20"/>
          <w:szCs w:val="20"/>
          <w:color w:val="auto"/>
        </w:rPr>
      </w:pPr>
    </w:p>
    <w:p>
      <w:pPr>
        <w:ind w:left="960" w:hanging="520"/>
        <w:spacing w:after="0"/>
        <w:tabs>
          <w:tab w:leader="none" w:pos="9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Divestiture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80" w:hanging="427"/>
        <w:spacing w:after="0" w:line="246" w:lineRule="auto"/>
        <w:tabs>
          <w:tab w:leader="none" w:pos="1380"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This Agreement shall not be assigned by either Party without the prior written consent of the other Party. Notwithstanding the foregoing, either Party may assign this Agreement (in whole or in part) to an Affiliate or in connection with a merger, acquisition, consolidation, sale of all or substantially all assets or business of the Party to which this Agreement relates or other similar corporate transaction; provided that the assignee agrees in writing to be bound by the terms of this Agreement.</w:t>
      </w:r>
    </w:p>
    <w:p>
      <w:pPr>
        <w:spacing w:after="0" w:line="184" w:lineRule="exact"/>
        <w:rPr>
          <w:rFonts w:ascii="Times New Roman" w:cs="Times New Roman" w:eastAsia="Times New Roman" w:hAnsi="Times New Roman"/>
          <w:sz w:val="20"/>
          <w:szCs w:val="20"/>
          <w:color w:val="auto"/>
        </w:rPr>
      </w:pPr>
    </w:p>
    <w:p>
      <w:pPr>
        <w:ind w:left="1380" w:right="20" w:hanging="427"/>
        <w:spacing w:after="0" w:line="269" w:lineRule="auto"/>
        <w:tabs>
          <w:tab w:leader="none" w:pos="1380"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Subject to the terms of this Section 20(c), all of the terms and conditions of this Agreement shall be binding upon and shall inure to the benefit of each Party’s successors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26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ind w:left="1060" w:right="20"/>
        <w:spacing w:after="0" w:line="269" w:lineRule="auto"/>
        <w:rPr>
          <w:sz w:val="20"/>
          <w:szCs w:val="20"/>
          <w:color w:val="auto"/>
        </w:rPr>
      </w:pPr>
      <w:r>
        <w:rPr>
          <w:rFonts w:ascii="Times New Roman" w:cs="Times New Roman" w:eastAsia="Times New Roman" w:hAnsi="Times New Roman"/>
          <w:sz w:val="20"/>
          <w:szCs w:val="20"/>
          <w:color w:val="auto"/>
        </w:rPr>
        <w:t>permitted assigns. Any purported assignment, delegation, subcontract or transfer in violation of this Section 20(c) shall be null and void.</w:t>
      </w:r>
    </w:p>
    <w:p>
      <w:pPr>
        <w:spacing w:after="0" w:line="159" w:lineRule="exact"/>
        <w:rPr>
          <w:sz w:val="20"/>
          <w:szCs w:val="20"/>
          <w:color w:val="auto"/>
        </w:rPr>
      </w:pPr>
    </w:p>
    <w:p>
      <w:pPr>
        <w:jc w:val="both"/>
        <w:ind w:left="1060" w:hanging="427"/>
        <w:spacing w:after="0" w:line="244" w:lineRule="auto"/>
        <w:tabs>
          <w:tab w:leader="none" w:pos="106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Divestiture</w:t>
      </w:r>
      <w:r>
        <w:rPr>
          <w:rFonts w:ascii="Times New Roman" w:cs="Times New Roman" w:eastAsia="Times New Roman" w:hAnsi="Times New Roman"/>
          <w:sz w:val="20"/>
          <w:szCs w:val="20"/>
          <w:color w:val="auto"/>
        </w:rPr>
        <w:t>. If part of the business or a business unit or entity of OUTSET or any OUTSET Affiliate is divested (each, a “</w:t>
      </w:r>
      <w:r>
        <w:rPr>
          <w:rFonts w:ascii="Times New Roman" w:cs="Times New Roman" w:eastAsia="Times New Roman" w:hAnsi="Times New Roman"/>
          <w:sz w:val="20"/>
          <w:szCs w:val="20"/>
          <w:b w:val="1"/>
          <w:bCs w:val="1"/>
          <w:i w:val="1"/>
          <w:iCs w:val="1"/>
          <w:color w:val="auto"/>
        </w:rPr>
        <w:t>Divested Entity</w:t>
      </w:r>
      <w:r>
        <w:rPr>
          <w:rFonts w:ascii="Times New Roman" w:cs="Times New Roman" w:eastAsia="Times New Roman" w:hAnsi="Times New Roman"/>
          <w:sz w:val="20"/>
          <w:szCs w:val="20"/>
          <w:color w:val="auto"/>
        </w:rPr>
        <w:t>”), such Divested Entity may, upon Notice to Supplier, receive Services and/or the Supply of Products under the terms of this Agreement for up to the period equal to the greater of (A) the duration of the applicable transition services agreement, if any, between the OUTSET Entity and such Divested Entity; and (B) the remainder of the Term; provided that such period shall in no event exceed [***]; provided further that the Divested Entity agrees in writing to the terms and conditions of this Agreement. During this period, the Divested Entity may use the Products and Services for either its business operations or the business operations of the OUTSET Entities.</w:t>
      </w:r>
    </w:p>
    <w:p>
      <w:pPr>
        <w:spacing w:after="0" w:line="185" w:lineRule="exact"/>
        <w:rPr>
          <w:rFonts w:ascii="Times New Roman" w:cs="Times New Roman" w:eastAsia="Times New Roman" w:hAnsi="Times New Roman"/>
          <w:sz w:val="20"/>
          <w:szCs w:val="20"/>
          <w:color w:val="auto"/>
        </w:rPr>
      </w:pPr>
    </w:p>
    <w:p>
      <w:pPr>
        <w:ind w:left="640" w:hanging="520"/>
        <w:spacing w:after="0" w:line="269"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Beneficiary</w:t>
      </w:r>
      <w:r>
        <w:rPr>
          <w:rFonts w:ascii="Times New Roman" w:cs="Times New Roman" w:eastAsia="Times New Roman" w:hAnsi="Times New Roman"/>
          <w:sz w:val="20"/>
          <w:szCs w:val="20"/>
          <w:color w:val="auto"/>
        </w:rPr>
        <w:t>. Except as expressly stated in this Agreement, nothing in this Agreement shall confer any rights upon any Person other than the Parties and OUTSET and their respective successors and permitted assigns.</w:t>
      </w:r>
    </w:p>
    <w:p>
      <w:pPr>
        <w:spacing w:after="0" w:line="159" w:lineRule="exact"/>
        <w:rPr>
          <w:rFonts w:ascii="Times New Roman" w:cs="Times New Roman" w:eastAsia="Times New Roman" w:hAnsi="Times New Roman"/>
          <w:sz w:val="20"/>
          <w:szCs w:val="20"/>
          <w:color w:val="auto"/>
        </w:rPr>
      </w:pPr>
    </w:p>
    <w:p>
      <w:pPr>
        <w:jc w:val="both"/>
        <w:ind w:left="640" w:hanging="520"/>
        <w:spacing w:after="0" w:line="254"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w:t>
      </w:r>
      <w:r>
        <w:rPr>
          <w:rFonts w:ascii="Times New Roman" w:cs="Times New Roman" w:eastAsia="Times New Roman" w:hAnsi="Times New Roman"/>
          <w:sz w:val="20"/>
          <w:szCs w:val="20"/>
          <w:color w:val="auto"/>
        </w:rPr>
        <w:t>. This Agreement is not an exclusive contract, and OUTSET is free to purchase, or otherwise source, products and services similar to or the same as the Products and Services from any Person (including any OUTSET Entity), except to the extent otherwise expressly set forth in this Agreement.</w:t>
      </w:r>
    </w:p>
    <w:p>
      <w:pPr>
        <w:spacing w:after="0" w:line="174" w:lineRule="exact"/>
        <w:rPr>
          <w:rFonts w:ascii="Times New Roman" w:cs="Times New Roman" w:eastAsia="Times New Roman" w:hAnsi="Times New Roman"/>
          <w:sz w:val="20"/>
          <w:szCs w:val="20"/>
          <w:color w:val="auto"/>
        </w:rPr>
      </w:pPr>
    </w:p>
    <w:p>
      <w:pPr>
        <w:jc w:val="both"/>
        <w:ind w:left="640" w:hanging="520"/>
        <w:spacing w:after="0" w:line="246"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Singular terms in this Agreement shall be construed as plural, and vice versa, where the context requires. The headings or titles of the Sections or Subsections of this Agreement are for convenience only and shall not be used as an aid in construction of any provision of this Agreement. The words “includes” and “including” and the phrase “e.g.” mean “including without limitation”. Except as otherwise required by applicable Law, the binding version of this Agreement, and any reports, documents or Notices executed or provided hereunder, shall be the English version.</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45"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California, excluding any conflict of law provisions. The exclusive venue for any dispute hereunder shall be a California State court of competent jurisdiction located in San Francisco, CA, The Parties acknowledge and agree that the United Nations Convention on Contracts for the International Sale of Goods is specifically excluded from application to this Agreement. Both Parties agree to accept service of any summons, complaint, or other process in connection with any dispute, lawsuit, proceeding or action relating to or arising out of this Agreement.</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Conflict</w:t>
      </w:r>
      <w:r>
        <w:rPr>
          <w:rFonts w:ascii="Times New Roman" w:cs="Times New Roman" w:eastAsia="Times New Roman" w:hAnsi="Times New Roman"/>
          <w:sz w:val="20"/>
          <w:szCs w:val="20"/>
          <w:color w:val="auto"/>
        </w:rPr>
        <w:t>. In the event that any portion of this Agreement is held to be unenforceable, (i) the unenforceable portion shall be construed as nearly as possible to reflect the original intent of the Parties; (ii) the remainder of this Agreement shall remain in full force and effect; and (iii) the unenforceable portion shall remain enforceable in all other contexts and jurisdictions.</w:t>
      </w:r>
    </w:p>
    <w:p>
      <w:pPr>
        <w:spacing w:after="0" w:line="179" w:lineRule="exact"/>
        <w:rPr>
          <w:rFonts w:ascii="Times New Roman" w:cs="Times New Roman" w:eastAsia="Times New Roman" w:hAnsi="Times New Roman"/>
          <w:sz w:val="20"/>
          <w:szCs w:val="20"/>
          <w:color w:val="auto"/>
        </w:rPr>
      </w:pPr>
    </w:p>
    <w:p>
      <w:pPr>
        <w:jc w:val="both"/>
        <w:ind w:left="640" w:hanging="520"/>
        <w:spacing w:after="0" w:line="245" w:lineRule="auto"/>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In connection with this Agreement, Supplier shall cooperate with OUTSET and Third Parties, wherever located, designated by OUTSET or any OUTSET Affiliate (“</w:t>
      </w:r>
      <w:r>
        <w:rPr>
          <w:rFonts w:ascii="Times New Roman" w:cs="Times New Roman" w:eastAsia="Times New Roman" w:hAnsi="Times New Roman"/>
          <w:sz w:val="20"/>
          <w:szCs w:val="20"/>
          <w:b w:val="1"/>
          <w:bCs w:val="1"/>
          <w:i w:val="1"/>
          <w:iCs w:val="1"/>
          <w:color w:val="auto"/>
        </w:rPr>
        <w:t>Third-Party Providers</w:t>
      </w:r>
      <w:r>
        <w:rPr>
          <w:rFonts w:ascii="Times New Roman" w:cs="Times New Roman" w:eastAsia="Times New Roman" w:hAnsi="Times New Roman"/>
          <w:sz w:val="20"/>
          <w:szCs w:val="20"/>
          <w:color w:val="auto"/>
        </w:rPr>
        <w:t>”). Third-Party Providers shall have the right to access, coordinate, receive and use the Products and Services to provide products or services to OUTSET or its Affiliates consistent with this Agreement. Without limiting the foregoing, Third-Party Providers may (i) be the main point of contact regarding the Products or Services; (ii) administer the receipt or use of the Products or Services; and (iii) review, audit and provide remittance on invoices relating to this Agreement.</w:t>
      </w:r>
    </w:p>
    <w:p>
      <w:pPr>
        <w:spacing w:after="0" w:line="200" w:lineRule="exact"/>
        <w:rPr>
          <w:sz w:val="20"/>
          <w:szCs w:val="20"/>
          <w:color w:val="auto"/>
        </w:rPr>
      </w:pPr>
    </w:p>
    <w:p>
      <w:pPr>
        <w:spacing w:after="0" w:line="23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27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00" w:lineRule="exact"/>
        <w:rPr>
          <w:sz w:val="20"/>
          <w:szCs w:val="20"/>
          <w:color w:val="auto"/>
        </w:rPr>
      </w:pPr>
    </w:p>
    <w:p>
      <w:pPr>
        <w:spacing w:after="0" w:line="268"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Supplier hereby grants to OUTSET and its Affiliates the right to allow, and grant sublicenses to, Third-Party Providers to install, use, copy, modify and prepare derivative works of Supplier Background Technology and Supplier Foreground Technology in connection with the services they render and/or products they provide to OUTSET and its Affiliates to the full extent of OUTSET or its respective Affiliate’s rights regarding Supplier Background Technology under this Agreement.</w:t>
      </w:r>
    </w:p>
    <w:p>
      <w:pPr>
        <w:spacing w:after="0" w:line="180" w:lineRule="exact"/>
        <w:rPr>
          <w:sz w:val="20"/>
          <w:szCs w:val="20"/>
          <w:color w:val="auto"/>
        </w:rPr>
      </w:pPr>
    </w:p>
    <w:p>
      <w:pPr>
        <w:jc w:val="both"/>
        <w:ind w:left="640" w:hanging="520"/>
        <w:spacing w:after="0" w:line="244" w:lineRule="auto"/>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Remedies</w:t>
      </w:r>
      <w:r>
        <w:rPr>
          <w:rFonts w:ascii="Times New Roman" w:cs="Times New Roman" w:eastAsia="Times New Roman" w:hAnsi="Times New Roman"/>
          <w:sz w:val="20"/>
          <w:szCs w:val="20"/>
          <w:color w:val="auto"/>
        </w:rPr>
        <w:t>. The failure of either Party at any time to require performance by the other Party of any provision of this Agreement shall not affect the full right to require such performance at any time thereafter, nor shall the waiver by either Party of a breach of any provision of this Agreement be taken or held to be a waiver of any succeeding breach of such provision or as a waiver of the provision itself. Where the Parties have specified a remedy for a breach of this Agreement, as to that breach the rights and remedies specified shall be the sole and exclusive remedies. Where the Parties have not specified the remedies for a breach, the rights and remedies of either Party in this Contract are cumulative and in addition to any other rights and remedies provided by law or in equity.</w:t>
      </w:r>
    </w:p>
    <w:p>
      <w:pPr>
        <w:spacing w:after="0" w:line="185" w:lineRule="exact"/>
        <w:rPr>
          <w:rFonts w:ascii="Times New Roman" w:cs="Times New Roman" w:eastAsia="Times New Roman" w:hAnsi="Times New Roman"/>
          <w:sz w:val="20"/>
          <w:szCs w:val="20"/>
          <w:color w:val="auto"/>
        </w:rPr>
      </w:pPr>
    </w:p>
    <w:p>
      <w:pPr>
        <w:jc w:val="both"/>
        <w:ind w:left="640" w:hanging="520"/>
        <w:spacing w:after="0" w:line="243" w:lineRule="auto"/>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Contractor.</w:t>
      </w:r>
      <w:r>
        <w:rPr>
          <w:rFonts w:ascii="Times New Roman" w:cs="Times New Roman" w:eastAsia="Times New Roman" w:hAnsi="Times New Roman"/>
          <w:sz w:val="20"/>
          <w:szCs w:val="20"/>
          <w:color w:val="auto"/>
        </w:rPr>
        <w:t xml:space="preserve"> The Parties are independent parties and nothing contained in this Agreement shall be construed to place the Parties in the relationship of employer and employee, partners, principal and agent, or joint ventures. Neither Party shall have the power to bind or obligate the other Party nor shall either Party hold itself out as having such authority. At no time shall any Related Person represent himself or herself as an employee of, or be considered an employee of, OUTSET or any OUTSET Affiliate. Supplier is exclusively responsible for all obligations imposed upon employers by any applicable Laws with respect to Related Persons, including all employment verification, work authorization, compensation, taxation, insurance and levy responsibilities. Neither Party shall be deemed a joint employer of the other’s employees. Related Persons shall not be deemed “leased” employees of OUTSET or any OUTSET Affiliate for any purpose.</w:t>
      </w:r>
    </w:p>
    <w:p>
      <w:pPr>
        <w:spacing w:after="0" w:line="189" w:lineRule="exact"/>
        <w:rPr>
          <w:rFonts w:ascii="Times New Roman" w:cs="Times New Roman" w:eastAsia="Times New Roman" w:hAnsi="Times New Roman"/>
          <w:sz w:val="20"/>
          <w:szCs w:val="20"/>
          <w:color w:val="auto"/>
        </w:rPr>
      </w:pPr>
    </w:p>
    <w:p>
      <w:pPr>
        <w:jc w:val="both"/>
        <w:ind w:left="640" w:hanging="520"/>
        <w:spacing w:after="0" w:line="249" w:lineRule="auto"/>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Construction against the Drafter</w:t>
      </w:r>
      <w:r>
        <w:rPr>
          <w:rFonts w:ascii="Times New Roman" w:cs="Times New Roman" w:eastAsia="Times New Roman" w:hAnsi="Times New Roman"/>
          <w:sz w:val="20"/>
          <w:szCs w:val="20"/>
          <w:color w:val="auto"/>
        </w:rPr>
        <w:t>. The Parties agree that (i) they had full opportunity to consult legal counsel regarding this Agreement prior to signing, have freely and voluntarily entered into this Agreement, and have read and understood each and every provision of this Agreement; and (ii) any interpretation of this Agreement shall not be construed against a Party by virtue of its having drafted any or all of the terms and conditions of this Agreement.</w:t>
      </w:r>
    </w:p>
    <w:p>
      <w:pPr>
        <w:spacing w:after="0" w:line="179" w:lineRule="exact"/>
        <w:rPr>
          <w:rFonts w:ascii="Times New Roman" w:cs="Times New Roman" w:eastAsia="Times New Roman" w:hAnsi="Times New Roman"/>
          <w:sz w:val="20"/>
          <w:szCs w:val="20"/>
          <w:color w:val="auto"/>
        </w:rPr>
      </w:pPr>
    </w:p>
    <w:p>
      <w:pPr>
        <w:jc w:val="both"/>
        <w:ind w:left="640" w:hanging="520"/>
        <w:spacing w:after="0" w:line="245" w:lineRule="auto"/>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Federal Contractor Requirements</w:t>
      </w:r>
      <w:r>
        <w:rPr>
          <w:rFonts w:ascii="Times New Roman" w:cs="Times New Roman" w:eastAsia="Times New Roman" w:hAnsi="Times New Roman"/>
          <w:sz w:val="20"/>
          <w:szCs w:val="20"/>
          <w:color w:val="auto"/>
        </w:rPr>
        <w:t>. This Agreement may be subject to the requirements of 41 CFR 60-1.4 and 29 CFR part 471, Appendix A to Subpart A, which are incorporated into this Agreement by reference, as applicable. In addition, this Agreement is subject to the requirements of 41 CFR 60-300.5(a) and 41 CFR 60-741.5(a), which are incorporated into this Agreement by reference, as applicable. The latter two regulations prohibit discrimination against qualified individuals on the basis of protected veteran status and disability and require affirmative action to employ and advance in employment protected veterans and qualified individuals with disabilities.</w:t>
      </w:r>
    </w:p>
    <w:p>
      <w:pPr>
        <w:spacing w:after="0" w:line="184" w:lineRule="exact"/>
        <w:rPr>
          <w:rFonts w:ascii="Times New Roman" w:cs="Times New Roman" w:eastAsia="Times New Roman" w:hAnsi="Times New Roman"/>
          <w:sz w:val="20"/>
          <w:szCs w:val="20"/>
          <w:color w:val="auto"/>
        </w:rPr>
      </w:pPr>
    </w:p>
    <w:p>
      <w:pPr>
        <w:jc w:val="both"/>
        <w:ind w:left="640" w:hanging="520"/>
        <w:spacing w:after="0" w:line="254" w:lineRule="auto"/>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and/or by facsimile or other electronic means agreed by the Parties, each of which shall be deemed an original, but all of which taken together shall constitute one and the same instrument.</w:t>
      </w:r>
    </w:p>
    <w:p>
      <w:pPr>
        <w:spacing w:after="0" w:line="17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Page 28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*Portions of this exhibit have been excluded because it both (i) is not material and (ii) would be competitively harmful if publicly disclosed.</w:t>
      </w:r>
    </w:p>
    <w:p>
      <w:pPr>
        <w:spacing w:after="0" w:line="252" w:lineRule="exact"/>
        <w:rPr>
          <w:sz w:val="20"/>
          <w:szCs w:val="20"/>
          <w:color w:val="auto"/>
        </w:rPr>
      </w:pPr>
    </w:p>
    <w:p>
      <w:pPr>
        <w:ind w:firstLine="604"/>
        <w:spacing w:after="0" w:line="269" w:lineRule="auto"/>
        <w:rPr>
          <w:sz w:val="20"/>
          <w:szCs w:val="20"/>
          <w:color w:val="auto"/>
        </w:rPr>
      </w:pPr>
      <w:r>
        <w:rPr>
          <w:rFonts w:ascii="Times New Roman" w:cs="Times New Roman" w:eastAsia="Times New Roman" w:hAnsi="Times New Roman"/>
          <w:sz w:val="20"/>
          <w:szCs w:val="20"/>
          <w:color w:val="auto"/>
        </w:rPr>
        <w:t>BY SIGNING BELOW, each of OUTSET and Supplier agrees to the terms of this Agreement, and has caused this Agreement to be executed by its duly authorized representative as of the Effective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Providien Device Assembly, LLC</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20"/>
                <w:szCs w:val="20"/>
                <w:b w:val="1"/>
                <w:bCs w:val="1"/>
                <w:color w:val="auto"/>
              </w:rPr>
              <w:t>Outset Medical</w:t>
            </w:r>
          </w:p>
        </w:tc>
      </w:tr>
      <w:tr>
        <w:trPr>
          <w:trHeight w:val="467"/>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 Brett M. Bannister</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By:   /s/ Martin Vazquez</w:t>
            </w:r>
          </w:p>
        </w:tc>
      </w:tr>
      <w:tr>
        <w:trPr>
          <w:trHeight w:val="200"/>
        </w:trPr>
        <w:tc>
          <w:tcPr>
            <w:tcW w:w="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Brett M. Bannister</w:t>
            </w:r>
          </w:p>
        </w:tc>
        <w:tc>
          <w:tcPr>
            <w:tcW w:w="1220" w:type="dxa"/>
            <w:vAlign w:val="bottom"/>
          </w:tcPr>
          <w:p>
            <w:pPr>
              <w:ind w:left="680"/>
              <w:spacing w:after="0" w:line="200" w:lineRule="exact"/>
              <w:rPr>
                <w:sz w:val="20"/>
                <w:szCs w:val="20"/>
                <w:color w:val="auto"/>
              </w:rPr>
            </w:pPr>
            <w:r>
              <w:rPr>
                <w:rFonts w:ascii="Times New Roman" w:cs="Times New Roman" w:eastAsia="Times New Roman" w:hAnsi="Times New Roman"/>
                <w:sz w:val="20"/>
                <w:szCs w:val="20"/>
                <w:color w:val="auto"/>
                <w:w w:val="97"/>
              </w:rPr>
              <w:t>Name:</w:t>
            </w:r>
          </w:p>
        </w:tc>
        <w:tc>
          <w:tcPr>
            <w:tcW w:w="47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Martin Vazquez</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Business Unit GM</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Title:  COO</w:t>
            </w: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1/14/21</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Date: 1/28/2021</w:t>
            </w:r>
          </w:p>
        </w:tc>
      </w:tr>
      <w:tr>
        <w:trPr>
          <w:trHeight w:val="20"/>
        </w:trPr>
        <w:tc>
          <w:tcPr>
            <w:tcW w:w="58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29 of </w:t>
      </w: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color w:val="auto"/>
        </w:rPr>
        <w:t>*Portions of this exhibit have been excluded because it both (i) is not material and (ii) would be competitively harmful if publicly disclosed.</w:t>
      </w:r>
    </w:p>
    <w:p>
      <w:pPr>
        <w:sectPr>
          <w:pgSz w:w="11900" w:h="16838" w:orient="portrait"/>
          <w:cols w:equalWidth="0" w:num="1">
            <w:col w:w="10620"/>
          </w:cols>
          <w:pgMar w:left="640" w:top="117" w:right="6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EXHIBIT A - PRODUCTS SPECIFICATIONS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B - SUPPLY PRICE</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C - APPROVED LOCATIONS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EXHIBIT E - INSURANCE REQUIREMENTS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F - TOOLING</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Page 30 of </w:t>
      </w:r>
      <w:r>
        <w:rPr>
          <w:rFonts w:ascii="Times New Roman" w:cs="Times New Roman" w:eastAsia="Times New Roman" w:hAnsi="Times New Roman"/>
          <w:sz w:val="16"/>
          <w:szCs w:val="16"/>
          <w:color w:val="auto"/>
        </w:rPr>
        <w:t>30</w:t>
      </w:r>
    </w:p>
    <w:p>
      <w:pPr>
        <w:sectPr>
          <w:pgSz w:w="11900" w:h="16838" w:orient="portrait"/>
          <w:cols w:equalWidth="0" w:num="1">
            <w:col w:w="10620"/>
          </w:cols>
          <w:pgMar w:left="640" w:top="117" w:right="639" w:bottom="144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Outset Medical, Inc.:</w:t>
      </w:r>
    </w:p>
    <w:p>
      <w:pPr>
        <w:spacing w:after="0" w:line="125" w:lineRule="exact"/>
        <w:rPr>
          <w:sz w:val="20"/>
          <w:szCs w:val="20"/>
          <w:color w:val="auto"/>
        </w:rPr>
      </w:pPr>
    </w:p>
    <w:p>
      <w:pPr>
        <w:ind w:right="180"/>
        <w:spacing w:after="0" w:line="229"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248903) on Form S-8 of Outset Medical, Inc. of our report dated March 22, 2021, with respect to the balance sheets of Outset Medical, Inc. as of December 31, 2020 and 2019, the related statements of operations, comprehensive loss, redeemable convertible preferred stock and stockholders’ equity (deficit), and cash flows for each of the years in the three-year period ended December 31, 2020, and the related notes (collectively the financial statements), which report appears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Outset Medical,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ectPr>
          <w:pgSz w:w="11900" w:h="16838" w:orient="portrait"/>
          <w:cols w:equalWidth="0" w:num="1">
            <w:col w:w="11240"/>
          </w:cols>
          <w:pgMar w:left="320" w:top="114"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17" w:lineRule="exact"/>
        <w:rPr>
          <w:sz w:val="20"/>
          <w:szCs w:val="20"/>
          <w:color w:val="auto"/>
        </w:rPr>
      </w:pPr>
    </w:p>
    <w:p>
      <w:pPr>
        <w:ind w:left="440" w:hanging="432"/>
        <w:spacing w:after="0"/>
        <w:tabs>
          <w:tab w:leader="none" w:pos="4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Outset Medical, Inc.;</w:t>
      </w:r>
    </w:p>
    <w:p>
      <w:pPr>
        <w:spacing w:after="0" w:line="117" w:lineRule="exact"/>
        <w:rPr>
          <w:rFonts w:ascii="Times New Roman" w:cs="Times New Roman" w:eastAsia="Times New Roman" w:hAnsi="Times New Roman"/>
          <w:sz w:val="18"/>
          <w:szCs w:val="18"/>
          <w:color w:val="auto"/>
        </w:rPr>
      </w:pPr>
    </w:p>
    <w:p>
      <w:pPr>
        <w:jc w:val="both"/>
        <w:ind w:left="440" w:right="340" w:hanging="432"/>
        <w:spacing w:after="0" w:line="266" w:lineRule="auto"/>
        <w:tabs>
          <w:tab w:leader="none" w:pos="4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right="320" w:hanging="432"/>
        <w:spacing w:after="0" w:line="266" w:lineRule="auto"/>
        <w:tabs>
          <w:tab w:leader="none" w:pos="4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66"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60" w:hanging="442"/>
        <w:spacing w:after="0" w:line="266"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442"/>
        <w:spacing w:after="0" w:line="312" w:lineRule="auto"/>
        <w:tabs>
          <w:tab w:leader="none" w:pos="1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42"/>
        <w:spacing w:after="0" w:line="266"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442"/>
        <w:spacing w:after="0" w:line="282"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442"/>
        <w:spacing w:after="0" w:line="282"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Leslie Trigg</w:t>
            </w:r>
          </w:p>
        </w:tc>
      </w:tr>
      <w:tr>
        <w:trPr>
          <w:trHeight w:val="191"/>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33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117" w:lineRule="exact"/>
        <w:rPr>
          <w:sz w:val="20"/>
          <w:szCs w:val="20"/>
          <w:color w:val="auto"/>
        </w:rPr>
      </w:pPr>
    </w:p>
    <w:p>
      <w:pPr>
        <w:ind w:left="440" w:hanging="432"/>
        <w:spacing w:after="0"/>
        <w:tabs>
          <w:tab w:leader="none" w:pos="4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Outset Medical, Inc.;</w:t>
      </w:r>
    </w:p>
    <w:p>
      <w:pPr>
        <w:spacing w:after="0" w:line="117" w:lineRule="exact"/>
        <w:rPr>
          <w:rFonts w:ascii="Times New Roman" w:cs="Times New Roman" w:eastAsia="Times New Roman" w:hAnsi="Times New Roman"/>
          <w:sz w:val="18"/>
          <w:szCs w:val="18"/>
          <w:color w:val="auto"/>
        </w:rPr>
      </w:pPr>
    </w:p>
    <w:p>
      <w:pPr>
        <w:jc w:val="both"/>
        <w:ind w:left="440" w:right="340" w:hanging="432"/>
        <w:spacing w:after="0" w:line="266" w:lineRule="auto"/>
        <w:tabs>
          <w:tab w:leader="none" w:pos="4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right="320" w:hanging="432"/>
        <w:spacing w:after="0" w:line="266" w:lineRule="auto"/>
        <w:tabs>
          <w:tab w:leader="none" w:pos="4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60" w:hanging="442"/>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442"/>
        <w:spacing w:after="0" w:line="312" w:lineRule="auto"/>
        <w:tabs>
          <w:tab w:leader="none" w:pos="130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42"/>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442"/>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442"/>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Rebecca Chambers</w:t>
            </w:r>
          </w:p>
        </w:tc>
      </w:tr>
      <w:tr>
        <w:trPr>
          <w:trHeight w:val="191"/>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Rebecca Chambers</w:t>
            </w:r>
          </w:p>
        </w:tc>
      </w:tr>
      <w:tr>
        <w:trPr>
          <w:trHeight w:val="214"/>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33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Outset Medical, Inc. (the “Company”) on Form 10-K for the period ending December 31, 2020, as filed with the Securities and Exchange Commission on the date hereof (the “Report”), each of the undersigned certifies, pursuant to 18 U.S.C. §1350, as adopted pursuant to §906 of the Sarbanes-Oxley Act of 2002, that, to her knowledge:</w:t>
      </w:r>
    </w:p>
    <w:p>
      <w:pPr>
        <w:spacing w:after="0" w:line="135" w:lineRule="exact"/>
        <w:rPr>
          <w:sz w:val="20"/>
          <w:szCs w:val="20"/>
          <w:color w:val="auto"/>
        </w:rPr>
      </w:pPr>
    </w:p>
    <w:p>
      <w:pPr>
        <w:ind w:left="880" w:hanging="440"/>
        <w:spacing w:after="0"/>
        <w:tabs>
          <w:tab w:leader="none" w:pos="8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23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Trigg</w:t>
            </w:r>
          </w:p>
        </w:tc>
      </w:tr>
      <w:tr>
        <w:trPr>
          <w:trHeight w:val="191"/>
        </w:trPr>
        <w:tc>
          <w:tcPr>
            <w:tcW w:w="2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2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23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Rebecca Chambers</w:t>
            </w:r>
          </w:p>
        </w:tc>
      </w:tr>
      <w:tr>
        <w:trPr>
          <w:trHeight w:val="191"/>
        </w:trPr>
        <w:tc>
          <w:tcPr>
            <w:tcW w:w="2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Rebecca Chambers</w:t>
            </w:r>
          </w:p>
        </w:tc>
      </w:tr>
      <w:tr>
        <w:trPr>
          <w:trHeight w:val="214"/>
        </w:trPr>
        <w:tc>
          <w:tcPr>
            <w:tcW w:w="2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lvl w:ilvl="1">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lvl w:ilvl="1">
      <w:lvlJc w:val="left"/>
      <w:lvlText w:val="o"/>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1)"/>
      <w:numFmt w:val="decimal"/>
      <w:start w:val="2"/>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1)"/>
      <w:numFmt w:val="decimal"/>
      <w:start w:val="4"/>
    </w:lvl>
  </w:abstractNum>
  <w:abstractNum w:abstractNumId="58">
    <w:nsid w:val="6A3DD3E8"/>
    <w:multiLevelType w:val="hybridMultilevel"/>
    <w:lvl w:ilvl="0">
      <w:lvlJc w:val="left"/>
      <w:lvlText w:val="(%1)"/>
      <w:numFmt w:val="decimal"/>
      <w:start w:val="1"/>
    </w:lvl>
  </w:abstractNum>
  <w:abstractNum w:abstractNumId="59">
    <w:nsid w:val="71C91298"/>
    <w:multiLevelType w:val="hybridMultilevel"/>
    <w:lvl w:ilvl="0">
      <w:lvlJc w:val="left"/>
      <w:lvlText w:val="(%1)"/>
      <w:numFmt w:val="decimal"/>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1)"/>
      <w:numFmt w:val="decimal"/>
      <w:start w:val="1"/>
    </w:lvl>
  </w:abstractNum>
  <w:abstractNum w:abstractNumId="62">
    <w:nsid w:val="1FBFE8E0"/>
    <w:multiLevelType w:val="hybridMultilevel"/>
    <w:lvl w:ilvl="0">
      <w:lvlJc w:val="left"/>
      <w:lvlText w:val="%1."/>
      <w:numFmt w:val="decimal"/>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1)"/>
      <w:numFmt w:val="lowerRoman"/>
      <w:start w:val="5"/>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1"/>
      <w:numFmt w:val="bullet"/>
      <w:start w:val="1"/>
    </w:lvl>
  </w:abstractNum>
  <w:abstractNum w:abstractNumId="71">
    <w:nsid w:val="1CA0C5FA"/>
    <w:multiLevelType w:val="hybridMultilevel"/>
    <w:lvl w:ilvl="0">
      <w:lvlJc w:val="left"/>
      <w:lvlText w:val="2"/>
      <w:numFmt w:val="bullet"/>
      <w:start w:val="1"/>
    </w:lvl>
  </w:abstractNum>
  <w:abstractNum w:abstractNumId="72">
    <w:nsid w:val="53584BCB"/>
    <w:multiLevelType w:val="hybridMultilevel"/>
    <w:lvl w:ilvl="0">
      <w:lvlJc w:val="left"/>
      <w:lvlText w:val="%1."/>
      <w:numFmt w:val="decimal"/>
      <w:start w:val="1"/>
    </w:lvl>
    <w:lvl w:ilvl="1">
      <w:lvlJc w:val="left"/>
      <w:lvlText w:val="(%2)"/>
      <w:numFmt w:val="lowerLetter"/>
      <w:start w:val="1"/>
    </w:lvl>
  </w:abstractNum>
  <w:abstractNum w:abstractNumId="73">
    <w:nsid w:val="415E286C"/>
    <w:multiLevelType w:val="hybridMultilevel"/>
    <w:lvl w:ilvl="0">
      <w:lvlJc w:val="left"/>
      <w:lvlText w:val="%1"/>
      <w:numFmt w:val="decimal"/>
      <w:start w:val="1"/>
    </w:lvl>
    <w:lvl w:ilvl="1">
      <w:lvlJc w:val="left"/>
      <w:lvlText w:val="(%2)"/>
      <w:numFmt w:val="lowerLetter"/>
      <w:start w:val="3"/>
    </w:lvl>
  </w:abstractNum>
  <w:abstractNum w:abstractNumId="74">
    <w:nsid w:val="7C58FD05"/>
    <w:multiLevelType w:val="hybridMultilevel"/>
    <w:lvl w:ilvl="0">
      <w:lvlJc w:val="left"/>
      <w:lvlText w:val="%1."/>
      <w:numFmt w:val="decimal"/>
      <w:start w:val="4"/>
    </w:lvl>
    <w:lvl w:ilvl="1">
      <w:lvlJc w:val="left"/>
      <w:lvlText w:val="(%2)"/>
      <w:numFmt w:val="lowerLetter"/>
      <w:start w:val="1"/>
    </w:lvl>
  </w:abstractNum>
  <w:abstractNum w:abstractNumId="75">
    <w:nsid w:val="23D86AAC"/>
    <w:multiLevelType w:val="hybridMultilevel"/>
    <w:lvl w:ilvl="0">
      <w:lvlJc w:val="left"/>
      <w:lvlText w:val="(%1)"/>
      <w:numFmt w:val="lowerLetter"/>
      <w:start w:val="3"/>
    </w:lvl>
  </w:abstractNum>
  <w:abstractNum w:abstractNumId="76">
    <w:nsid w:val="45E6D486"/>
    <w:multiLevelType w:val="hybridMultilevel"/>
    <w:lvl w:ilvl="0">
      <w:lvlJc w:val="left"/>
      <w:lvlText w:val="%1."/>
      <w:numFmt w:val="decimal"/>
      <w:start w:val="7"/>
    </w:lvl>
    <w:lvl w:ilvl="1">
      <w:lvlJc w:val="left"/>
      <w:lvlText w:val="(%2)"/>
      <w:numFmt w:val="lowerLetter"/>
      <w:start w:val="1"/>
    </w:lvl>
  </w:abstractNum>
  <w:abstractNum w:abstractNumId="77">
    <w:nsid w:val="5C10FE21"/>
    <w:multiLevelType w:val="hybridMultilevel"/>
    <w:lvl w:ilvl="0">
      <w:lvlJc w:val="left"/>
      <w:lvlText w:val="%1."/>
      <w:numFmt w:val="decimal"/>
      <w:start w:val="9"/>
    </w:lvl>
    <w:lvl w:ilvl="1">
      <w:lvlJc w:val="left"/>
      <w:lvlText w:val="(%2)"/>
      <w:numFmt w:val="lowerLetter"/>
      <w:start w:val="1"/>
    </w:lvl>
  </w:abstractNum>
  <w:abstractNum w:abstractNumId="78">
    <w:nsid w:val="E7FFA2B"/>
    <w:multiLevelType w:val="hybridMultilevel"/>
    <w:lvl w:ilvl="0">
      <w:lvlJc w:val="left"/>
      <w:lvlText w:val="%1."/>
      <w:numFmt w:val="decimal"/>
      <w:start w:val="13"/>
    </w:lvl>
  </w:abstractNum>
  <w:abstractNum w:abstractNumId="79">
    <w:nsid w:val="3C5991AA"/>
    <w:multiLevelType w:val="hybridMultilevel"/>
    <w:lvl w:ilvl="0">
      <w:lvlJc w:val="left"/>
      <w:lvlText w:val="3"/>
      <w:numFmt w:val="bullet"/>
      <w:start w:val="1"/>
    </w:lvl>
  </w:abstractNum>
  <w:abstractNum w:abstractNumId="80">
    <w:nsid w:val="4BD8591A"/>
    <w:multiLevelType w:val="hybridMultilevel"/>
    <w:lvl w:ilvl="0">
      <w:lvlJc w:val="left"/>
      <w:lvlText w:val="4"/>
      <w:numFmt w:val="bullet"/>
      <w:start w:val="1"/>
    </w:lvl>
  </w:abstractNum>
  <w:abstractNum w:abstractNumId="81">
    <w:nsid w:val="78DF6A55"/>
    <w:multiLevelType w:val="hybridMultilevel"/>
    <w:lvl w:ilvl="0">
      <w:lvlJc w:val="left"/>
      <w:lvlText w:val="5"/>
      <w:numFmt w:val="bullet"/>
      <w:start w:val="1"/>
    </w:lvl>
  </w:abstractNum>
  <w:abstractNum w:abstractNumId="82">
    <w:nsid w:val="39B7AAA2"/>
    <w:multiLevelType w:val="hybridMultilevel"/>
    <w:lvl w:ilvl="0">
      <w:lvlJc w:val="left"/>
      <w:lvlText w:val="%1."/>
      <w:numFmt w:val="decimal"/>
      <w:start w:val="1"/>
    </w:lvl>
  </w:abstractNum>
  <w:abstractNum w:abstractNumId="83">
    <w:nsid w:val="2B0D8DBE"/>
    <w:multiLevelType w:val="hybridMultilevel"/>
    <w:lvl w:ilvl="0">
      <w:lvlJc w:val="left"/>
      <w:lvlText w:val="%1."/>
      <w:numFmt w:val="decimal"/>
      <w:start w:val="5"/>
    </w:lvl>
    <w:lvl w:ilvl="1">
      <w:lvlJc w:val="left"/>
      <w:lvlText w:val="(%2)"/>
      <w:numFmt w:val="lowerLetter"/>
      <w:start w:val="1"/>
    </w:lvl>
  </w:abstractNum>
  <w:abstractNum w:abstractNumId="84">
    <w:nsid w:val="6C80EC70"/>
    <w:multiLevelType w:val="hybridMultilevel"/>
    <w:lvl w:ilvl="0">
      <w:lvlJc w:val="left"/>
      <w:lvlText w:val="%1"/>
      <w:numFmt w:val="decimal"/>
      <w:start w:val="1"/>
    </w:lvl>
    <w:lvl w:ilvl="1">
      <w:lvlJc w:val="left"/>
      <w:lvlText w:val="(%2)"/>
      <w:numFmt w:val="lowerLetter"/>
      <w:start w:val="2"/>
    </w:lvl>
  </w:abstractNum>
  <w:abstractNum w:abstractNumId="85">
    <w:nsid w:val="379E21B5"/>
    <w:multiLevelType w:val="hybridMultilevel"/>
    <w:lvl w:ilvl="0">
      <w:lvlJc w:val="left"/>
      <w:lvlText w:val="%1."/>
      <w:numFmt w:val="decimal"/>
      <w:start w:val="10"/>
    </w:lvl>
    <w:lvl w:ilvl="1">
      <w:lvlJc w:val="left"/>
      <w:lvlText w:val="%2"/>
      <w:numFmt w:val="lowerLetter"/>
      <w:start w:val="1"/>
    </w:lvl>
  </w:abstractNum>
  <w:abstractNum w:abstractNumId="86">
    <w:nsid w:val="69E373"/>
    <w:multiLevelType w:val="hybridMultilevel"/>
    <w:lvl w:ilvl="0">
      <w:lvlJc w:val="left"/>
      <w:lvlText w:val="%1."/>
      <w:numFmt w:val="decimal"/>
      <w:start w:val="14"/>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decimal"/>
      <w:start w:val="6"/>
    </w:lvl>
  </w:abstractNum>
  <w:abstractNum w:abstractNumId="89">
    <w:nsid w:val="6AA7B75C"/>
    <w:multiLevelType w:val="hybridMultilevel"/>
    <w:lvl w:ilvl="0">
      <w:lvlJc w:val="left"/>
      <w:lvlText w:val="(%1)"/>
      <w:numFmt w:val="lowerLetter"/>
      <w:start w:val="1"/>
    </w:lvl>
  </w:abstractNum>
  <w:abstractNum w:abstractNumId="90">
    <w:nsid w:val="1DF029D3"/>
    <w:multiLevelType w:val="hybridMultilevel"/>
    <w:lvl w:ilvl="0">
      <w:lvlJc w:val="left"/>
      <w:lvlText w:val="%1."/>
      <w:numFmt w:val="decimal"/>
      <w:start w:val="7"/>
    </w:lvl>
  </w:abstractNum>
  <w:abstractNum w:abstractNumId="91">
    <w:nsid w:val="5675FF36"/>
    <w:multiLevelType w:val="hybridMultilevel"/>
    <w:lvl w:ilvl="0">
      <w:lvlJc w:val="left"/>
      <w:lvlText w:val="%1."/>
      <w:numFmt w:val="decimal"/>
      <w:start w:val="9"/>
    </w:lvl>
  </w:abstractNum>
  <w:abstractNum w:abstractNumId="92">
    <w:nsid w:val="3DD15094"/>
    <w:multiLevelType w:val="hybridMultilevel"/>
    <w:lvl w:ilvl="0">
      <w:lvlJc w:val="left"/>
      <w:lvlText w:val="(%1)"/>
      <w:numFmt w:val="lowerLetter"/>
      <w:start w:val="1"/>
    </w:lvl>
  </w:abstractNum>
  <w:abstractNum w:abstractNumId="93">
    <w:nsid w:val="3DB012B3"/>
    <w:multiLevelType w:val="hybridMultilevel"/>
    <w:lvl w:ilvl="0">
      <w:lvlJc w:val="left"/>
      <w:lvlText w:val="%1."/>
      <w:numFmt w:val="decimal"/>
      <w:start w:val="10"/>
    </w:lvl>
  </w:abstractNum>
  <w:abstractNum w:abstractNumId="94">
    <w:nsid w:val="2708C9AF"/>
    <w:multiLevelType w:val="hybridMultilevel"/>
    <w:lvl w:ilvl="0">
      <w:lvlJc w:val="left"/>
      <w:lvlText w:val="%1."/>
      <w:numFmt w:val="decimal"/>
      <w:start w:val="13"/>
    </w:lvl>
  </w:abstractNum>
  <w:abstractNum w:abstractNumId="95">
    <w:nsid w:val="5B25ACE2"/>
    <w:multiLevelType w:val="hybridMultilevel"/>
    <w:lvl w:ilvl="0">
      <w:lvlJc w:val="left"/>
      <w:lvlText w:val="%1."/>
      <w:numFmt w:val="decimal"/>
      <w:start w:val="1"/>
    </w:lvl>
    <w:lvl w:ilvl="1">
      <w:lvlJc w:val="left"/>
      <w:lvlText w:val="(%2)"/>
      <w:numFmt w:val="lowerLetter"/>
      <w:start w:val="1"/>
    </w:lvl>
  </w:abstractNum>
  <w:abstractNum w:abstractNumId="96">
    <w:nsid w:val="175DFCF0"/>
    <w:multiLevelType w:val="hybridMultilevel"/>
    <w:lvl w:ilvl="0">
      <w:lvlJc w:val="left"/>
      <w:lvlText w:val="%1"/>
      <w:numFmt w:val="decimal"/>
      <w:start w:val="1"/>
    </w:lvl>
    <w:lvl w:ilvl="1">
      <w:lvlJc w:val="left"/>
      <w:lvlText w:val="(%2)"/>
      <w:numFmt w:val="lowerLetter"/>
      <w:start w:val="2"/>
    </w:lvl>
  </w:abstractNum>
  <w:abstractNum w:abstractNumId="97">
    <w:nsid w:val="4F97E3E4"/>
    <w:multiLevelType w:val="hybridMultilevel"/>
    <w:lvl w:ilvl="0">
      <w:lvlJc w:val="left"/>
      <w:lvlText w:val="%1."/>
      <w:numFmt w:val="decimal"/>
      <w:start w:val="6"/>
    </w:lvl>
    <w:lvl w:ilvl="1">
      <w:lvlJc w:val="left"/>
      <w:lvlText w:val="(%2)"/>
      <w:numFmt w:val="lowerLetter"/>
      <w:start w:val="1"/>
    </w:lvl>
  </w:abstractNum>
  <w:abstractNum w:abstractNumId="98">
    <w:nsid w:val="53B0A9E"/>
    <w:multiLevelType w:val="hybridMultilevel"/>
    <w:lvl w:ilvl="0">
      <w:lvlJc w:val="left"/>
      <w:lvlText w:val="%1"/>
      <w:numFmt w:val="decimal"/>
      <w:start w:val="1"/>
    </w:lvl>
    <w:lvl w:ilvl="1">
      <w:lvlJc w:val="left"/>
      <w:lvlText w:val="(%2)"/>
      <w:numFmt w:val="lowerLetter"/>
      <w:start w:val="2"/>
    </w:lvl>
  </w:abstractNum>
  <w:abstractNum w:abstractNumId="99">
    <w:nsid w:val="34FD6B4F"/>
    <w:multiLevelType w:val="hybridMultilevel"/>
    <w:lvl w:ilvl="0">
      <w:lvlJc w:val="left"/>
      <w:lvlText w:val="%1."/>
      <w:numFmt w:val="decimal"/>
      <w:start w:val="10"/>
    </w:lvl>
    <w:lvl w:ilvl="1">
      <w:lvlJc w:val="left"/>
      <w:lvlText w:val="%2"/>
      <w:numFmt w:val="lowerLetter"/>
      <w:start w:val="1"/>
    </w:lvl>
  </w:abstractNum>
  <w:abstractNum w:abstractNumId="100">
    <w:nsid w:val="5915FF32"/>
    <w:multiLevelType w:val="hybridMultilevel"/>
    <w:lvl w:ilvl="0">
      <w:lvlJc w:val="left"/>
      <w:lvlText w:val="%1."/>
      <w:numFmt w:val="decimal"/>
      <w:start w:val="15"/>
    </w:lvl>
  </w:abstractNum>
  <w:abstractNum w:abstractNumId="101">
    <w:nsid w:val="56438D15"/>
    <w:multiLevelType w:val="hybridMultilevel"/>
    <w:lvl w:ilvl="0">
      <w:lvlJc w:val="left"/>
      <w:lvlText w:val="%1)"/>
      <w:numFmt w:val="decimal"/>
      <w:start w:val="1"/>
    </w:lvl>
    <w:lvl w:ilvl="1">
      <w:lvlJc w:val="left"/>
      <w:lvlText w:val="(%2)"/>
      <w:numFmt w:val="lowerLetter"/>
      <w:start w:val="1"/>
    </w:lvl>
  </w:abstractNum>
  <w:abstractNum w:abstractNumId="102">
    <w:nsid w:val="519E3149"/>
    <w:multiLevelType w:val="hybridMultilevel"/>
    <w:lvl w:ilvl="0">
      <w:lvlJc w:val="left"/>
      <w:lvlText w:val="(%1)"/>
      <w:numFmt w:val="lowerLetter"/>
      <w:start w:val="4"/>
    </w:lvl>
  </w:abstractNum>
  <w:abstractNum w:abstractNumId="103">
    <w:nsid w:val="2C6E4AFD"/>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104">
    <w:nsid w:val="17A1B58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5">
    <w:nsid w:val="4DF72E4E"/>
    <w:multiLevelType w:val="hybridMultilevel"/>
    <w:lvl w:ilvl="0">
      <w:lvlJc w:val="left"/>
      <w:lvlText w:val="(%1)"/>
      <w:numFmt w:val="lowerLetter"/>
      <w:start w:val="2"/>
    </w:lvl>
    <w:lvl w:ilvl="1">
      <w:lvlJc w:val="left"/>
      <w:lvlText w:val="[***]"/>
      <w:numFmt w:val="bullet"/>
      <w:start w:val="1"/>
    </w:lvl>
  </w:abstractNum>
  <w:abstractNum w:abstractNumId="106">
    <w:nsid w:val="5046B5A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7">
    <w:nsid w:val="5D888A08"/>
    <w:multiLevelType w:val="hybridMultilevel"/>
    <w:lvl w:ilvl="0">
      <w:lvlJc w:val="left"/>
      <w:lvlText w:val="(%1)"/>
      <w:numFmt w:val="lowerLetter"/>
      <w:start w:val="5"/>
    </w:lvl>
  </w:abstractNum>
  <w:abstractNum w:abstractNumId="108">
    <w:nsid w:val="2A082C70"/>
    <w:multiLevelType w:val="hybridMultilevel"/>
    <w:lvl w:ilvl="0">
      <w:lvlJc w:val="left"/>
      <w:lvlText w:val="(%1)"/>
      <w:numFmt w:val="lowerLetter"/>
      <w:start w:val="7"/>
    </w:lvl>
  </w:abstractNum>
  <w:abstractNum w:abstractNumId="109">
    <w:nsid w:val="5EC6AFD4"/>
    <w:multiLevelType w:val="hybridMultilevel"/>
    <w:lvl w:ilvl="0">
      <w:lvlJc w:val="left"/>
      <w:lvlText w:val="%1)"/>
      <w:numFmt w:val="decimal"/>
      <w:start w:val="4"/>
    </w:lvl>
    <w:lvl w:ilvl="1">
      <w:lvlJc w:val="left"/>
      <w:lvlText w:val="(%2)"/>
      <w:numFmt w:val="lowerLetter"/>
      <w:start w:val="1"/>
    </w:lvl>
  </w:abstractNum>
  <w:abstractNum w:abstractNumId="110">
    <w:nsid w:val="19E21BB2"/>
    <w:multiLevelType w:val="hybridMultilevel"/>
    <w:lvl w:ilvl="0">
      <w:lvlJc w:val="left"/>
      <w:lvlText w:val="%1"/>
      <w:numFmt w:val="decimal"/>
      <w:start w:val="1"/>
    </w:lvl>
    <w:lvl w:ilvl="1">
      <w:lvlJc w:val="left"/>
      <w:lvlText w:val="(%2)"/>
      <w:numFmt w:val="lowerLetter"/>
      <w:start w:val="7"/>
    </w:lvl>
  </w:abstractNum>
  <w:abstractNum w:abstractNumId="111">
    <w:nsid w:val="75E0858A"/>
    <w:multiLevelType w:val="hybridMultilevel"/>
    <w:lvl w:ilvl="0">
      <w:lvlJc w:val="left"/>
      <w:lvlText w:val="%1)"/>
      <w:numFmt w:val="decimal"/>
      <w:start w:val="5"/>
    </w:lvl>
    <w:lvl w:ilvl="1">
      <w:lvlJc w:val="left"/>
      <w:lvlText w:val="(%2)"/>
      <w:numFmt w:val="lowerLetter"/>
      <w:start w:val="1"/>
    </w:lvl>
  </w:abstractNum>
  <w:abstractNum w:abstractNumId="112">
    <w:nsid w:val="57A61A29"/>
    <w:multiLevelType w:val="hybridMultilevel"/>
    <w:lvl w:ilvl="0">
      <w:lvlJc w:val="left"/>
      <w:lvlText w:val="(%1)"/>
      <w:numFmt w:val="lowerLetter"/>
      <w:start w:val="3"/>
    </w:lvl>
  </w:abstractNum>
  <w:abstractNum w:abstractNumId="113">
    <w:nsid w:val="5399C654"/>
    <w:multiLevelType w:val="hybridMultilevel"/>
    <w:lvl w:ilvl="0">
      <w:lvlJc w:val="left"/>
      <w:lvlText w:val="(%1)"/>
      <w:numFmt w:val="lowerLetter"/>
      <w:start w:val="6"/>
    </w:lvl>
  </w:abstractNum>
  <w:abstractNum w:abstractNumId="114">
    <w:nsid w:val="20EE1348"/>
    <w:multiLevelType w:val="hybridMultilevel"/>
    <w:lvl w:ilvl="0">
      <w:lvlJc w:val="left"/>
      <w:lvlText w:val="%1"/>
      <w:numFmt w:val="decimal"/>
      <w:start w:val="1"/>
    </w:lvl>
    <w:lvl w:ilvl="1">
      <w:lvlJc w:val="left"/>
      <w:lvlText w:val="(%2)"/>
      <w:numFmt w:val="lowerLetter"/>
      <w:start w:val="9"/>
    </w:lvl>
  </w:abstractNum>
  <w:abstractNum w:abstractNumId="115">
    <w:nsid w:val="4427069A"/>
    <w:multiLevelType w:val="hybridMultilevel"/>
    <w:lvl w:ilvl="0">
      <w:lvlJc w:val="left"/>
      <w:lvlText w:val="%1)"/>
      <w:numFmt w:val="decimal"/>
      <w:start w:val="7"/>
    </w:lvl>
    <w:lvl w:ilvl="1">
      <w:lvlJc w:val="left"/>
      <w:lvlText w:val="(%2)"/>
      <w:numFmt w:val="lowerLetter"/>
      <w:start w:val="1"/>
    </w:lvl>
  </w:abstractNum>
  <w:abstractNum w:abstractNumId="116">
    <w:nsid w:val="B37E80A"/>
    <w:multiLevelType w:val="hybridMultilevel"/>
    <w:lvl w:ilvl="0">
      <w:lvlJc w:val="left"/>
      <w:lvlText w:val="(%1)"/>
      <w:numFmt w:val="lowerLetter"/>
      <w:start w:val="4"/>
    </w:lvl>
  </w:abstractNum>
  <w:abstractNum w:abstractNumId="117">
    <w:nsid w:val="2157F6BC"/>
    <w:multiLevelType w:val="hybridMultilevel"/>
    <w:lvl w:ilvl="0">
      <w:lvlJc w:val="left"/>
      <w:lvlText w:val="(%1)"/>
      <w:numFmt w:val="lowerRoman"/>
      <w:start w:val="1"/>
    </w:lvl>
    <w:lvl w:ilvl="1">
      <w:lvlJc w:val="left"/>
      <w:lvlText w:val="(%2)"/>
      <w:numFmt w:val="lowerRoman"/>
      <w:start w:val="1"/>
    </w:lvl>
  </w:abstractNum>
  <w:abstractNum w:abstractNumId="118">
    <w:nsid w:val="704E1DD5"/>
    <w:multiLevelType w:val="hybridMultilevel"/>
    <w:lvl w:ilvl="0">
      <w:lvlJc w:val="left"/>
      <w:lvlText w:val="(%1)"/>
      <w:numFmt w:val="lowerLetter"/>
      <w:start w:val="10"/>
    </w:lvl>
  </w:abstractNum>
  <w:abstractNum w:abstractNumId="119">
    <w:nsid w:val="57D2F10E"/>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120">
    <w:nsid w:val="BFFAE1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1">
    <w:nsid w:val="E3E47A8"/>
    <w:multiLevelType w:val="hybridMultilevel"/>
    <w:lvl w:ilvl="0">
      <w:lvlJc w:val="left"/>
      <w:lvlText w:val="(%1)"/>
      <w:numFmt w:val="lowerRoman"/>
      <w:start w:val="4"/>
    </w:lvl>
  </w:abstractNum>
  <w:abstractNum w:abstractNumId="122">
    <w:nsid w:val="2E48F044"/>
    <w:multiLevelType w:val="hybridMultilevel"/>
    <w:lvl w:ilvl="0">
      <w:lvlJc w:val="left"/>
      <w:lvlText w:val="(%1)"/>
      <w:numFmt w:val="decimal"/>
      <w:start w:val="1"/>
    </w:lvl>
    <w:lvl w:ilvl="1">
      <w:lvlJc w:val="left"/>
      <w:lvlText w:val="[***]"/>
      <w:numFmt w:val="bullet"/>
      <w:start w:val="1"/>
    </w:lvl>
  </w:abstractNum>
  <w:abstractNum w:abstractNumId="123">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124">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decimal"/>
      <w:start w:val="1"/>
    </w:lvl>
  </w:abstractNum>
  <w:abstractNum w:abstractNumId="125">
    <w:nsid w:val="5551B9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26">
    <w:nsid w:val="24F6AB8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7">
    <w:nsid w:val="634C574C"/>
    <w:multiLevelType w:val="hybridMultilevel"/>
    <w:lvl w:ilvl="0">
      <w:lvlJc w:val="left"/>
      <w:lvlText w:val="(%1)"/>
      <w:numFmt w:val="lowerLetter"/>
      <w:start w:val="3"/>
    </w:lvl>
  </w:abstractNum>
  <w:abstractNum w:abstractNumId="128">
    <w:nsid w:val="24E99DD7"/>
    <w:multiLevelType w:val="hybridMultilevel"/>
    <w:lvl w:ilvl="0">
      <w:lvlJc w:val="left"/>
      <w:lvlText w:val="%1"/>
      <w:numFmt w:val="decimal"/>
      <w:start w:val="1"/>
    </w:lvl>
    <w:lvl w:ilvl="1">
      <w:lvlJc w:val="left"/>
      <w:lvlText w:val="(%2)"/>
      <w:numFmt w:val="lowerLetter"/>
      <w:start w:val="7"/>
    </w:lvl>
  </w:abstractNum>
  <w:abstractNum w:abstractNumId="129">
    <w:nsid w:val="2A31B62D"/>
    <w:multiLevelType w:val="hybridMultilevel"/>
    <w:lvl w:ilvl="0">
      <w:lvlJc w:val="left"/>
      <w:lvlText w:val="%1)"/>
      <w:numFmt w:val="decimal"/>
      <w:start w:val="11"/>
    </w:lvl>
    <w:lvl w:ilvl="1">
      <w:lvlJc w:val="left"/>
      <w:lvlText w:val="(%2)"/>
      <w:numFmt w:val="lowerLetter"/>
      <w:start w:val="1"/>
    </w:lvl>
  </w:abstractNum>
  <w:abstractNum w:abstractNumId="130">
    <w:nsid w:val="1849C29B"/>
    <w:multiLevelType w:val="hybridMultilevel"/>
    <w:lvl w:ilvl="0">
      <w:lvlJc w:val="left"/>
      <w:lvlText w:val="%1"/>
      <w:numFmt w:val="decimal"/>
      <w:start w:val="1"/>
    </w:lvl>
    <w:lvl w:ilvl="1">
      <w:lvlJc w:val="left"/>
      <w:lvlText w:val="(%2)"/>
      <w:numFmt w:val="lowerLetter"/>
      <w:start w:val="4"/>
    </w:lvl>
  </w:abstractNum>
  <w:abstractNum w:abstractNumId="131">
    <w:nsid w:val="7DFF9D09"/>
    <w:multiLevelType w:val="hybridMultilevel"/>
    <w:lvl w:ilvl="0">
      <w:lvlJc w:val="left"/>
      <w:lvlText w:val="%1)"/>
      <w:numFmt w:val="decimal"/>
      <w:start w:val="12"/>
    </w:lvl>
    <w:lvl w:ilvl="1">
      <w:lvlJc w:val="left"/>
      <w:lvlText w:val="(%2)"/>
      <w:numFmt w:val="lowerLetter"/>
      <w:start w:val="1"/>
    </w:lvl>
  </w:abstractNum>
  <w:abstractNum w:abstractNumId="132">
    <w:nsid w:val="754342"/>
    <w:multiLevelType w:val="hybridMultilevel"/>
    <w:lvl w:ilvl="0">
      <w:lvlJc w:val="left"/>
      <w:lvlText w:val="(%1)"/>
      <w:numFmt w:val="lowerLetter"/>
      <w:start w:val="3"/>
    </w:lvl>
    <w:lvl w:ilvl="1">
      <w:lvlJc w:val="left"/>
      <w:lvlText w:val="(%2)"/>
      <w:numFmt w:val="lowerRoman"/>
      <w:start w:val="1"/>
    </w:lvl>
  </w:abstractNum>
  <w:abstractNum w:abstractNumId="133">
    <w:nsid w:val="69E7F3E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34">
    <w:nsid w:val="2A6DE806"/>
    <w:multiLevelType w:val="hybridMultilevel"/>
    <w:lvl w:ilvl="0">
      <w:lvlJc w:val="left"/>
      <w:lvlText w:val="%1"/>
      <w:numFmt w:val="lowerLetter"/>
      <w:start w:val="1"/>
    </w:lvl>
    <w:lvl w:ilvl="1">
      <w:lvlJc w:val="left"/>
      <w:lvlText w:val="(%2)"/>
      <w:numFmt w:val="lowerLetter"/>
      <w:start w:val="22"/>
    </w:lvl>
  </w:abstractNum>
  <w:abstractNum w:abstractNumId="135">
    <w:nsid w:val="1816F8C4"/>
    <w:multiLevelType w:val="hybridMultilevel"/>
    <w:lvl w:ilvl="0">
      <w:lvlJc w:val="left"/>
      <w:lvlText w:val="(%1)"/>
      <w:numFmt w:val="lowerLetter"/>
      <w:start w:val="3"/>
    </w:lvl>
    <w:lvl w:ilvl="1">
      <w:lvlJc w:val="left"/>
      <w:lvlText w:val="(%2)"/>
      <w:numFmt w:val="lowerLetter"/>
      <w:start w:val="9"/>
    </w:lvl>
  </w:abstractNum>
  <w:abstractNum w:abstractNumId="136">
    <w:nsid w:val="37DF2233"/>
    <w:multiLevelType w:val="hybridMultilevel"/>
    <w:lvl w:ilvl="0">
      <w:lvlJc w:val="left"/>
      <w:lvlText w:val="(%1)"/>
      <w:numFmt w:val="lowerRoman"/>
      <w:start w:val="2"/>
    </w:lvl>
    <w:lvl w:ilvl="1">
      <w:lvlJc w:val="left"/>
      <w:lvlText w:val="(%2)"/>
      <w:numFmt w:val="decimal"/>
      <w:start w:val="1"/>
    </w:lvl>
  </w:abstractNum>
  <w:abstractNum w:abstractNumId="137">
    <w:nsid w:val="7AB49DAF"/>
    <w:multiLevelType w:val="hybridMultilevel"/>
    <w:lvl w:ilvl="0">
      <w:lvlJc w:val="left"/>
      <w:lvlText w:val="%1"/>
      <w:numFmt w:val="decimal"/>
      <w:start w:val="1"/>
    </w:lvl>
    <w:lvl w:ilvl="1">
      <w:lvlJc w:val="left"/>
      <w:lvlText w:val="(%2)"/>
      <w:numFmt w:val="lowerRoman"/>
      <w:start w:val="5"/>
    </w:lvl>
  </w:abstractNum>
  <w:abstractNum w:abstractNumId="138">
    <w:nsid w:val="759F82CD"/>
    <w:multiLevelType w:val="hybridMultilevel"/>
    <w:lvl w:ilvl="0">
      <w:lvlJc w:val="left"/>
      <w:lvlText w:val="%1)"/>
      <w:numFmt w:val="decimal"/>
      <w:start w:val="15"/>
    </w:lvl>
    <w:lvl w:ilvl="1">
      <w:lvlJc w:val="left"/>
      <w:lvlText w:val="%2"/>
      <w:numFmt w:val="lowerRoman"/>
      <w:start w:val="1"/>
    </w:lvl>
  </w:abstractNum>
  <w:abstractNum w:abstractNumId="139">
    <w:nsid w:val="61E74EA3"/>
    <w:multiLevelType w:val="hybridMultilevel"/>
    <w:lvl w:ilvl="0">
      <w:lvlJc w:val="left"/>
      <w:lvlText w:val="%1)"/>
      <w:numFmt w:val="decimal"/>
      <w:start w:val="18"/>
    </w:lvl>
    <w:lvl w:ilvl="1">
      <w:lvlJc w:val="left"/>
      <w:lvlText w:val="(%2)"/>
      <w:numFmt w:val="lowerLetter"/>
      <w:start w:val="1"/>
    </w:lvl>
  </w:abstractNum>
  <w:abstractNum w:abstractNumId="140">
    <w:nsid w:val="597B4D84"/>
    <w:multiLevelType w:val="hybridMultilevel"/>
    <w:lvl w:ilvl="0">
      <w:lvlJc w:val="left"/>
      <w:lvlText w:val="(%1)"/>
      <w:numFmt w:val="lowerLetter"/>
      <w:start w:val="2"/>
    </w:lvl>
  </w:abstractNum>
  <w:abstractNum w:abstractNumId="141">
    <w:nsid w:val="F819E7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42">
    <w:nsid w:val="57C7D42D"/>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43">
    <w:nsid w:val="312167AD"/>
    <w:multiLevelType w:val="hybridMultilevel"/>
    <w:lvl w:ilvl="0">
      <w:lvlJc w:val="left"/>
      <w:lvlText w:val="%1"/>
      <w:numFmt w:val="lowerLetter"/>
      <w:start w:val="1"/>
    </w:lvl>
    <w:lvl w:ilvl="1">
      <w:lvlJc w:val="left"/>
      <w:lvlText w:val="(%2)"/>
      <w:numFmt w:val="lowerLetter"/>
      <w:start w:val="61"/>
    </w:lvl>
  </w:abstractNum>
  <w:abstractNum w:abstractNumId="144">
    <w:nsid w:val="631B64D4"/>
    <w:multiLevelType w:val="hybridMultilevel"/>
    <w:lvl w:ilvl="0">
      <w:lvlJc w:val="left"/>
      <w:lvlText w:val="(%1)"/>
      <w:numFmt w:val="lowerLetter"/>
      <w:start w:val="4"/>
    </w:lvl>
    <w:lvl w:ilvl="1">
      <w:lvlJc w:val="left"/>
      <w:lvlText w:val="%2"/>
      <w:numFmt w:val="lowerLetter"/>
      <w:start w:val="1"/>
    </w:lvl>
  </w:abstractNum>
  <w:abstractNum w:abstractNumId="145">
    <w:nsid w:val="78B5E776"/>
    <w:multiLevelType w:val="hybridMultilevel"/>
    <w:lvl w:ilvl="0">
      <w:lvlJc w:val="left"/>
      <w:lvlText w:val="(%1)"/>
      <w:numFmt w:val="lowerLetter"/>
      <w:start w:val="10"/>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lvl w:ilvl="1">
      <w:lvlJc w:val="left"/>
      <w:lvlText w:val="%2."/>
      <w:numFmt w:val="lowerLetter"/>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181" Type="http://schemas.openxmlformats.org/officeDocument/2006/relationships/hyperlink" Target="http://www.sec.gov/Archives/edgar/data/1484612/000119312520241516/d941853dex31.htm" TargetMode="External"/><Relationship Id="rId182" Type="http://schemas.openxmlformats.org/officeDocument/2006/relationships/hyperlink" Target="http://www.sec.gov/Archives/edgar/data/1484612/000119312520241516/d941853dex32.htm" TargetMode="External"/><Relationship Id="rId183" Type="http://schemas.openxmlformats.org/officeDocument/2006/relationships/hyperlink" Target="http://www.sec.gov/Archives/edgar/data/1484612/000119312520241516/d941853dex41.htm" TargetMode="External"/><Relationship Id="rId184" Type="http://schemas.openxmlformats.org/officeDocument/2006/relationships/hyperlink" Target="http://www.sec.gov/Archives/edgar/data/1484612/000119312520226746/d941853dex42.htm" TargetMode="External"/><Relationship Id="rId185" Type="http://schemas.openxmlformats.org/officeDocument/2006/relationships/hyperlink" Target="http://www.sec.gov/Archives/edgar/data/1484612/000119312520226746/d941853dex43.htm" TargetMode="External"/><Relationship Id="rId186" Type="http://schemas.openxmlformats.org/officeDocument/2006/relationships/hyperlink" Target="http://www.sec.gov/Archives/edgar/data/1484612/000119312520226746/d941853dex44.htm" TargetMode="External"/><Relationship Id="rId187" Type="http://schemas.openxmlformats.org/officeDocument/2006/relationships/hyperlink" Target="http://www.sec.gov/Archives/edgar/data/1484612/000119312520241516/d941853dex101.htm" TargetMode="External"/><Relationship Id="rId188" Type="http://schemas.openxmlformats.org/officeDocument/2006/relationships/hyperlink" Target="http://www.sec.gov/Archives/edgar/data/1484612/000119312520226746/d941853dex102.htm" TargetMode="External"/><Relationship Id="rId189" Type="http://schemas.openxmlformats.org/officeDocument/2006/relationships/hyperlink" Target="http://www.sec.gov/Archives/edgar/data/1484612/000119312520226746/d941853dex103.htm" TargetMode="External"/><Relationship Id="rId190" Type="http://schemas.openxmlformats.org/officeDocument/2006/relationships/hyperlink" Target="http://www.sec.gov/Archives/edgar/data/1484612/000119312520241516/d941853dex104.htm" TargetMode="External"/><Relationship Id="rId191" Type="http://schemas.openxmlformats.org/officeDocument/2006/relationships/hyperlink" Target="http://www.sec.gov/Archives/edgar/data/1484612/000119312520241516/d941853dex105.htm" TargetMode="External"/><Relationship Id="rId192" Type="http://schemas.openxmlformats.org/officeDocument/2006/relationships/hyperlink" Target="http://www.sec.gov/Archives/edgar/data/1484612/000119312520226746/d941853dex106.htm" TargetMode="External"/><Relationship Id="rId193" Type="http://schemas.openxmlformats.org/officeDocument/2006/relationships/hyperlink" Target="http://www.sec.gov/Archives/edgar/data/0001484612/000119312520241516/d941853dex107.htm" TargetMode="External"/><Relationship Id="rId194" Type="http://schemas.openxmlformats.org/officeDocument/2006/relationships/hyperlink" Target="http://www.sec.gov/Archives/edgar/data/0001484612/000119312520241516/d941853dex108.htm" TargetMode="External"/><Relationship Id="rId195" Type="http://schemas.openxmlformats.org/officeDocument/2006/relationships/hyperlink" Target="http://www.sec.gov/Archives/edgar/data/1484612/000119312520226746/d941853dex109.htm" TargetMode="External"/><Relationship Id="rId196" Type="http://schemas.openxmlformats.org/officeDocument/2006/relationships/hyperlink" Target="http://www.sec.gov/Archives/edgar/data/1484612/000119312520226746/d941853dex1010.htm" TargetMode="External"/><Relationship Id="rId197" Type="http://schemas.openxmlformats.org/officeDocument/2006/relationships/hyperlink" Target="http://www.sec.gov/Archives/edgar/data/1484612/000119312520226746/d941853dex1011.htm" TargetMode="External"/><Relationship Id="rId198" Type="http://schemas.openxmlformats.org/officeDocument/2006/relationships/hyperlink" Target="http://www.sec.gov/Archives/edgar/data/1484612/000119312520226746/d941853dex1012.htm" TargetMode="External"/><Relationship Id="rId199" Type="http://schemas.openxmlformats.org/officeDocument/2006/relationships/hyperlink" Target="http://www.sec.gov/Archives/edgar/data/1484612/000119312520226746/d941853dex1013.htm" TargetMode="External"/><Relationship Id="rId200" Type="http://schemas.openxmlformats.org/officeDocument/2006/relationships/hyperlink" Target="http://www.sec.gov/Archives/edgar/data/1484612/000119312520226746/d941853dex1014.htm" TargetMode="External"/><Relationship Id="rId201" Type="http://schemas.openxmlformats.org/officeDocument/2006/relationships/hyperlink" Target="http://www.sec.gov/Archives/edgar/data/1484612/000119312520226746/d941853dex1015.htm" TargetMode="External"/><Relationship Id="rId202" Type="http://schemas.openxmlformats.org/officeDocument/2006/relationships/hyperlink" Target="http://www.sec.gov/Archives/edgar/data/1484612/000119312520226746/d941853dex1016.htm" TargetMode="External"/><Relationship Id="rId203" Type="http://schemas.openxmlformats.org/officeDocument/2006/relationships/hyperlink" Target="http://www.sec.gov/Archives/edgar/data/1484612/000119312520226746/d941853dex1017.htm" TargetMode="External"/><Relationship Id="rId206" Type="http://schemas.openxmlformats.org/officeDocument/2006/relationships/hyperlink" Target="http://www.sec.gov/Archives/edgar/data/1484612/000119312520226746/d941853dex1018.htm" TargetMode="External"/><Relationship Id="rId207" Type="http://schemas.openxmlformats.org/officeDocument/2006/relationships/hyperlink" Target="http://www.sec.gov/Archives/edgar/data/1484612/000119312520226746/d941853dex1019.htm" TargetMode="External"/><Relationship Id="rId208" Type="http://schemas.openxmlformats.org/officeDocument/2006/relationships/hyperlink" Target="http://www.sec.gov/Archives/edgar/data/1484612/000119312520226746/d941853dex1020.htm" TargetMode="External"/><Relationship Id="rId209" Type="http://schemas.openxmlformats.org/officeDocument/2006/relationships/hyperlink" Target="http://www.sec.gov/Archives/edgar/data/1484612/000119312520226746/d941853dex1021.htm" TargetMode="External"/><Relationship Id="rId210" Type="http://schemas.openxmlformats.org/officeDocument/2006/relationships/hyperlink" Target="http://www.sec.gov/Archives/edgar/data/1484612/000119312520226746/d941853dex1022.htm" TargetMode="External"/><Relationship Id="rId211" Type="http://schemas.openxmlformats.org/officeDocument/2006/relationships/hyperlink" Target="http://www.sec.gov/Archives/edgar/data/1484612/000119312520226746/d941853dex1023.htm" TargetMode="External"/><Relationship Id="rId212" Type="http://schemas.openxmlformats.org/officeDocument/2006/relationships/hyperlink" Target="http://www.sec.gov/Archives/edgar/data/1484612/000119312520241516/d941853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2021-03-22T15:06:04Z</dcterms:created>
  <dcterms:modified xsi:type="dcterms:W3CDTF">2021-03-22T15:06:04Z</dcterms:modified>
</cp:coreProperties>
</file>