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double" w:sz="6" w:space="1" w:color="000000"/>
        </w:pBdr>
        <w:spacing w:before="0" w:after="0"/>
        <w:jc w:val="left"/>
        <w:rPr>
          <w:rFonts w:ascii="Times New Roman;serif" w:hAnsi="Times New Roman;serif"/>
          <w:b/>
          <w:sz w:val="4"/>
        </w:rPr>
      </w:pPr>
      <w:bookmarkStart w:id="0" w:name="om-20230331.htm"/>
      <w:bookmarkStart w:id="1" w:name="ksom20230331"/>
      <w:bookmarkEnd w:id="0"/>
      <w:bookmarkEnd w:id="1"/>
      <w:r>
        <w:rPr>
          <w:rFonts w:ascii="Times New Roman;serif" w:hAnsi="Times New Roman;serif"/>
          <w:b/>
          <w:sz w:val="4"/>
        </w:rPr>
        <w:t>d</w:t>
      </w:r>
    </w:p>
    <w:p>
      <w:pPr>
        <w:pStyle w:val="TextBody"/>
        <w:spacing w:before="4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0" w:after="0"/>
        <w:jc w:val="center"/>
        <w:rPr/>
      </w:pPr>
      <w:r>
        <w:rPr/>
        <w:t> </w:t>
      </w:r>
    </w:p>
    <w:p>
      <w:pPr>
        <w:pStyle w:val="TextBody"/>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0" w:after="0"/>
        <w:jc w:val="center"/>
        <w:rPr/>
      </w:pPr>
      <w:r>
        <w:rPr/>
        <w:t> </w:t>
      </w:r>
    </w:p>
    <w:p>
      <w:pPr>
        <w:pStyle w:val="TextBody"/>
        <w:spacing w:before="12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CellMar>
          <w:top w:w="28" w:type="dxa"/>
          <w:left w:w="28" w:type="dxa"/>
          <w:bottom w:w="28" w:type="dxa"/>
          <w:right w:w="28" w:type="dxa"/>
        </w:tblCellMar>
      </w:tblPr>
      <w:tblGrid>
        <w:gridCol w:w="331"/>
        <w:gridCol w:w="146"/>
        <w:gridCol w:w="9728"/>
      </w:tblGrid>
      <w:tr>
        <w:trPr/>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728"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9728"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120" w:after="0"/>
        <w:jc w:val="center"/>
        <w:rPr>
          <w:rFonts w:ascii="Times New Roman" w:hAnsi="Times New Roman"/>
          <w:sz w:val="20"/>
        </w:rPr>
      </w:pPr>
      <w:r>
        <w:rPr>
          <w:rFonts w:ascii="Times New Roman;serif" w:hAnsi="Times New Roman;serif"/>
          <w:b/>
          <w:sz w:val="20"/>
        </w:rPr>
        <w:t>For the quarterly period ended March 31,</w:t>
      </w:r>
      <w:r>
        <w:rPr>
          <w:rFonts w:ascii="Times New Roman;serif" w:hAnsi="Times New Roman;serif"/>
          <w:sz w:val="20"/>
        </w:rPr>
        <w:t xml:space="preserve"> </w:t>
      </w:r>
      <w:r>
        <w:rPr>
          <w:rFonts w:ascii="Times New Roman;serif" w:hAnsi="Times New Roman;serif"/>
          <w:b/>
          <w:sz w:val="20"/>
        </w:rPr>
        <w:t>2023</w:t>
      </w:r>
    </w:p>
    <w:p>
      <w:pPr>
        <w:pStyle w:val="TextBody"/>
        <w:spacing w:before="12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CellMar>
          <w:top w:w="28" w:type="dxa"/>
          <w:left w:w="28" w:type="dxa"/>
          <w:bottom w:w="28" w:type="dxa"/>
          <w:right w:w="28" w:type="dxa"/>
        </w:tblCellMar>
      </w:tblPr>
      <w:tblGrid>
        <w:gridCol w:w="331"/>
        <w:gridCol w:w="146"/>
        <w:gridCol w:w="9728"/>
      </w:tblGrid>
      <w:tr>
        <w:trPr/>
        <w:tc>
          <w:tcPr>
            <w:tcW w:w="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728"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120" w:after="0"/>
              <w:ind w:left="0" w:right="0" w:hanging="0"/>
              <w:jc w:val="left"/>
              <w:rPr/>
            </w:pPr>
            <w:r>
              <w:rPr/>
              <w:t>☐</w:t>
            </w:r>
          </w:p>
        </w:tc>
        <w:tc>
          <w:tcPr>
            <w:tcW w:w="146" w:type="dxa"/>
            <w:tcBorders/>
            <w:shd w:fill="auto" w:val="clear"/>
            <w:vAlign w:val="center"/>
          </w:tcPr>
          <w:p>
            <w:pPr>
              <w:pStyle w:val="TableContents"/>
              <w:spacing w:before="120" w:after="0"/>
              <w:ind w:left="0" w:right="0" w:hanging="0"/>
              <w:jc w:val="left"/>
              <w:rPr/>
            </w:pPr>
            <w:r>
              <w:rPr/>
              <w:t> </w:t>
            </w:r>
          </w:p>
        </w:tc>
        <w:tc>
          <w:tcPr>
            <w:tcW w:w="9728" w:type="dxa"/>
            <w:tcBorders/>
            <w:shd w:fill="auto" w:val="clear"/>
            <w:vAlign w:val="center"/>
          </w:tcPr>
          <w:p>
            <w:pPr>
              <w:pStyle w:val="TableContents"/>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spacing w:before="120" w:after="0"/>
        <w:jc w:val="center"/>
        <w:rPr>
          <w:rFonts w:ascii="Times New Roman" w:hAnsi="Times New Roman"/>
          <w:sz w:val="20"/>
        </w:rPr>
      </w:pPr>
      <w:r>
        <w:rPr>
          <w:rFonts w:ascii="Times New Roman;serif" w:hAnsi="Times New Roman;serif"/>
          <w:b/>
          <w:sz w:val="18"/>
        </w:rPr>
        <w:t>For the transition period from to</w:t>
      </w:r>
      <w:r>
        <w:rPr>
          <w:rFonts w:ascii="Times New Roman" w:hAnsi="Times New Roman"/>
          <w:sz w:val="20"/>
        </w:rPr>
        <w:t xml:space="preserve"> </w:t>
      </w:r>
    </w:p>
    <w:p>
      <w:pPr>
        <w:pStyle w:val="TextBody"/>
        <w:spacing w:before="120" w:after="0"/>
        <w:jc w:val="center"/>
        <w:rPr>
          <w:rFonts w:ascii="Times New Roman;serif" w:hAnsi="Times New Roman;serif"/>
          <w:b/>
          <w:sz w:val="18"/>
        </w:rPr>
      </w:pPr>
      <w:r>
        <w:rPr>
          <w:rFonts w:ascii="Times New Roman;serif" w:hAnsi="Times New Roman;serif"/>
          <w:b/>
          <w:sz w:val="18"/>
        </w:rPr>
        <w:t>Commission File Number: 001-39513</w:t>
      </w:r>
    </w:p>
    <w:p>
      <w:pPr>
        <w:pStyle w:val="TextBody"/>
        <w:pBdr>
          <w:bottom w:val="single" w:sz="4" w:space="1" w:color="000000"/>
        </w:pBdr>
        <w:spacing w:before="0" w:after="0"/>
        <w:jc w:val="center"/>
        <w:rPr/>
      </w:pPr>
      <w:r>
        <w:rPr/>
        <w:t> </w:t>
      </w:r>
    </w:p>
    <w:p>
      <w:pPr>
        <w:pStyle w:val="TextBody"/>
        <w:spacing w:before="120" w:after="0"/>
        <w:jc w:val="center"/>
        <w:rPr>
          <w:rFonts w:ascii="Times New Roman" w:hAnsi="Times New Roman"/>
          <w:sz w:val="20"/>
        </w:rPr>
      </w:pPr>
      <w:r>
        <w:rPr>
          <w:rFonts w:ascii="Times New Roman;serif" w:hAnsi="Times New Roman;serif"/>
          <w:b/>
          <w:sz w:val="36"/>
        </w:rPr>
        <w:t>Outset Medical, Inc.</w:t>
      </w:r>
      <w:r>
        <w:rPr>
          <w:rFonts w:ascii="Times New Roman" w:hAnsi="Times New Roman"/>
          <w:sz w:val="20"/>
        </w:rPr>
        <w:t xml:space="preserve"> </w:t>
      </w:r>
    </w:p>
    <w:p>
      <w:pPr>
        <w:pStyle w:val="TextBody"/>
        <w:spacing w:before="0" w:after="0"/>
        <w:jc w:val="center"/>
        <w:rPr>
          <w:rFonts w:ascii="Times New Roman;serif" w:hAnsi="Times New Roman;serif"/>
          <w:b/>
          <w:sz w:val="18"/>
        </w:rPr>
      </w:pPr>
      <w:r>
        <w:rPr>
          <w:rFonts w:ascii="Times New Roman;serif" w:hAnsi="Times New Roman;serif"/>
          <w:b/>
          <w:sz w:val="18"/>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left"/>
        <w:rPr/>
      </w:pPr>
      <w:r>
        <w:rPr/>
        <w:t> </w:t>
      </w:r>
    </w:p>
    <w:tbl>
      <w:tblPr>
        <w:tblW w:w="3677" w:type="dxa"/>
        <w:jc w:val="left"/>
        <w:tblInd w:w="0" w:type="dxa"/>
        <w:tblCellMar>
          <w:top w:w="28" w:type="dxa"/>
          <w:left w:w="28" w:type="dxa"/>
          <w:bottom w:w="28" w:type="dxa"/>
          <w:right w:w="28" w:type="dxa"/>
        </w:tblCellMar>
      </w:tblPr>
      <w:tblGrid>
        <w:gridCol w:w="2431"/>
        <w:gridCol w:w="1246"/>
      </w:tblGrid>
      <w:tr>
        <w:trPr/>
        <w:tc>
          <w:tcPr>
            <w:tcW w:w="243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43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Delaware</w:t>
            </w:r>
          </w:p>
        </w:tc>
        <w:tc>
          <w:tcPr>
            <w:tcW w:w="124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20-0514392</w:t>
            </w:r>
          </w:p>
        </w:tc>
      </w:tr>
      <w:tr>
        <w:trPr/>
        <w:tc>
          <w:tcPr>
            <w:tcW w:w="2431"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431" w:type="dxa"/>
            <w:tcBorders/>
            <w:shd w:fill="auto" w:val="clear"/>
            <w:vAlign w:val="center"/>
          </w:tcPr>
          <w:p>
            <w:pPr>
              <w:pStyle w:val="TableContents"/>
              <w:spacing w:before="0" w:after="15"/>
              <w:ind w:left="0" w:right="0" w:hanging="0"/>
              <w:jc w:val="center"/>
              <w:rPr>
                <w:rFonts w:ascii="Times New Roman;serif" w:hAnsi="Times New Roman;serif"/>
                <w:b/>
                <w:sz w:val="16"/>
              </w:rPr>
            </w:pPr>
            <w:r>
              <w:rPr>
                <w:rFonts w:ascii="Times New Roman;serif" w:hAnsi="Times New Roman;serif"/>
                <w:b/>
                <w:sz w:val="16"/>
              </w:rPr>
              <w:t>3052 Orchard Dr.</w:t>
            </w:r>
          </w:p>
          <w:p>
            <w:pPr>
              <w:pStyle w:val="TableContents"/>
              <w:spacing w:before="0" w:after="15"/>
              <w:ind w:left="0" w:right="0" w:hanging="0"/>
              <w:jc w:val="center"/>
              <w:rPr>
                <w:rFonts w:ascii="Times New Roman" w:hAnsi="Times New Roman"/>
                <w:sz w:val="20"/>
              </w:rPr>
            </w:pPr>
            <w:r>
              <w:rPr>
                <w:rFonts w:ascii="Times New Roman;serif" w:hAnsi="Times New Roman;serif"/>
                <w:b/>
                <w:sz w:val="16"/>
              </w:rPr>
              <w:t>San Jose, California</w:t>
            </w:r>
            <w:r>
              <w:rPr>
                <w:rFonts w:ascii="Times New Roman" w:hAnsi="Times New Roman"/>
                <w:sz w:val="20"/>
              </w:rPr>
              <w:t xml:space="preserve"> </w:t>
            </w:r>
          </w:p>
        </w:tc>
        <w:tc>
          <w:tcPr>
            <w:tcW w:w="124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95134</w:t>
            </w:r>
          </w:p>
        </w:tc>
      </w:tr>
      <w:tr>
        <w:trPr/>
        <w:tc>
          <w:tcPr>
            <w:tcW w:w="2431"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0" w:after="0"/>
        <w:jc w:val="left"/>
        <w:rPr/>
      </w:pPr>
      <w:r>
        <w:rPr/>
        <w:t> </w:t>
      </w:r>
    </w:p>
    <w:p>
      <w:pPr>
        <w:pStyle w:val="TextBody"/>
        <w:spacing w:before="0" w:after="0"/>
        <w:jc w:val="center"/>
        <w:rPr>
          <w:rFonts w:ascii="Times New Roman;serif" w:hAnsi="Times New Roman;serif"/>
          <w:b/>
          <w:sz w:val="18"/>
        </w:rPr>
      </w:pPr>
      <w:r>
        <w:rPr>
          <w:rFonts w:ascii="Times New Roman;serif" w:hAnsi="Times New Roman;serif"/>
          <w:b/>
          <w:sz w:val="18"/>
        </w:rPr>
        <w:t>Registrant’s telephone number, including area code: (669) 231-8200</w:t>
      </w:r>
    </w:p>
    <w:p>
      <w:pPr>
        <w:pStyle w:val="TextBody"/>
        <w:pBdr>
          <w:bottom w:val="single" w:sz="4" w:space="1" w:color="000000"/>
        </w:pBdr>
        <w:spacing w:before="0" w:after="0"/>
        <w:jc w:val="center"/>
        <w:rPr/>
      </w:pPr>
      <w:r>
        <w:rPr/>
        <w:t> </w:t>
      </w:r>
    </w:p>
    <w:p>
      <w:pPr>
        <w:pStyle w:val="TextBody"/>
        <w:spacing w:before="12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7630" w:type="dxa"/>
        <w:jc w:val="left"/>
        <w:tblInd w:w="0" w:type="dxa"/>
        <w:tblCellMar>
          <w:top w:w="28" w:type="dxa"/>
          <w:left w:w="28" w:type="dxa"/>
          <w:bottom w:w="28" w:type="dxa"/>
          <w:right w:w="28" w:type="dxa"/>
        </w:tblCellMar>
      </w:tblPr>
      <w:tblGrid>
        <w:gridCol w:w="3196"/>
        <w:gridCol w:w="146"/>
        <w:gridCol w:w="826"/>
        <w:gridCol w:w="146"/>
        <w:gridCol w:w="3316"/>
      </w:tblGrid>
      <w:tr>
        <w:trPr/>
        <w:tc>
          <w:tcPr>
            <w:tcW w:w="3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$0.001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OM</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6"/>
        </w:rPr>
        <w:t>No ☐</w:t>
      </w:r>
    </w:p>
    <w:p>
      <w:pPr>
        <w:pStyle w:val="TextBody"/>
        <w:spacing w:before="12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No ☐</w:t>
      </w:r>
    </w:p>
    <w:p>
      <w:pPr>
        <w:pStyle w:val="TextBody"/>
        <w:spacing w:before="12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167" w:type="dxa"/>
        <w:jc w:val="left"/>
        <w:tblInd w:w="0" w:type="dxa"/>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2041" w:type="dxa"/>
            <w:tcBorders/>
            <w:shd w:fill="auto" w:val="clear"/>
            <w:vAlign w:val="center"/>
          </w:tcPr>
          <w:p>
            <w:pPr>
              <w:pStyle w:val="TableContents"/>
              <w:spacing w:before="0" w:after="0"/>
              <w:ind w:left="0" w:right="0" w:hanging="0"/>
              <w:jc w:val="left"/>
              <w:rPr/>
            </w:pPr>
            <w:r>
              <w:rPr/>
              <w:t> </w:t>
            </w:r>
          </w:p>
        </w:tc>
        <w:tc>
          <w:tcPr>
            <w:tcW w:w="462" w:type="dxa"/>
            <w:gridSpan w:val="2"/>
            <w:tcBorders/>
            <w:shd w:fill="auto" w:val="clear"/>
            <w:vAlign w:val="center"/>
          </w:tcPr>
          <w:p>
            <w:pPr>
              <w:pStyle w:val="TableContents"/>
              <w:spacing w:before="0" w:after="0"/>
              <w:ind w:left="0" w:right="0" w:hanging="0"/>
              <w:jc w:val="left"/>
              <w:rPr/>
            </w:pPr>
            <w:r>
              <w:rPr/>
              <w:t> </w:t>
            </w:r>
          </w:p>
        </w:tc>
        <w:tc>
          <w:tcPr>
            <w:tcW w:w="2157" w:type="dxa"/>
            <w:gridSpan w:val="2"/>
            <w:tcBorders/>
            <w:shd w:fill="auto" w:val="clear"/>
            <w:vAlign w:val="center"/>
          </w:tcPr>
          <w:p>
            <w:pPr>
              <w:pStyle w:val="TableContents"/>
              <w:spacing w:before="0" w:after="0"/>
              <w:ind w:left="0" w:right="0" w:hanging="0"/>
              <w:jc w:val="left"/>
              <w:rPr/>
            </w:pPr>
            <w:r>
              <w:rPr/>
              <w:t> </w:t>
            </w:r>
          </w:p>
        </w:tc>
        <w:tc>
          <w:tcPr>
            <w:tcW w:w="507" w:type="dxa"/>
            <w:gridSpan w:val="2"/>
            <w:tcBorders/>
            <w:shd w:fill="auto" w:val="clear"/>
            <w:vAlign w:val="center"/>
          </w:tcPr>
          <w:p>
            <w:pPr>
              <w:pStyle w:val="TableContents"/>
              <w:spacing w:before="0" w:after="0"/>
              <w:ind w:left="0" w:right="0" w:hanging="0"/>
              <w:jc w:val="left"/>
              <w:rPr/>
            </w:pPr>
            <w:r>
              <w:rPr/>
              <w:t> </w:t>
            </w:r>
          </w:p>
        </w:tc>
      </w:tr>
      <w:tr>
        <w:trPr/>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20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20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16"/>
        </w:rPr>
      </w:pPr>
      <w:r>
        <w:rPr>
          <w:rFonts w:ascii="Times New Roman;serif" w:hAnsi="Times New Roman;serif"/>
          <w:b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12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6"/>
        </w:rPr>
        <w:t>No ☒</w:t>
      </w:r>
    </w:p>
    <w:p>
      <w:pPr>
        <w:pStyle w:val="TextBody"/>
        <w:spacing w:before="120" w:after="0"/>
        <w:jc w:val="left"/>
        <w:rPr>
          <w:rFonts w:ascii="Times New Roman" w:hAnsi="Times New Roman"/>
          <w:sz w:val="20"/>
        </w:rPr>
      </w:pPr>
      <w:r>
        <w:rPr>
          <w:rFonts w:ascii="Times New Roman;serif" w:hAnsi="Times New Roman;serif"/>
          <w:b w:val="false"/>
          <w:sz w:val="16"/>
        </w:rPr>
        <w:t>As of April 26, 2023, the registrant had 49,228,078</w:t>
      </w:r>
      <w:r>
        <w:rPr>
          <w:rFonts w:ascii="Times New Roman" w:hAnsi="Times New Roman"/>
          <w:sz w:val="20"/>
        </w:rPr>
        <w:t xml:space="preserve"> </w:t>
      </w:r>
      <w:r>
        <w:rPr>
          <w:rFonts w:ascii="Times New Roman;serif" w:hAnsi="Times New Roman;serif"/>
          <w:b w:val="false"/>
          <w:sz w:val="16"/>
        </w:rPr>
        <w:t>shares of common stock, $0.001 par value per share, outstanding.</w:t>
      </w:r>
    </w:p>
    <w:p>
      <w:pPr>
        <w:pStyle w:val="TextBody"/>
        <w:spacing w:before="0" w:after="0"/>
        <w:jc w:val="center"/>
        <w:rPr/>
      </w:pPr>
      <w:r>
        <w:rPr/>
        <w:t> </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8909" w:type="dxa"/>
        <w:jc w:val="left"/>
        <w:tblInd w:w="0" w:type="dxa"/>
        <w:tblCellMar>
          <w:top w:w="28" w:type="dxa"/>
          <w:left w:w="28" w:type="dxa"/>
          <w:bottom w:w="28" w:type="dxa"/>
          <w:right w:w="28" w:type="dxa"/>
        </w:tblCellMar>
      </w:tblPr>
      <w:tblGrid>
        <w:gridCol w:w="886"/>
        <w:gridCol w:w="7366"/>
        <w:gridCol w:w="146"/>
        <w:gridCol w:w="511"/>
      </w:tblGrid>
      <w:tr>
        <w:trPr/>
        <w:tc>
          <w:tcPr>
            <w:tcW w:w="88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5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balance_sheets">
              <w:r>
                <w:rPr>
                  <w:rStyle w:val="InternetLink"/>
                  <w:rFonts w:ascii="Times New Roman;serif" w:hAnsi="Times New Roman;serif"/>
                  <w:b w:val="false"/>
                  <w:sz w:val="20"/>
                  <w:u w:val="single"/>
                </w:rPr>
                <w:t>Condensed Balance Sheets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statements_operations">
              <w:r>
                <w:rPr>
                  <w:rStyle w:val="InternetLink"/>
                  <w:rFonts w:ascii="Times New Roman;serif" w:hAnsi="Times New Roman;serif"/>
                  <w:b w:val="false"/>
                  <w:sz w:val="20"/>
                  <w:u w:val="single"/>
                </w:rPr>
                <w:t>Condensed Statements of Operations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statements_comprehensive_loss">
              <w:r>
                <w:rPr>
                  <w:rStyle w:val="InternetLink"/>
                  <w:rFonts w:ascii="Times New Roman;serif" w:hAnsi="Times New Roman;serif"/>
                  <w:b w:val="false"/>
                  <w:sz w:val="20"/>
                  <w:u w:val="single"/>
                </w:rPr>
                <w:t>Condensed Statements of Comprehensive Loss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statement_redeemable_convertib">
              <w:r>
                <w:rPr>
                  <w:rStyle w:val="InternetLink"/>
                  <w:rFonts w:ascii="Times New Roman;serif" w:hAnsi="Times New Roman;serif"/>
                  <w:b w:val="false"/>
                  <w:sz w:val="20"/>
                  <w:u w:val="single"/>
                </w:rPr>
                <w:t>Condensed Statements of</w:t>
              </w:r>
            </w:hyperlink>
            <w:hyperlink w:anchor="condensed_statement_redeemable_convertib">
              <w:r>
                <w:rPr>
                  <w:rStyle w:val="InternetLink"/>
                  <w:rFonts w:ascii="Times New Roman" w:hAnsi="Times New Roman"/>
                  <w:sz w:val="20"/>
                </w:rPr>
                <w:t xml:space="preserve"> </w:t>
              </w:r>
            </w:hyperlink>
            <w:hyperlink w:anchor="condensed_statement_redeemable_convertib">
              <w:r>
                <w:rPr>
                  <w:rStyle w:val="InternetLink"/>
                  <w:rFonts w:ascii="Times New Roman;serif" w:hAnsi="Times New Roman;serif"/>
                  <w:b w:val="false"/>
                  <w:sz w:val="20"/>
                  <w:u w:val="single"/>
                </w:rPr>
                <w:t>Stockholders’ Equity</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statements_cash_flows">
              <w:r>
                <w:rPr>
                  <w:rStyle w:val="InternetLink"/>
                  <w:rFonts w:ascii="Times New Roman;serif" w:hAnsi="Times New Roman;serif"/>
                  <w:b w:val="false"/>
                  <w:sz w:val="20"/>
                  <w:u w:val="single"/>
                </w:rPr>
                <w:t>Condensed Statements of Cash Flows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condensed_financial_statements">
              <w:r>
                <w:rPr>
                  <w:rStyle w:val="InternetLink"/>
                  <w:rFonts w:ascii="Times New Roman;serif" w:hAnsi="Times New Roman;serif"/>
                  <w:b w:val="false"/>
                  <w:sz w:val="20"/>
                  <w:u w:val="single"/>
                </w:rPr>
                <w:t>Notes to Condensed Financial Statements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25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HorizontalLine"/>
        <w:rPr/>
      </w:pPr>
      <w:r>
        <w:rPr/>
      </w:r>
    </w:p>
    <w:p>
      <w:pPr>
        <w:pStyle w:val="TextBody"/>
        <w:spacing w:before="0" w:after="0"/>
        <w:jc w:val="center"/>
        <w:rPr>
          <w:rFonts w:ascii="Times New Roman;serif" w:hAnsi="Times New Roman;serif"/>
          <w:b/>
          <w:sz w:val="20"/>
        </w:rPr>
      </w:pPr>
      <w:bookmarkStart w:id="2" w:name="part_ifinancial_information"/>
      <w:bookmarkEnd w:id="2"/>
      <w:r>
        <w:rPr>
          <w:rFonts w:ascii="Times New Roman;serif" w:hAnsi="Times New Roman;serif"/>
          <w:b/>
          <w:sz w:val="20"/>
        </w:rPr>
        <w:t>PART I—FINANCIAL INFORMATION</w:t>
      </w:r>
    </w:p>
    <w:p>
      <w:pPr>
        <w:pStyle w:val="TextBody"/>
        <w:spacing w:before="24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spacing w:before="120" w:after="0"/>
        <w:jc w:val="center"/>
        <w:rPr>
          <w:rFonts w:ascii="Times New Roman;serif" w:hAnsi="Times New Roman;serif"/>
          <w:b/>
          <w:sz w:val="20"/>
        </w:rPr>
      </w:pPr>
      <w:r>
        <w:rPr>
          <w:rFonts w:ascii="Times New Roman;serif" w:hAnsi="Times New Roman;serif"/>
          <w:b/>
          <w:sz w:val="20"/>
        </w:rPr>
        <w:t>Outset Medical, Inc.</w:t>
      </w:r>
    </w:p>
    <w:p>
      <w:pPr>
        <w:pStyle w:val="TextBody"/>
        <w:spacing w:before="0" w:after="0"/>
        <w:jc w:val="center"/>
        <w:rPr>
          <w:rFonts w:ascii="Times New Roman;serif" w:hAnsi="Times New Roman;serif"/>
          <w:b/>
          <w:sz w:val="20"/>
        </w:rPr>
      </w:pPr>
      <w:bookmarkStart w:id="4" w:name="condensed_balance_sheets"/>
      <w:bookmarkEnd w:id="4"/>
      <w:r>
        <w:rPr>
          <w:rFonts w:ascii="Times New Roman;serif" w:hAnsi="Times New Roman;serif"/>
          <w:b/>
          <w:sz w:val="20"/>
        </w:rPr>
        <w:t>Condensed Balance Sheets</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 except per share amounts)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911"/>
        <w:gridCol w:w="146"/>
        <w:gridCol w:w="211"/>
        <w:gridCol w:w="931"/>
        <w:gridCol w:w="166"/>
        <w:gridCol w:w="146"/>
        <w:gridCol w:w="218"/>
        <w:gridCol w:w="964"/>
        <w:gridCol w:w="512"/>
      </w:tblGrid>
      <w:tr>
        <w:trPr/>
        <w:tc>
          <w:tcPr>
            <w:tcW w:w="69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r>
      <w:tr>
        <w:trPr/>
        <w:tc>
          <w:tcPr>
            <w:tcW w:w="69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512" w:type="dxa"/>
            <w:tcBorders/>
            <w:shd w:fill="auto" w:val="clear"/>
            <w:vAlign w:val="center"/>
          </w:tcPr>
          <w:p>
            <w:pPr>
              <w:pStyle w:val="TableContents"/>
              <w:spacing w:before="0" w:after="0"/>
              <w:ind w:left="0" w:right="0" w:hanging="0"/>
              <w:jc w:val="center"/>
              <w:rPr/>
            </w:pPr>
            <w:r>
              <w:rPr/>
              <w:t> </w:t>
            </w:r>
          </w:p>
        </w:tc>
      </w:tr>
      <w:tr>
        <w:trPr/>
        <w:tc>
          <w:tcPr>
            <w:tcW w:w="69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center"/>
              <w:rPr/>
            </w:pPr>
            <w:r>
              <w:rPr/>
              <w:t> </w:t>
            </w:r>
          </w:p>
        </w:tc>
        <w:tc>
          <w:tcPr>
            <w:tcW w:w="512" w:type="dxa"/>
            <w:tcBorders/>
            <w:shd w:fill="auto" w:val="clear"/>
            <w:vAlign w:val="center"/>
          </w:tcPr>
          <w:p>
            <w:pPr>
              <w:pStyle w:val="TableContents"/>
              <w:spacing w:before="0" w:after="0"/>
              <w:ind w:left="0" w:right="0" w:hanging="0"/>
              <w:jc w:val="center"/>
              <w:rPr/>
            </w:pPr>
            <w:r>
              <w:rPr/>
              <w:t> </w:t>
            </w:r>
          </w:p>
        </w:tc>
      </w:tr>
      <w:tr>
        <w:trPr/>
        <w:tc>
          <w:tcPr>
            <w:tcW w:w="69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512" w:type="dxa"/>
            <w:tcBorders/>
            <w:shd w:fill="auto" w:val="clear"/>
            <w:vAlign w:val="center"/>
          </w:tcPr>
          <w:p>
            <w:pPr>
              <w:pStyle w:val="TableContents"/>
              <w:spacing w:before="0" w:after="0"/>
              <w:ind w:left="0" w:right="0" w:hanging="0"/>
              <w:jc w:val="right"/>
              <w:rPr/>
            </w:pPr>
            <w:r>
              <w:rPr/>
              <w:t> </w:t>
            </w:r>
          </w:p>
        </w:tc>
      </w:tr>
      <w:tr>
        <w:trPr/>
        <w:tc>
          <w:tcPr>
            <w:tcW w:w="6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512" w:type="dxa"/>
            <w:tcBorders/>
            <w:shd w:fill="auto" w:val="clear"/>
            <w:vAlign w:val="center"/>
          </w:tcPr>
          <w:p>
            <w:pPr>
              <w:pStyle w:val="TableContents"/>
              <w:spacing w:before="0" w:after="0"/>
              <w:ind w:left="0" w:right="0" w:firstLine="200"/>
              <w:jc w:val="righ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73,222</w:t>
            </w:r>
          </w:p>
        </w:tc>
        <w:tc>
          <w:tcPr>
            <w:tcW w:w="512" w:type="dxa"/>
            <w:tcBorders/>
            <w:shd w:fill="auto" w:val="clear"/>
            <w:vAlign w:val="center"/>
          </w:tcPr>
          <w:p>
            <w:pPr>
              <w:pStyle w:val="TableContents"/>
              <w:spacing w:before="0" w:after="0"/>
              <w:ind w:left="0" w:right="0" w:firstLine="200"/>
              <w:jc w:val="lef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212,827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214,280</w:t>
            </w:r>
          </w:p>
        </w:tc>
        <w:tc>
          <w:tcPr>
            <w:tcW w:w="512" w:type="dxa"/>
            <w:tcBorders/>
            <w:shd w:fill="auto" w:val="clear"/>
            <w:vAlign w:val="center"/>
          </w:tcPr>
          <w:p>
            <w:pPr>
              <w:pStyle w:val="TableContents"/>
              <w:spacing w:before="0" w:after="0"/>
              <w:ind w:left="0" w:right="0" w:firstLine="200"/>
              <w:jc w:val="lef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28,070</w:t>
            </w:r>
          </w:p>
        </w:tc>
        <w:tc>
          <w:tcPr>
            <w:tcW w:w="512" w:type="dxa"/>
            <w:tcBorders/>
            <w:shd w:fill="auto" w:val="clear"/>
            <w:vAlign w:val="center"/>
          </w:tcPr>
          <w:p>
            <w:pPr>
              <w:pStyle w:val="TableContents"/>
              <w:spacing w:before="0" w:after="0"/>
              <w:ind w:left="0" w:right="0" w:firstLine="200"/>
              <w:jc w:val="lef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51,476</w:t>
            </w:r>
          </w:p>
        </w:tc>
        <w:tc>
          <w:tcPr>
            <w:tcW w:w="512" w:type="dxa"/>
            <w:tcBorders/>
            <w:shd w:fill="auto" w:val="clear"/>
            <w:vAlign w:val="center"/>
          </w:tcPr>
          <w:p>
            <w:pPr>
              <w:pStyle w:val="TableContents"/>
              <w:spacing w:before="0" w:after="0"/>
              <w:ind w:left="0" w:right="0" w:firstLine="200"/>
              <w:jc w:val="lef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6,597</w:t>
            </w:r>
          </w:p>
        </w:tc>
        <w:tc>
          <w:tcPr>
            <w:tcW w:w="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691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337,275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373,645</w:t>
            </w:r>
          </w:p>
        </w:tc>
        <w:tc>
          <w:tcPr>
            <w:tcW w:w="512" w:type="dxa"/>
            <w:tcBorders/>
            <w:shd w:fill="auto" w:val="clear"/>
            <w:vAlign w:val="center"/>
          </w:tcPr>
          <w:p>
            <w:pPr>
              <w:pStyle w:val="TableContents"/>
              <w:spacing w:before="0" w:after="0"/>
              <w:ind w:left="0" w:right="0" w:hanging="0"/>
              <w:jc w:val="left"/>
              <w:rPr/>
            </w:pPr>
            <w:r>
              <w:rPr/>
              <w:t> </w:t>
            </w:r>
          </w:p>
        </w:tc>
      </w:tr>
      <w:tr>
        <w:trPr/>
        <w:tc>
          <w:tcPr>
            <w:tcW w:w="6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3,311</w:t>
            </w:r>
          </w:p>
        </w:tc>
        <w:tc>
          <w:tcPr>
            <w:tcW w:w="512" w:type="dxa"/>
            <w:tcBorders/>
            <w:shd w:fill="auto" w:val="clear"/>
            <w:vAlign w:val="center"/>
          </w:tcPr>
          <w:p>
            <w:pPr>
              <w:pStyle w:val="TableContents"/>
              <w:spacing w:before="0" w:after="0"/>
              <w:ind w:left="0" w:right="0" w:hanging="0"/>
              <w:jc w:val="left"/>
              <w:rPr/>
            </w:pPr>
            <w:r>
              <w:rPr/>
              <w:t> </w:t>
            </w:r>
          </w:p>
        </w:tc>
      </w:tr>
      <w:tr>
        <w:trPr/>
        <w:tc>
          <w:tcPr>
            <w:tcW w:w="6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15,876</w:t>
            </w:r>
          </w:p>
        </w:tc>
        <w:tc>
          <w:tcPr>
            <w:tcW w:w="512" w:type="dxa"/>
            <w:tcBorders/>
            <w:shd w:fill="auto" w:val="clear"/>
            <w:vAlign w:val="center"/>
          </w:tcPr>
          <w:p>
            <w:pPr>
              <w:pStyle w:val="TableContents"/>
              <w:spacing w:before="0" w:after="0"/>
              <w:ind w:left="0" w:right="0" w:hanging="0"/>
              <w:jc w:val="left"/>
              <w:rPr/>
            </w:pPr>
            <w:r>
              <w:rPr/>
              <w:t> </w:t>
            </w:r>
          </w:p>
        </w:tc>
      </w:tr>
      <w:tr>
        <w:trPr/>
        <w:tc>
          <w:tcPr>
            <w:tcW w:w="6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6,117</w:t>
            </w:r>
          </w:p>
        </w:tc>
        <w:tc>
          <w:tcPr>
            <w:tcW w:w="512" w:type="dxa"/>
            <w:tcBorders/>
            <w:shd w:fill="auto" w:val="clear"/>
            <w:vAlign w:val="center"/>
          </w:tcPr>
          <w:p>
            <w:pPr>
              <w:pStyle w:val="TableContents"/>
              <w:spacing w:before="0" w:after="0"/>
              <w:ind w:left="0" w:right="0" w:hanging="0"/>
              <w:jc w:val="left"/>
              <w:rPr/>
            </w:pPr>
            <w:r>
              <w:rPr/>
              <w:t> </w:t>
            </w:r>
          </w:p>
        </w:tc>
      </w:tr>
      <w:tr>
        <w:trPr/>
        <w:tc>
          <w:tcPr>
            <w:tcW w:w="6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1,166</w:t>
            </w:r>
          </w:p>
        </w:tc>
        <w:tc>
          <w:tcPr>
            <w:tcW w:w="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691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362,665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400,115</w:t>
            </w:r>
          </w:p>
        </w:tc>
        <w:tc>
          <w:tcPr>
            <w:tcW w:w="5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512" w:type="dxa"/>
            <w:tcBorders/>
            <w:shd w:fill="auto" w:val="clear"/>
            <w:vAlign w:val="center"/>
          </w:tcPr>
          <w:p>
            <w:pPr>
              <w:pStyle w:val="TableContents"/>
              <w:spacing w:before="0" w:after="0"/>
              <w:ind w:left="0" w:right="0" w:hanging="0"/>
              <w:jc w:val="right"/>
              <w:rPr/>
            </w:pPr>
            <w:r>
              <w:rPr/>
              <w:t> </w:t>
            </w:r>
          </w:p>
        </w:tc>
      </w:tr>
      <w:tr>
        <w:trPr/>
        <w:tc>
          <w:tcPr>
            <w:tcW w:w="6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512" w:type="dxa"/>
            <w:tcBorders/>
            <w:shd w:fill="auto" w:val="clear"/>
            <w:vAlign w:val="center"/>
          </w:tcPr>
          <w:p>
            <w:pPr>
              <w:pStyle w:val="TableContents"/>
              <w:spacing w:before="0" w:after="0"/>
              <w:ind w:left="0" w:right="0" w:firstLine="200"/>
              <w:jc w:val="righ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w:t>
            </w:r>
          </w:p>
        </w:tc>
        <w:tc>
          <w:tcPr>
            <w:tcW w:w="512" w:type="dxa"/>
            <w:tcBorders/>
            <w:shd w:fill="auto" w:val="clear"/>
            <w:vAlign w:val="center"/>
          </w:tcPr>
          <w:p>
            <w:pPr>
              <w:pStyle w:val="TableContents"/>
              <w:spacing w:before="0" w:after="0"/>
              <w:ind w:left="0" w:right="0" w:firstLine="200"/>
              <w:jc w:val="lef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compensation and related benefits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21,519</w:t>
            </w:r>
          </w:p>
        </w:tc>
        <w:tc>
          <w:tcPr>
            <w:tcW w:w="512" w:type="dxa"/>
            <w:tcBorders/>
            <w:shd w:fill="auto" w:val="clear"/>
            <w:vAlign w:val="center"/>
          </w:tcPr>
          <w:p>
            <w:pPr>
              <w:pStyle w:val="TableContents"/>
              <w:spacing w:before="0" w:after="0"/>
              <w:ind w:left="0" w:right="0" w:firstLine="200"/>
              <w:jc w:val="lef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16,227</w:t>
            </w:r>
          </w:p>
        </w:tc>
        <w:tc>
          <w:tcPr>
            <w:tcW w:w="512" w:type="dxa"/>
            <w:tcBorders/>
            <w:shd w:fill="auto" w:val="clear"/>
            <w:vAlign w:val="center"/>
          </w:tcPr>
          <w:p>
            <w:pPr>
              <w:pStyle w:val="TableContents"/>
              <w:spacing w:before="0" w:after="0"/>
              <w:ind w:left="0" w:right="0" w:firstLine="200"/>
              <w:jc w:val="lef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warranty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3,620</w:t>
            </w:r>
          </w:p>
        </w:tc>
        <w:tc>
          <w:tcPr>
            <w:tcW w:w="512" w:type="dxa"/>
            <w:tcBorders/>
            <w:shd w:fill="auto" w:val="clear"/>
            <w:vAlign w:val="center"/>
          </w:tcPr>
          <w:p>
            <w:pPr>
              <w:pStyle w:val="TableContents"/>
              <w:spacing w:before="0" w:after="0"/>
              <w:ind w:left="0" w:right="0" w:firstLine="200"/>
              <w:jc w:val="lef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8,662</w:t>
            </w:r>
          </w:p>
        </w:tc>
        <w:tc>
          <w:tcPr>
            <w:tcW w:w="512" w:type="dxa"/>
            <w:tcBorders/>
            <w:shd w:fill="auto" w:val="clear"/>
            <w:vAlign w:val="center"/>
          </w:tcPr>
          <w:p>
            <w:pPr>
              <w:pStyle w:val="TableContents"/>
              <w:spacing w:before="0" w:after="0"/>
              <w:ind w:left="0" w:right="0" w:firstLine="200"/>
              <w:jc w:val="lef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1,318</w:t>
            </w:r>
          </w:p>
        </w:tc>
        <w:tc>
          <w:tcPr>
            <w:tcW w:w="512" w:type="dxa"/>
            <w:tcBorders/>
            <w:shd w:fill="auto" w:val="clear"/>
            <w:vAlign w:val="center"/>
          </w:tcPr>
          <w:p>
            <w:pPr>
              <w:pStyle w:val="TableContents"/>
              <w:spacing w:before="0" w:after="0"/>
              <w:ind w:left="0" w:right="0" w:firstLine="300"/>
              <w:jc w:val="left"/>
              <w:rPr/>
            </w:pPr>
            <w:r>
              <w:rPr/>
              <w:t> </w:t>
            </w:r>
          </w:p>
        </w:tc>
      </w:tr>
      <w:tr>
        <w:trPr/>
        <w:tc>
          <w:tcPr>
            <w:tcW w:w="691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93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44,268</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964"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51,949</w:t>
            </w:r>
          </w:p>
        </w:tc>
        <w:tc>
          <w:tcPr>
            <w:tcW w:w="512"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r>
      <w:tr>
        <w:trPr/>
        <w:tc>
          <w:tcPr>
            <w:tcW w:w="6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512" w:type="dxa"/>
            <w:tcBorders/>
            <w:shd w:fill="auto" w:val="clear"/>
            <w:vAlign w:val="center"/>
          </w:tcPr>
          <w:p>
            <w:pPr>
              <w:pStyle w:val="TableContents"/>
              <w:spacing w:before="0" w:after="0"/>
              <w:ind w:left="0" w:right="0" w:hanging="0"/>
              <w:jc w:val="left"/>
              <w:rPr/>
            </w:pPr>
            <w:r>
              <w:rPr/>
              <w:t> </w:t>
            </w:r>
          </w:p>
        </w:tc>
      </w:tr>
      <w:tr>
        <w:trPr/>
        <w:tc>
          <w:tcPr>
            <w:tcW w:w="6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512" w:type="dxa"/>
            <w:tcBorders/>
            <w:shd w:fill="auto" w:val="clear"/>
            <w:vAlign w:val="center"/>
          </w:tcPr>
          <w:p>
            <w:pPr>
              <w:pStyle w:val="TableContents"/>
              <w:spacing w:before="0" w:after="0"/>
              <w:ind w:left="0" w:right="0" w:hanging="0"/>
              <w:jc w:val="left"/>
              <w:rPr/>
            </w:pPr>
            <w:r>
              <w:rPr/>
              <w:t> </w:t>
            </w:r>
          </w:p>
        </w:tc>
      </w:tr>
      <w:tr>
        <w:trPr/>
        <w:tc>
          <w:tcPr>
            <w:tcW w:w="6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5,576</w:t>
            </w:r>
          </w:p>
        </w:tc>
        <w:tc>
          <w:tcPr>
            <w:tcW w:w="512" w:type="dxa"/>
            <w:tcBorders/>
            <w:shd w:fill="auto" w:val="clear"/>
            <w:vAlign w:val="center"/>
          </w:tcPr>
          <w:p>
            <w:pPr>
              <w:pStyle w:val="TableContents"/>
              <w:spacing w:before="0" w:after="0"/>
              <w:ind w:left="0" w:right="0" w:hanging="0"/>
              <w:jc w:val="left"/>
              <w:rPr/>
            </w:pPr>
            <w:r>
              <w:rPr/>
              <w:t> </w:t>
            </w:r>
          </w:p>
        </w:tc>
      </w:tr>
      <w:tr>
        <w:trPr/>
        <w:tc>
          <w:tcPr>
            <w:tcW w:w="6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96,480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96,336</w:t>
            </w:r>
          </w:p>
        </w:tc>
        <w:tc>
          <w:tcPr>
            <w:tcW w:w="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691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146,379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154,125</w:t>
            </w:r>
          </w:p>
        </w:tc>
        <w:tc>
          <w:tcPr>
            <w:tcW w:w="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6)</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512" w:type="dxa"/>
            <w:tcBorders/>
            <w:shd w:fill="auto" w:val="clear"/>
            <w:vAlign w:val="center"/>
          </w:tcPr>
          <w:p>
            <w:pPr>
              <w:pStyle w:val="TableContents"/>
              <w:spacing w:before="0" w:after="0"/>
              <w:ind w:left="0" w:right="0" w:hanging="0"/>
              <w:jc w:val="right"/>
              <w:rPr/>
            </w:pPr>
            <w:r>
              <w:rPr/>
              <w:t> </w:t>
            </w:r>
          </w:p>
        </w:tc>
      </w:tr>
      <w:tr>
        <w:trPr/>
        <w:tc>
          <w:tcPr>
            <w:tcW w:w="6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512" w:type="dxa"/>
            <w:tcBorders/>
            <w:shd w:fill="auto" w:val="clear"/>
            <w:vAlign w:val="center"/>
          </w:tcPr>
          <w:p>
            <w:pPr>
              <w:pStyle w:val="TableContents"/>
              <w:spacing w:before="0" w:after="0"/>
              <w:ind w:left="0" w:right="0" w:firstLine="200"/>
              <w:jc w:val="righ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Preferred stock, $0.001</w:t>
            </w:r>
            <w:r>
              <w:rPr>
                <w:rFonts w:ascii="Times New Roman" w:hAnsi="Times New Roman"/>
                <w:sz w:val="20"/>
              </w:rPr>
              <w:t> </w:t>
            </w:r>
            <w:r>
              <w:rPr>
                <w:rFonts w:ascii="Times New Roman;serif" w:hAnsi="Times New Roman;serif"/>
                <w:b w:val="false"/>
                <w:sz w:val="20"/>
              </w:rPr>
              <w:t>par value; 5,000</w:t>
            </w:r>
            <w:r>
              <w:rPr>
                <w:rFonts w:ascii="Times New Roman" w:hAnsi="Times New Roman"/>
                <w:sz w:val="20"/>
              </w:rPr>
              <w:t> </w:t>
            </w:r>
            <w:r>
              <w:rPr>
                <w:rFonts w:ascii="Times New Roman;serif" w:hAnsi="Times New Roman;serif"/>
                <w:b w:val="false"/>
                <w:sz w:val="20"/>
              </w:rPr>
              <w:t>shares authorized, and no</w:t>
            </w:r>
            <w:r>
              <w:rPr>
                <w:rFonts w:ascii="Times New Roman" w:hAnsi="Times New Roman"/>
                <w:sz w:val="20"/>
              </w:rPr>
              <w:t> </w:t>
            </w:r>
            <w:r>
              <w:rPr>
                <w:rFonts w:ascii="Times New Roman;serif" w:hAnsi="Times New Roman;serif"/>
                <w:b w:val="false"/>
                <w:sz w:val="20"/>
              </w:rPr>
              <w:t>shares issued and outstanding as of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pPr>
            <w:r>
              <w:rPr/>
              <w:t>—</w:t>
            </w:r>
          </w:p>
        </w:tc>
        <w:tc>
          <w:tcPr>
            <w:tcW w:w="512" w:type="dxa"/>
            <w:tcBorders/>
            <w:shd w:fill="auto" w:val="clear"/>
            <w:vAlign w:val="center"/>
          </w:tcPr>
          <w:p>
            <w:pPr>
              <w:pStyle w:val="TableContents"/>
              <w:spacing w:before="0" w:after="0"/>
              <w:ind w:left="0" w:right="0" w:firstLine="200"/>
              <w:jc w:val="lef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300,000</w:t>
            </w:r>
            <w:r>
              <w:rPr>
                <w:rFonts w:ascii="Times New Roman" w:hAnsi="Times New Roman"/>
                <w:sz w:val="20"/>
              </w:rPr>
              <w:t> </w:t>
            </w:r>
            <w:r>
              <w:rPr>
                <w:rFonts w:ascii="Times New Roman;serif" w:hAnsi="Times New Roman;serif"/>
                <w:b w:val="false"/>
                <w:sz w:val="20"/>
              </w:rPr>
              <w:t>shares authorized as of March 31, 2023 and December 31, 2022; 49,216</w:t>
            </w:r>
            <w:r>
              <w:rPr>
                <w:rFonts w:ascii="Times New Roman" w:hAnsi="Times New Roman"/>
                <w:sz w:val="20"/>
              </w:rPr>
              <w:t> </w:t>
            </w:r>
            <w:r>
              <w:rPr>
                <w:rFonts w:ascii="Times New Roman;serif" w:hAnsi="Times New Roman;serif"/>
                <w:b w:val="false"/>
                <w:sz w:val="20"/>
              </w:rPr>
              <w:t>and 48,465</w:t>
            </w:r>
            <w:r>
              <w:rPr>
                <w:rFonts w:ascii="Times New Roman" w:hAnsi="Times New Roman"/>
                <w:sz w:val="20"/>
              </w:rPr>
              <w:t> </w:t>
            </w:r>
            <w:r>
              <w:rPr>
                <w:rFonts w:ascii="Times New Roman;serif" w:hAnsi="Times New Roman;serif"/>
                <w:b w:val="false"/>
                <w:sz w:val="20"/>
              </w:rPr>
              <w:t>shares issued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512" w:type="dxa"/>
            <w:tcBorders/>
            <w:shd w:fill="auto" w:val="clear"/>
            <w:vAlign w:val="center"/>
          </w:tcPr>
          <w:p>
            <w:pPr>
              <w:pStyle w:val="TableContents"/>
              <w:spacing w:before="0" w:after="0"/>
              <w:ind w:left="0" w:right="0" w:firstLine="200"/>
              <w:jc w:val="lef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1,049,271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1,035,456</w:t>
            </w:r>
          </w:p>
        </w:tc>
        <w:tc>
          <w:tcPr>
            <w:tcW w:w="512" w:type="dxa"/>
            <w:tcBorders/>
            <w:shd w:fill="auto" w:val="clear"/>
            <w:vAlign w:val="center"/>
          </w:tcPr>
          <w:p>
            <w:pPr>
              <w:pStyle w:val="TableContents"/>
              <w:spacing w:before="0" w:after="0"/>
              <w:ind w:left="0" w:right="0" w:firstLine="200"/>
              <w:jc w:val="left"/>
              <w:rPr/>
            </w:pPr>
            <w:r>
              <w:rPr/>
              <w:t> </w:t>
            </w:r>
          </w:p>
        </w:tc>
      </w:tr>
      <w:tr>
        <w:trPr/>
        <w:tc>
          <w:tcPr>
            <w:tcW w:w="6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w:t>
            </w:r>
          </w:p>
        </w:tc>
        <w:tc>
          <w:tcPr>
            <w:tcW w:w="512"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9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(832,921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(788,950</w:t>
            </w:r>
          </w:p>
        </w:tc>
        <w:tc>
          <w:tcPr>
            <w:tcW w:w="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691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216,286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245,990</w:t>
            </w:r>
          </w:p>
        </w:tc>
        <w:tc>
          <w:tcPr>
            <w:tcW w:w="5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691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362,665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400,115</w:t>
            </w:r>
          </w:p>
        </w:tc>
        <w:tc>
          <w:tcPr>
            <w:tcW w:w="5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center"/>
        <w:rPr>
          <w:rFonts w:ascii="Times New Roman" w:hAnsi="Times New Roman"/>
          <w:sz w:val="20"/>
        </w:rPr>
      </w:pPr>
      <w:r>
        <w:rPr>
          <w:rFonts w:ascii="Times New Roman;serif" w:hAnsi="Times New Roman;serif"/>
          <w:b/>
          <w:sz w:val="20"/>
        </w:rPr>
        <w:t>Outset Medical, Inc.</w:t>
      </w:r>
      <w:r>
        <w:rPr>
          <w:rFonts w:ascii="Times New Roman" w:hAnsi="Times New Roman"/>
          <w:sz w:val="20"/>
        </w:rPr>
        <w:t xml:space="preserve"> </w:t>
      </w:r>
    </w:p>
    <w:p>
      <w:pPr>
        <w:pStyle w:val="TextBody"/>
        <w:spacing w:before="0" w:after="0"/>
        <w:jc w:val="center"/>
        <w:rPr>
          <w:rFonts w:ascii="Times New Roman;serif" w:hAnsi="Times New Roman;serif"/>
          <w:b/>
          <w:sz w:val="20"/>
        </w:rPr>
      </w:pPr>
      <w:bookmarkStart w:id="5" w:name="condensed_statements_operations"/>
      <w:bookmarkEnd w:id="5"/>
      <w:r>
        <w:rPr>
          <w:rFonts w:ascii="Times New Roman;serif" w:hAnsi="Times New Roman;serif"/>
          <w:b/>
          <w:sz w:val="20"/>
        </w:rPr>
        <w:t>Condensed Statements of Operations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 except per share amounts)</w:t>
      </w:r>
    </w:p>
    <w:p>
      <w:pPr>
        <w:pStyle w:val="TextBody"/>
        <w:spacing w:before="0" w:after="0"/>
        <w:jc w:val="center"/>
        <w:rPr/>
      </w:pPr>
      <w:r>
        <w:rPr/>
        <w:t> </w:t>
      </w:r>
    </w:p>
    <w:tbl>
      <w:tblPr>
        <w:tblW w:w="8325" w:type="dxa"/>
        <w:jc w:val="left"/>
        <w:tblInd w:w="0" w:type="dxa"/>
        <w:tblCellMar>
          <w:top w:w="28" w:type="dxa"/>
          <w:left w:w="28" w:type="dxa"/>
          <w:bottom w:w="28" w:type="dxa"/>
          <w:right w:w="28" w:type="dxa"/>
        </w:tblCellMar>
      </w:tblPr>
      <w:tblGrid>
        <w:gridCol w:w="5116"/>
        <w:gridCol w:w="146"/>
        <w:gridCol w:w="211"/>
        <w:gridCol w:w="736"/>
        <w:gridCol w:w="166"/>
        <w:gridCol w:w="146"/>
        <w:gridCol w:w="211"/>
        <w:gridCol w:w="736"/>
        <w:gridCol w:w="166"/>
        <w:gridCol w:w="691"/>
      </w:tblGrid>
      <w:tr>
        <w:trPr/>
        <w:tc>
          <w:tcPr>
            <w:tcW w:w="5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r>
      <w:tr>
        <w:trPr/>
        <w:tc>
          <w:tcPr>
            <w:tcW w:w="5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6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51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25,664</w:t>
            </w:r>
          </w:p>
        </w:tc>
        <w:tc>
          <w:tcPr>
            <w:tcW w:w="16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51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 and other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400"/>
              <w:jc w:val="center"/>
              <w:rPr/>
            </w:pPr>
            <w:r>
              <w:rPr/>
              <w:t> </w:t>
            </w:r>
          </w:p>
        </w:tc>
      </w:tr>
      <w:tr>
        <w:trPr/>
        <w:tc>
          <w:tcPr>
            <w:tcW w:w="51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30,550</w:t>
            </w:r>
          </w:p>
        </w:tc>
        <w:tc>
          <w:tcPr>
            <w:tcW w:w="16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51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product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23,110</w:t>
            </w:r>
          </w:p>
        </w:tc>
        <w:tc>
          <w:tcPr>
            <w:tcW w:w="16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51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service and other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400"/>
              <w:jc w:val="center"/>
              <w:rPr/>
            </w:pPr>
            <w:r>
              <w:rPr/>
              <w:t> </w:t>
            </w:r>
          </w:p>
        </w:tc>
      </w:tr>
      <w:tr>
        <w:trPr/>
        <w:tc>
          <w:tcPr>
            <w:tcW w:w="51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500"/>
              <w:jc w:val="center"/>
              <w:rPr/>
            </w:pPr>
            <w:r>
              <w:rPr/>
              <w:t> </w:t>
            </w:r>
          </w:p>
        </w:tc>
      </w:tr>
      <w:tr>
        <w:trPr/>
        <w:tc>
          <w:tcPr>
            <w:tcW w:w="5116" w:type="dxa"/>
            <w:tcBorders/>
            <w:shd w:fill="auto" w:val="clear"/>
            <w:vAlign w:val="center"/>
          </w:tcPr>
          <w:p>
            <w:pPr>
              <w:pStyle w:val="TableContents"/>
              <w:spacing w:before="0" w:after="0"/>
              <w:ind w:left="5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4,442</w:t>
            </w:r>
          </w:p>
        </w:tc>
        <w:tc>
          <w:tcPr>
            <w:tcW w:w="16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51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10,831</w:t>
            </w:r>
          </w:p>
        </w:tc>
        <w:tc>
          <w:tcPr>
            <w:tcW w:w="16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51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20,377</w:t>
            </w:r>
          </w:p>
        </w:tc>
        <w:tc>
          <w:tcPr>
            <w:tcW w:w="16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51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400"/>
              <w:jc w:val="center"/>
              <w:rPr/>
            </w:pPr>
            <w:r>
              <w:rPr/>
              <w:t> </w:t>
            </w:r>
          </w:p>
        </w:tc>
      </w:tr>
      <w:tr>
        <w:trPr/>
        <w:tc>
          <w:tcPr>
            <w:tcW w:w="511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vAlign w:val="center"/>
          </w:tcPr>
          <w:p>
            <w:pPr>
              <w:pStyle w:val="TableContents"/>
              <w:spacing w:before="0" w:after="0"/>
              <w:ind w:left="0" w:right="0" w:firstLine="200"/>
              <w:jc w:val="center"/>
              <w:rPr/>
            </w:pPr>
            <w:r>
              <w:rPr/>
              <w:t> </w:t>
            </w:r>
          </w:p>
        </w:tc>
      </w:tr>
      <w:tr>
        <w:trPr/>
        <w:tc>
          <w:tcPr>
            <w:tcW w:w="51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and 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6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51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(43,779</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(36,777</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(43,971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(36,892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vAlign w:val="center"/>
          </w:tcPr>
          <w:p>
            <w:pPr>
              <w:pStyle w:val="TableContents"/>
              <w:spacing w:before="0" w:after="0"/>
              <w:ind w:left="0" w:right="0" w:hanging="0"/>
              <w:jc w:val="center"/>
              <w:rPr/>
            </w:pPr>
            <w:r>
              <w:rPr/>
              <w:t> </w:t>
            </w:r>
          </w:p>
        </w:tc>
      </w:tr>
      <w:tr>
        <w:trPr/>
        <w:tc>
          <w:tcPr>
            <w:tcW w:w="51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used in computing 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48,783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47,487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r>
    </w:tbl>
    <w:p>
      <w:pPr>
        <w:pStyle w:val="TextBody"/>
        <w:spacing w:before="12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Outset Medical, Inc.</w:t>
      </w:r>
    </w:p>
    <w:p>
      <w:pPr>
        <w:pStyle w:val="TextBody"/>
        <w:spacing w:before="0" w:after="0"/>
        <w:jc w:val="center"/>
        <w:rPr>
          <w:rFonts w:ascii="Times New Roman;serif" w:hAnsi="Times New Roman;serif"/>
          <w:b/>
          <w:sz w:val="20"/>
        </w:rPr>
      </w:pPr>
      <w:bookmarkStart w:id="6" w:name="condensed_statements_comprehensive_loss"/>
      <w:bookmarkEnd w:id="6"/>
      <w:r>
        <w:rPr>
          <w:rFonts w:ascii="Times New Roman;serif" w:hAnsi="Times New Roman;serif"/>
          <w:b/>
          <w:sz w:val="20"/>
        </w:rPr>
        <w:t>Condensed Statements of Comprehensive Loss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w:t>
      </w:r>
    </w:p>
    <w:p>
      <w:pPr>
        <w:pStyle w:val="TextBody"/>
        <w:spacing w:before="0" w:after="0"/>
        <w:jc w:val="center"/>
        <w:rPr/>
      </w:pPr>
      <w:r>
        <w:rPr/>
        <w:t> </w:t>
      </w:r>
    </w:p>
    <w:tbl>
      <w:tblPr>
        <w:tblW w:w="7320" w:type="dxa"/>
        <w:jc w:val="left"/>
        <w:tblInd w:w="0" w:type="dxa"/>
        <w:tblCellMar>
          <w:top w:w="28" w:type="dxa"/>
          <w:left w:w="28" w:type="dxa"/>
          <w:bottom w:w="28" w:type="dxa"/>
          <w:right w:w="28" w:type="dxa"/>
        </w:tblCellMar>
      </w:tblPr>
      <w:tblGrid>
        <w:gridCol w:w="4411"/>
        <w:gridCol w:w="146"/>
        <w:gridCol w:w="211"/>
        <w:gridCol w:w="736"/>
        <w:gridCol w:w="166"/>
        <w:gridCol w:w="146"/>
        <w:gridCol w:w="211"/>
        <w:gridCol w:w="736"/>
        <w:gridCol w:w="166"/>
        <w:gridCol w:w="391"/>
      </w:tblGrid>
      <w:tr>
        <w:trPr/>
        <w:tc>
          <w:tcPr>
            <w:tcW w:w="4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6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44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(43,971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(36,892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44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4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(43,520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(37,357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Outset Medical, Inc.</w:t>
      </w:r>
    </w:p>
    <w:p>
      <w:pPr>
        <w:pStyle w:val="TextBody"/>
        <w:spacing w:before="0" w:after="0"/>
        <w:jc w:val="center"/>
        <w:rPr>
          <w:rFonts w:ascii="Times New Roman;serif" w:hAnsi="Times New Roman;serif"/>
          <w:b/>
          <w:sz w:val="20"/>
        </w:rPr>
      </w:pPr>
      <w:bookmarkStart w:id="7" w:name="condensed_statement_redeemable_convertib"/>
      <w:bookmarkEnd w:id="7"/>
      <w:r>
        <w:rPr>
          <w:rFonts w:ascii="Times New Roman;serif" w:hAnsi="Times New Roman;serif"/>
          <w:b/>
          <w:sz w:val="20"/>
        </w:rPr>
        <w:t>Condensed Statement of Stockholders’ Equity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w:t>
      </w:r>
    </w:p>
    <w:p>
      <w:pPr>
        <w:pStyle w:val="TextBody"/>
        <w:spacing w:before="0" w:after="0"/>
        <w:jc w:val="center"/>
        <w:rPr/>
      </w:pPr>
      <w:r>
        <w:rPr/>
        <w:t> </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2251"/>
        <w:gridCol w:w="146"/>
        <w:gridCol w:w="601"/>
        <w:gridCol w:w="146"/>
        <w:gridCol w:w="146"/>
        <w:gridCol w:w="271"/>
        <w:gridCol w:w="480"/>
        <w:gridCol w:w="146"/>
        <w:gridCol w:w="146"/>
        <w:gridCol w:w="196"/>
        <w:gridCol w:w="826"/>
        <w:gridCol w:w="146"/>
        <w:gridCol w:w="146"/>
        <w:gridCol w:w="405"/>
        <w:gridCol w:w="901"/>
        <w:gridCol w:w="166"/>
        <w:gridCol w:w="146"/>
        <w:gridCol w:w="233"/>
        <w:gridCol w:w="893"/>
        <w:gridCol w:w="166"/>
        <w:gridCol w:w="146"/>
        <w:gridCol w:w="245"/>
        <w:gridCol w:w="866"/>
        <w:gridCol w:w="391"/>
      </w:tblGrid>
      <w:tr>
        <w:trPr/>
        <w:tc>
          <w:tcPr>
            <w:tcW w:w="22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51" w:type="dxa"/>
            <w:tcBorders/>
            <w:shd w:fill="auto" w:val="clear"/>
            <w:vAlign w:val="center"/>
          </w:tcPr>
          <w:p>
            <w:pPr>
              <w:pStyle w:val="TableContents"/>
              <w:spacing w:before="0" w:after="0"/>
              <w:ind w:left="0" w:right="0" w:hanging="0"/>
              <w:jc w:val="center"/>
              <w:rPr/>
            </w:pPr>
            <w:r>
              <w:rPr/>
              <w:t> </w:t>
            </w:r>
          </w:p>
        </w:tc>
        <w:tc>
          <w:tcPr>
            <w:tcW w:w="179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w:t>
              <w:br/>
              <w:t>Other</w:t>
              <w:b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br/>
              <w:t>Stockholders</w:t>
            </w:r>
          </w:p>
        </w:tc>
        <w:tc>
          <w:tcPr>
            <w:tcW w:w="391" w:type="dxa"/>
            <w:tcBorders/>
            <w:shd w:fill="auto" w:val="clear"/>
            <w:vAlign w:val="center"/>
          </w:tcPr>
          <w:p>
            <w:pPr>
              <w:pStyle w:val="TableContents"/>
              <w:spacing w:before="0" w:after="0"/>
              <w:ind w:left="0" w:right="0" w:hanging="0"/>
              <w:jc w:val="center"/>
              <w:rPr/>
            </w:pPr>
            <w:r>
              <w:rPr/>
              <w:t> </w:t>
            </w:r>
          </w:p>
        </w:tc>
      </w:tr>
      <w:tr>
        <w:trPr/>
        <w:tc>
          <w:tcPr>
            <w:tcW w:w="2251" w:type="dxa"/>
            <w:tcBorders/>
            <w:shd w:fill="auto" w:val="clear"/>
            <w:vAlign w:val="center"/>
          </w:tcPr>
          <w:p>
            <w:pPr>
              <w:pStyle w:val="TableContents"/>
              <w:spacing w:before="0" w:after="0"/>
              <w:ind w:left="0" w:right="0" w:hanging="0"/>
              <w:jc w:val="center"/>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5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Balance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48,465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1,035,456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(788,950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245,990</w:t>
            </w:r>
          </w:p>
        </w:tc>
        <w:tc>
          <w:tcPr>
            <w:tcW w:w="391" w:type="dxa"/>
            <w:tcBorders/>
            <w:shd w:fill="auto" w:val="clear"/>
            <w:vAlign w:val="center"/>
          </w:tcPr>
          <w:p>
            <w:pPr>
              <w:pStyle w:val="TableContents"/>
              <w:spacing w:before="0" w:after="0"/>
              <w:ind w:left="0" w:right="0" w:firstLine="200"/>
              <w:jc w:val="left"/>
              <w:rPr/>
            </w:pPr>
            <w:r>
              <w:rPr/>
              <w:t> </w:t>
            </w:r>
          </w:p>
        </w:tc>
      </w:tr>
      <w:tr>
        <w:trPr/>
        <w:tc>
          <w:tcPr>
            <w:tcW w:w="225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 xml:space="preserve">Issuance of common stock through employee stock </w:t>
              <w:br/>
              <w:t>  purchase plan</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4,594</w:t>
            </w:r>
          </w:p>
        </w:tc>
        <w:tc>
          <w:tcPr>
            <w:tcW w:w="391" w:type="dxa"/>
            <w:tcBorders/>
            <w:shd w:fill="auto" w:val="clear"/>
            <w:vAlign w:val="center"/>
          </w:tcPr>
          <w:p>
            <w:pPr>
              <w:pStyle w:val="TableContents"/>
              <w:spacing w:before="0" w:after="0"/>
              <w:ind w:left="0" w:right="0" w:firstLine="200"/>
              <w:jc w:val="left"/>
              <w:rPr/>
            </w:pPr>
            <w:r>
              <w:rPr/>
              <w:t> </w:t>
            </w:r>
          </w:p>
        </w:tc>
      </w:tr>
      <w:tr>
        <w:trPr/>
        <w:tc>
          <w:tcPr>
            <w:tcW w:w="225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Issuance of common stock for settlement of RSUs</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225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Stock option exercises</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684</w:t>
            </w:r>
          </w:p>
        </w:tc>
        <w:tc>
          <w:tcPr>
            <w:tcW w:w="391" w:type="dxa"/>
            <w:tcBorders/>
            <w:shd w:fill="auto" w:val="clear"/>
            <w:vAlign w:val="center"/>
          </w:tcPr>
          <w:p>
            <w:pPr>
              <w:pStyle w:val="TableContents"/>
              <w:spacing w:before="0" w:after="0"/>
              <w:ind w:left="0" w:right="0" w:firstLine="200"/>
              <w:jc w:val="left"/>
              <w:rPr/>
            </w:pPr>
            <w:r>
              <w:rPr/>
              <w:t> </w:t>
            </w:r>
          </w:p>
        </w:tc>
      </w:tr>
      <w:tr>
        <w:trPr/>
        <w:tc>
          <w:tcPr>
            <w:tcW w:w="225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8,538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8,538</w:t>
            </w:r>
          </w:p>
        </w:tc>
        <w:tc>
          <w:tcPr>
            <w:tcW w:w="391" w:type="dxa"/>
            <w:tcBorders/>
            <w:shd w:fill="auto" w:val="clear"/>
            <w:vAlign w:val="center"/>
          </w:tcPr>
          <w:p>
            <w:pPr>
              <w:pStyle w:val="TableContents"/>
              <w:spacing w:before="0" w:after="0"/>
              <w:ind w:left="0" w:right="0" w:firstLine="200"/>
              <w:jc w:val="left"/>
              <w:rPr/>
            </w:pPr>
            <w:r>
              <w:rPr/>
              <w:t> </w:t>
            </w:r>
          </w:p>
        </w:tc>
      </w:tr>
      <w:tr>
        <w:trPr/>
        <w:tc>
          <w:tcPr>
            <w:tcW w:w="225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Unrealized gain on 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451</w:t>
            </w:r>
          </w:p>
        </w:tc>
        <w:tc>
          <w:tcPr>
            <w:tcW w:w="391" w:type="dxa"/>
            <w:tcBorders/>
            <w:shd w:fill="auto" w:val="clear"/>
            <w:vAlign w:val="center"/>
          </w:tcPr>
          <w:p>
            <w:pPr>
              <w:pStyle w:val="TableContents"/>
              <w:spacing w:before="0" w:after="0"/>
              <w:ind w:left="0" w:right="0" w:firstLine="200"/>
              <w:jc w:val="left"/>
              <w:rPr/>
            </w:pPr>
            <w:r>
              <w:rPr/>
              <w:t> </w:t>
            </w:r>
          </w:p>
        </w:tc>
      </w:tr>
      <w:tr>
        <w:trPr/>
        <w:tc>
          <w:tcPr>
            <w:tcW w:w="225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(43,971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(43,971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25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Balance as of March 31, 2023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49,216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1,049,271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(832,921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216,286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Outset Medical, Inc.</w:t>
      </w:r>
    </w:p>
    <w:p>
      <w:pPr>
        <w:pStyle w:val="TextBody"/>
        <w:spacing w:before="0" w:after="0"/>
        <w:jc w:val="center"/>
        <w:rPr>
          <w:rFonts w:ascii="Times New Roman;serif" w:hAnsi="Times New Roman;serif"/>
          <w:b/>
          <w:sz w:val="20"/>
        </w:rPr>
      </w:pPr>
      <w:r>
        <w:rPr>
          <w:rFonts w:ascii="Times New Roman;serif" w:hAnsi="Times New Roman;serif"/>
          <w:b/>
          <w:sz w:val="20"/>
        </w:rPr>
        <w:t>Condensed Statement of Stockholders’ Equity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2231"/>
        <w:gridCol w:w="146"/>
        <w:gridCol w:w="601"/>
        <w:gridCol w:w="146"/>
        <w:gridCol w:w="146"/>
        <w:gridCol w:w="271"/>
        <w:gridCol w:w="480"/>
        <w:gridCol w:w="146"/>
        <w:gridCol w:w="146"/>
        <w:gridCol w:w="196"/>
        <w:gridCol w:w="826"/>
        <w:gridCol w:w="146"/>
        <w:gridCol w:w="146"/>
        <w:gridCol w:w="405"/>
        <w:gridCol w:w="901"/>
        <w:gridCol w:w="166"/>
        <w:gridCol w:w="146"/>
        <w:gridCol w:w="233"/>
        <w:gridCol w:w="893"/>
        <w:gridCol w:w="166"/>
        <w:gridCol w:w="146"/>
        <w:gridCol w:w="245"/>
        <w:gridCol w:w="866"/>
        <w:gridCol w:w="411"/>
      </w:tblGrid>
      <w:tr>
        <w:trPr/>
        <w:tc>
          <w:tcPr>
            <w:tcW w:w="22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231" w:type="dxa"/>
            <w:tcBorders/>
            <w:shd w:fill="auto" w:val="clear"/>
            <w:vAlign w:val="center"/>
          </w:tcPr>
          <w:p>
            <w:pPr>
              <w:pStyle w:val="TableContents"/>
              <w:spacing w:before="0" w:after="0"/>
              <w:ind w:left="0" w:right="0" w:hanging="0"/>
              <w:jc w:val="center"/>
              <w:rPr/>
            </w:pPr>
            <w:r>
              <w:rPr/>
              <w:t> </w:t>
            </w:r>
          </w:p>
        </w:tc>
        <w:tc>
          <w:tcPr>
            <w:tcW w:w="179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Additional</w:t>
              <w:b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w:t>
              <w:br/>
              <w:t>Other</w:t>
              <w:b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br/>
              <w:t>Stockholders</w:t>
            </w:r>
          </w:p>
        </w:tc>
        <w:tc>
          <w:tcPr>
            <w:tcW w:w="411" w:type="dxa"/>
            <w:tcBorders/>
            <w:shd w:fill="auto" w:val="clear"/>
            <w:vAlign w:val="center"/>
          </w:tcPr>
          <w:p>
            <w:pPr>
              <w:pStyle w:val="TableContents"/>
              <w:spacing w:before="0" w:after="0"/>
              <w:ind w:left="0" w:right="0" w:hanging="0"/>
              <w:jc w:val="center"/>
              <w:rPr/>
            </w:pPr>
            <w:r>
              <w:rPr/>
              <w:t> </w:t>
            </w:r>
          </w:p>
        </w:tc>
      </w:tr>
      <w:tr>
        <w:trPr/>
        <w:tc>
          <w:tcPr>
            <w:tcW w:w="2231" w:type="dxa"/>
            <w:tcBorders/>
            <w:shd w:fill="auto" w:val="clear"/>
            <w:vAlign w:val="center"/>
          </w:tcPr>
          <w:p>
            <w:pPr>
              <w:pStyle w:val="TableContents"/>
              <w:spacing w:before="0" w:after="0"/>
              <w:ind w:left="0" w:right="0" w:hanging="0"/>
              <w:jc w:val="center"/>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3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Balance as of December 31, 2021</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47,241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1,000,212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(625,994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374,081</w:t>
            </w:r>
          </w:p>
        </w:tc>
        <w:tc>
          <w:tcPr>
            <w:tcW w:w="411" w:type="dxa"/>
            <w:tcBorders/>
            <w:shd w:fill="auto" w:val="clear"/>
            <w:vAlign w:val="center"/>
          </w:tcPr>
          <w:p>
            <w:pPr>
              <w:pStyle w:val="TableContents"/>
              <w:spacing w:before="0" w:after="0"/>
              <w:ind w:left="0" w:right="0" w:firstLine="200"/>
              <w:jc w:val="left"/>
              <w:rPr/>
            </w:pPr>
            <w:r>
              <w:rPr/>
              <w:t> </w:t>
            </w:r>
          </w:p>
        </w:tc>
      </w:tr>
      <w:tr>
        <w:trPr/>
        <w:tc>
          <w:tcPr>
            <w:tcW w:w="22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 xml:space="preserve">Issuance of common stock through employee stock </w:t>
              <w:br/>
              <w:t>  purchase plan</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2,063</w:t>
            </w:r>
          </w:p>
        </w:tc>
        <w:tc>
          <w:tcPr>
            <w:tcW w:w="411" w:type="dxa"/>
            <w:tcBorders/>
            <w:shd w:fill="auto" w:val="clear"/>
            <w:vAlign w:val="center"/>
          </w:tcPr>
          <w:p>
            <w:pPr>
              <w:pStyle w:val="TableContents"/>
              <w:spacing w:before="0" w:after="0"/>
              <w:ind w:left="0" w:right="0" w:firstLine="200"/>
              <w:jc w:val="left"/>
              <w:rPr/>
            </w:pPr>
            <w:r>
              <w:rPr/>
              <w:t> </w:t>
            </w:r>
          </w:p>
        </w:tc>
      </w:tr>
      <w:tr>
        <w:trPr/>
        <w:tc>
          <w:tcPr>
            <w:tcW w:w="22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Issuance of common stock for settlement of RSUs</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22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Stock option exercises</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1,660</w:t>
            </w:r>
          </w:p>
        </w:tc>
        <w:tc>
          <w:tcPr>
            <w:tcW w:w="411" w:type="dxa"/>
            <w:tcBorders/>
            <w:shd w:fill="auto" w:val="clear"/>
            <w:vAlign w:val="center"/>
          </w:tcPr>
          <w:p>
            <w:pPr>
              <w:pStyle w:val="TableContents"/>
              <w:spacing w:before="0" w:after="0"/>
              <w:ind w:left="0" w:right="0" w:firstLine="200"/>
              <w:jc w:val="left"/>
              <w:rPr/>
            </w:pPr>
            <w:r>
              <w:rPr/>
              <w:t> </w:t>
            </w:r>
          </w:p>
        </w:tc>
      </w:tr>
      <w:tr>
        <w:trPr/>
        <w:tc>
          <w:tcPr>
            <w:tcW w:w="22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5,006</w:t>
            </w:r>
          </w:p>
        </w:tc>
        <w:tc>
          <w:tcPr>
            <w:tcW w:w="411" w:type="dxa"/>
            <w:tcBorders/>
            <w:shd w:fill="auto" w:val="clear"/>
            <w:vAlign w:val="center"/>
          </w:tcPr>
          <w:p>
            <w:pPr>
              <w:pStyle w:val="TableContents"/>
              <w:spacing w:before="0" w:after="0"/>
              <w:ind w:left="0" w:right="0" w:firstLine="200"/>
              <w:jc w:val="left"/>
              <w:rPr/>
            </w:pPr>
            <w:r>
              <w:rPr/>
              <w:t> </w:t>
            </w:r>
          </w:p>
        </w:tc>
      </w:tr>
      <w:tr>
        <w:trPr/>
        <w:tc>
          <w:tcPr>
            <w:tcW w:w="22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Unrealized loss on available-for-sale securities</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48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shd w:fill="auto" w:val="clear"/>
            <w:vAlign w:val="center"/>
          </w:tcPr>
          <w:p>
            <w:pPr>
              <w:pStyle w:val="TableContents"/>
              <w:spacing w:before="0" w:after="0"/>
              <w:ind w:left="0" w:right="0" w:hanging="0"/>
              <w:jc w:val="left"/>
              <w:rPr/>
            </w:pPr>
            <w:r>
              <w:rPr/>
              <w:t> </w:t>
            </w:r>
          </w:p>
        </w:tc>
        <w:tc>
          <w:tcPr>
            <w:tcW w:w="9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86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(465</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23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(36,892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(36,892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23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Balance as of March 31, 2022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47,712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1,008,940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(662,886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345,453</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Outset Medical, Inc.</w:t>
      </w:r>
    </w:p>
    <w:p>
      <w:pPr>
        <w:pStyle w:val="TextBody"/>
        <w:spacing w:before="0" w:after="0"/>
        <w:jc w:val="center"/>
        <w:rPr>
          <w:rFonts w:ascii="Times New Roman;serif" w:hAnsi="Times New Roman;serif"/>
          <w:b/>
          <w:sz w:val="20"/>
        </w:rPr>
      </w:pPr>
      <w:bookmarkStart w:id="8" w:name="condensed_statements_cash_flows"/>
      <w:bookmarkEnd w:id="8"/>
      <w:r>
        <w:rPr>
          <w:rFonts w:ascii="Times New Roman;serif" w:hAnsi="Times New Roman;serif"/>
          <w:b/>
          <w:sz w:val="20"/>
        </w:rPr>
        <w:t>Condensed Statements of Cash Flows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(in thousands)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670"/>
        <w:gridCol w:w="146"/>
        <w:gridCol w:w="259"/>
        <w:gridCol w:w="908"/>
        <w:gridCol w:w="204"/>
        <w:gridCol w:w="180"/>
        <w:gridCol w:w="259"/>
        <w:gridCol w:w="964"/>
        <w:gridCol w:w="615"/>
      </w:tblGrid>
      <w:tr>
        <w:trPr/>
        <w:tc>
          <w:tcPr>
            <w:tcW w:w="66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r>
      <w:tr>
        <w:trPr/>
        <w:tc>
          <w:tcPr>
            <w:tcW w:w="667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7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6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7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22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6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167" w:type="dxa"/>
            <w:gridSpan w:val="2"/>
            <w:tcBorders/>
            <w:shd w:fill="auto" w:val="clear"/>
            <w:vAlign w:val="center"/>
          </w:tcPr>
          <w:p>
            <w:pPr>
              <w:pStyle w:val="TableContents"/>
              <w:spacing w:before="0" w:after="0"/>
              <w:ind w:left="0" w:right="0" w:hanging="0"/>
              <w:jc w:val="right"/>
              <w:rPr/>
            </w:pPr>
            <w:r>
              <w:rPr/>
              <w:t> </w:t>
            </w:r>
          </w:p>
        </w:tc>
        <w:tc>
          <w:tcPr>
            <w:tcW w:w="204" w:type="dxa"/>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223" w:type="dxa"/>
            <w:gridSpan w:val="2"/>
            <w:tcBorders/>
            <w:shd w:fill="auto" w:val="clear"/>
            <w:vAlign w:val="center"/>
          </w:tcPr>
          <w:p>
            <w:pPr>
              <w:pStyle w:val="TableContents"/>
              <w:spacing w:before="0" w:after="0"/>
              <w:ind w:left="0" w:right="0" w:hanging="0"/>
              <w:jc w:val="right"/>
              <w:rPr/>
            </w:pPr>
            <w:r>
              <w:rPr/>
              <w:t> </w:t>
            </w:r>
          </w:p>
        </w:tc>
        <w:tc>
          <w:tcPr>
            <w:tcW w:w="615" w:type="dxa"/>
            <w:tcBorders/>
            <w:shd w:fill="auto" w:val="clear"/>
            <w:vAlign w:val="center"/>
          </w:tcPr>
          <w:p>
            <w:pPr>
              <w:pStyle w:val="TableContents"/>
              <w:spacing w:before="0" w:after="0"/>
              <w:ind w:left="0" w:right="0" w:hanging="0"/>
              <w:jc w:val="right"/>
              <w:rPr/>
            </w:pPr>
            <w:r>
              <w:rPr/>
              <w:t> </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(43,971</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(36,892</w:t>
            </w:r>
          </w:p>
        </w:tc>
        <w:tc>
          <w:tcPr>
            <w:tcW w:w="6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167" w:type="dxa"/>
            <w:gridSpan w:val="2"/>
            <w:tcBorders/>
            <w:shd w:fill="auto" w:val="clear"/>
            <w:vAlign w:val="center"/>
          </w:tcPr>
          <w:p>
            <w:pPr>
              <w:pStyle w:val="TableContents"/>
              <w:spacing w:before="0" w:after="0"/>
              <w:ind w:left="0" w:right="0" w:hanging="0"/>
              <w:jc w:val="right"/>
              <w:rPr/>
            </w:pPr>
            <w:r>
              <w:rPr/>
              <w:t> </w:t>
            </w:r>
          </w:p>
        </w:tc>
        <w:tc>
          <w:tcPr>
            <w:tcW w:w="204" w:type="dxa"/>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223" w:type="dxa"/>
            <w:gridSpan w:val="2"/>
            <w:tcBorders/>
            <w:shd w:fill="auto" w:val="clear"/>
            <w:vAlign w:val="center"/>
          </w:tcPr>
          <w:p>
            <w:pPr>
              <w:pStyle w:val="TableContents"/>
              <w:spacing w:before="0" w:after="0"/>
              <w:ind w:left="0" w:right="0" w:hanging="0"/>
              <w:jc w:val="right"/>
              <w:rPr/>
            </w:pPr>
            <w:r>
              <w:rPr/>
              <w:t> </w:t>
            </w:r>
          </w:p>
        </w:tc>
        <w:tc>
          <w:tcPr>
            <w:tcW w:w="615" w:type="dxa"/>
            <w:tcBorders/>
            <w:shd w:fill="auto" w:val="clear"/>
            <w:vAlign w:val="center"/>
          </w:tcPr>
          <w:p>
            <w:pPr>
              <w:pStyle w:val="TableContents"/>
              <w:spacing w:before="0" w:after="0"/>
              <w:ind w:left="0" w:right="0" w:firstLine="200"/>
              <w:jc w:val="right"/>
              <w:rPr/>
            </w:pPr>
            <w:r>
              <w:rPr/>
              <w:t> </w:t>
            </w:r>
          </w:p>
        </w:tc>
      </w:tr>
      <w:tr>
        <w:trPr/>
        <w:tc>
          <w:tcPr>
            <w:tcW w:w="66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8,538</w:t>
            </w:r>
          </w:p>
        </w:tc>
        <w:tc>
          <w:tcPr>
            <w:tcW w:w="204"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5,006</w:t>
            </w:r>
          </w:p>
        </w:tc>
        <w:tc>
          <w:tcPr>
            <w:tcW w:w="615" w:type="dxa"/>
            <w:tcBorders/>
            <w:shd w:fill="auto" w:val="clear"/>
            <w:vAlign w:val="center"/>
          </w:tcPr>
          <w:p>
            <w:pPr>
              <w:pStyle w:val="TableContents"/>
              <w:spacing w:before="0" w:after="0"/>
              <w:ind w:left="0" w:right="0" w:firstLine="200"/>
              <w:jc w:val="left"/>
              <w:rPr/>
            </w:pPr>
            <w:r>
              <w:rPr/>
              <w:t> </w:t>
            </w:r>
          </w:p>
        </w:tc>
      </w:tr>
      <w:tr>
        <w:trPr/>
        <w:tc>
          <w:tcPr>
            <w:tcW w:w="66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1,384</w:t>
            </w:r>
          </w:p>
        </w:tc>
        <w:tc>
          <w:tcPr>
            <w:tcW w:w="204"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1,262</w:t>
            </w:r>
          </w:p>
        </w:tc>
        <w:tc>
          <w:tcPr>
            <w:tcW w:w="615" w:type="dxa"/>
            <w:tcBorders/>
            <w:shd w:fill="auto" w:val="clear"/>
            <w:vAlign w:val="center"/>
          </w:tcPr>
          <w:p>
            <w:pPr>
              <w:pStyle w:val="TableContents"/>
              <w:spacing w:before="0" w:after="0"/>
              <w:ind w:left="0" w:right="0" w:firstLine="200"/>
              <w:jc w:val="left"/>
              <w:rPr/>
            </w:pPr>
            <w:r>
              <w:rPr/>
              <w:t> </w:t>
            </w:r>
          </w:p>
        </w:tc>
      </w:tr>
      <w:tr>
        <w:trPr/>
        <w:tc>
          <w:tcPr>
            <w:tcW w:w="66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204"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615" w:type="dxa"/>
            <w:tcBorders/>
            <w:shd w:fill="auto" w:val="clear"/>
            <w:vAlign w:val="center"/>
          </w:tcPr>
          <w:p>
            <w:pPr>
              <w:pStyle w:val="TableContents"/>
              <w:spacing w:before="0" w:after="0"/>
              <w:ind w:left="0" w:right="0" w:firstLine="200"/>
              <w:jc w:val="left"/>
              <w:rPr/>
            </w:pPr>
            <w:r>
              <w:rPr/>
              <w:t> </w:t>
            </w:r>
          </w:p>
        </w:tc>
      </w:tr>
      <w:tr>
        <w:trPr/>
        <w:tc>
          <w:tcPr>
            <w:tcW w:w="66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interest expense</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463</w:t>
            </w:r>
          </w:p>
        </w:tc>
        <w:tc>
          <w:tcPr>
            <w:tcW w:w="204"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615" w:type="dxa"/>
            <w:tcBorders/>
            <w:shd w:fill="auto" w:val="clear"/>
            <w:vAlign w:val="center"/>
          </w:tcPr>
          <w:p>
            <w:pPr>
              <w:pStyle w:val="TableContents"/>
              <w:spacing w:before="0" w:after="0"/>
              <w:ind w:left="0" w:right="0" w:firstLine="200"/>
              <w:jc w:val="left"/>
              <w:rPr/>
            </w:pPr>
            <w:r>
              <w:rPr/>
              <w:t> </w:t>
            </w:r>
          </w:p>
        </w:tc>
      </w:tr>
      <w:tr>
        <w:trPr/>
        <w:tc>
          <w:tcPr>
            <w:tcW w:w="66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Accretion (amortization) of discount (premium) on investments, net</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(1,550</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667</w:t>
            </w:r>
          </w:p>
        </w:tc>
        <w:tc>
          <w:tcPr>
            <w:tcW w:w="615" w:type="dxa"/>
            <w:tcBorders/>
            <w:shd w:fill="auto" w:val="clear"/>
            <w:vAlign w:val="center"/>
          </w:tcPr>
          <w:p>
            <w:pPr>
              <w:pStyle w:val="TableContents"/>
              <w:spacing w:before="0" w:after="0"/>
              <w:ind w:left="0" w:right="0" w:firstLine="200"/>
              <w:jc w:val="left"/>
              <w:rPr/>
            </w:pPr>
            <w:r>
              <w:rPr/>
              <w:t> </w:t>
            </w:r>
          </w:p>
        </w:tc>
      </w:tr>
      <w:tr>
        <w:trPr/>
        <w:tc>
          <w:tcPr>
            <w:tcW w:w="66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Provision for inventories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870</w:t>
            </w:r>
          </w:p>
        </w:tc>
        <w:tc>
          <w:tcPr>
            <w:tcW w:w="204"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496</w:t>
            </w:r>
          </w:p>
        </w:tc>
        <w:tc>
          <w:tcPr>
            <w:tcW w:w="615" w:type="dxa"/>
            <w:tcBorders/>
            <w:shd w:fill="auto" w:val="clear"/>
            <w:vAlign w:val="center"/>
          </w:tcPr>
          <w:p>
            <w:pPr>
              <w:pStyle w:val="TableContents"/>
              <w:spacing w:before="0" w:after="0"/>
              <w:ind w:left="0" w:right="0" w:firstLine="200"/>
              <w:jc w:val="left"/>
              <w:rPr/>
            </w:pPr>
            <w:r>
              <w:rPr/>
              <w:t> </w:t>
            </w:r>
          </w:p>
        </w:tc>
      </w:tr>
      <w:tr>
        <w:trPr/>
        <w:tc>
          <w:tcPr>
            <w:tcW w:w="66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non-cash items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615" w:type="dxa"/>
            <w:tcBorders/>
            <w:shd w:fill="auto" w:val="clear"/>
            <w:vAlign w:val="center"/>
          </w:tcPr>
          <w:p>
            <w:pPr>
              <w:pStyle w:val="TableContents"/>
              <w:spacing w:before="0" w:after="0"/>
              <w:ind w:left="0" w:right="0" w:firstLine="200"/>
              <w:jc w:val="left"/>
              <w:rPr/>
            </w:pPr>
            <w:r>
              <w:rPr/>
              <w:t> </w:t>
            </w:r>
          </w:p>
        </w:tc>
      </w:tr>
      <w:tr>
        <w:trPr/>
        <w:tc>
          <w:tcPr>
            <w:tcW w:w="66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167" w:type="dxa"/>
            <w:gridSpan w:val="2"/>
            <w:tcBorders/>
            <w:shd w:fill="auto" w:val="clear"/>
            <w:vAlign w:val="center"/>
          </w:tcPr>
          <w:p>
            <w:pPr>
              <w:pStyle w:val="TableContents"/>
              <w:spacing w:before="0" w:after="0"/>
              <w:ind w:left="0" w:right="0" w:hanging="0"/>
              <w:jc w:val="right"/>
              <w:rPr/>
            </w:pPr>
            <w:r>
              <w:rPr/>
              <w:t> </w:t>
            </w:r>
          </w:p>
        </w:tc>
        <w:tc>
          <w:tcPr>
            <w:tcW w:w="204" w:type="dxa"/>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223" w:type="dxa"/>
            <w:gridSpan w:val="2"/>
            <w:tcBorders/>
            <w:shd w:fill="auto" w:val="clear"/>
            <w:vAlign w:val="center"/>
          </w:tcPr>
          <w:p>
            <w:pPr>
              <w:pStyle w:val="TableContents"/>
              <w:spacing w:before="0" w:after="0"/>
              <w:ind w:left="0" w:right="0" w:hanging="0"/>
              <w:jc w:val="right"/>
              <w:rPr/>
            </w:pPr>
            <w:r>
              <w:rPr/>
              <w:t> </w:t>
            </w:r>
          </w:p>
        </w:tc>
        <w:tc>
          <w:tcPr>
            <w:tcW w:w="615" w:type="dxa"/>
            <w:tcBorders/>
            <w:shd w:fill="auto" w:val="clear"/>
            <w:vAlign w:val="center"/>
          </w:tcPr>
          <w:p>
            <w:pPr>
              <w:pStyle w:val="TableContents"/>
              <w:spacing w:before="0" w:after="0"/>
              <w:ind w:left="0" w:right="0" w:firstLine="400"/>
              <w:jc w:val="right"/>
              <w:rPr/>
            </w:pPr>
            <w:r>
              <w:rPr/>
              <w:t> </w:t>
            </w:r>
          </w:p>
        </w:tc>
      </w:tr>
      <w:tr>
        <w:trPr/>
        <w:tc>
          <w:tcPr>
            <w:tcW w:w="667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(6,224</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(1,299</w:t>
            </w:r>
          </w:p>
        </w:tc>
        <w:tc>
          <w:tcPr>
            <w:tcW w:w="615"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67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Inventories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2,873</w:t>
            </w:r>
          </w:p>
        </w:tc>
        <w:tc>
          <w:tcPr>
            <w:tcW w:w="204"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(4,184</w:t>
            </w:r>
          </w:p>
        </w:tc>
        <w:tc>
          <w:tcPr>
            <w:tcW w:w="615"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67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569</w:t>
            </w:r>
          </w:p>
        </w:tc>
        <w:tc>
          <w:tcPr>
            <w:tcW w:w="204"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615" w:type="dxa"/>
            <w:tcBorders/>
            <w:shd w:fill="auto" w:val="clear"/>
            <w:vAlign w:val="center"/>
          </w:tcPr>
          <w:p>
            <w:pPr>
              <w:pStyle w:val="TableContents"/>
              <w:spacing w:before="0" w:after="0"/>
              <w:ind w:left="0" w:right="0" w:firstLine="400"/>
              <w:jc w:val="left"/>
              <w:rPr/>
            </w:pPr>
            <w:r>
              <w:rPr/>
              <w:t> </w:t>
            </w:r>
          </w:p>
        </w:tc>
      </w:tr>
      <w:tr>
        <w:trPr/>
        <w:tc>
          <w:tcPr>
            <w:tcW w:w="667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1,475</w:t>
            </w:r>
          </w:p>
        </w:tc>
        <w:tc>
          <w:tcPr>
            <w:tcW w:w="204"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3,276</w:t>
            </w:r>
          </w:p>
        </w:tc>
        <w:tc>
          <w:tcPr>
            <w:tcW w:w="615" w:type="dxa"/>
            <w:tcBorders/>
            <w:shd w:fill="auto" w:val="clear"/>
            <w:vAlign w:val="center"/>
          </w:tcPr>
          <w:p>
            <w:pPr>
              <w:pStyle w:val="TableContents"/>
              <w:spacing w:before="0" w:after="0"/>
              <w:ind w:left="0" w:right="0" w:firstLine="400"/>
              <w:jc w:val="left"/>
              <w:rPr/>
            </w:pPr>
            <w:r>
              <w:rPr/>
              <w:t> </w:t>
            </w:r>
          </w:p>
        </w:tc>
      </w:tr>
      <w:tr>
        <w:trPr/>
        <w:tc>
          <w:tcPr>
            <w:tcW w:w="667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compensation and related benefits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(7,100</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(11,470</w:t>
            </w:r>
          </w:p>
        </w:tc>
        <w:tc>
          <w:tcPr>
            <w:tcW w:w="615"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67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(2,337</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4,226</w:t>
            </w:r>
          </w:p>
        </w:tc>
        <w:tc>
          <w:tcPr>
            <w:tcW w:w="615" w:type="dxa"/>
            <w:tcBorders/>
            <w:shd w:fill="auto" w:val="clear"/>
            <w:vAlign w:val="center"/>
          </w:tcPr>
          <w:p>
            <w:pPr>
              <w:pStyle w:val="TableContents"/>
              <w:spacing w:before="0" w:after="0"/>
              <w:ind w:left="0" w:right="0" w:firstLine="400"/>
              <w:jc w:val="left"/>
              <w:rPr/>
            </w:pPr>
            <w:r>
              <w:rPr/>
              <w:t> </w:t>
            </w:r>
          </w:p>
        </w:tc>
      </w:tr>
      <w:tr>
        <w:trPr/>
        <w:tc>
          <w:tcPr>
            <w:tcW w:w="667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warranty liability</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615"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67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341</w:t>
            </w:r>
          </w:p>
        </w:tc>
        <w:tc>
          <w:tcPr>
            <w:tcW w:w="204"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w:t>
            </w:r>
          </w:p>
        </w:tc>
        <w:tc>
          <w:tcPr>
            <w:tcW w:w="615" w:type="dxa"/>
            <w:tcBorders/>
            <w:shd w:fill="auto" w:val="clear"/>
            <w:vAlign w:val="center"/>
          </w:tcPr>
          <w:p>
            <w:pPr>
              <w:pStyle w:val="TableContents"/>
              <w:spacing w:before="0" w:after="0"/>
              <w:ind w:left="0" w:right="0" w:firstLine="400"/>
              <w:jc w:val="left"/>
              <w:rPr/>
            </w:pPr>
            <w:r>
              <w:rPr/>
              <w:t> </w:t>
            </w:r>
          </w:p>
        </w:tc>
      </w:tr>
      <w:tr>
        <w:trPr/>
        <w:tc>
          <w:tcPr>
            <w:tcW w:w="667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6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0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(44,756</w:t>
            </w:r>
          </w:p>
        </w:tc>
        <w:tc>
          <w:tcPr>
            <w:tcW w:w="20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6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(38,335</w:t>
            </w:r>
          </w:p>
        </w:tc>
        <w:tc>
          <w:tcPr>
            <w:tcW w:w="615"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167" w:type="dxa"/>
            <w:gridSpan w:val="2"/>
            <w:tcBorders/>
            <w:shd w:fill="auto" w:val="clear"/>
            <w:vAlign w:val="center"/>
          </w:tcPr>
          <w:p>
            <w:pPr>
              <w:pStyle w:val="TableContents"/>
              <w:spacing w:before="0" w:after="0"/>
              <w:ind w:left="0" w:right="0" w:hanging="0"/>
              <w:jc w:val="right"/>
              <w:rPr/>
            </w:pPr>
            <w:r>
              <w:rPr/>
              <w:t> </w:t>
            </w:r>
          </w:p>
        </w:tc>
        <w:tc>
          <w:tcPr>
            <w:tcW w:w="204" w:type="dxa"/>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223" w:type="dxa"/>
            <w:gridSpan w:val="2"/>
            <w:tcBorders/>
            <w:shd w:fill="auto" w:val="clear"/>
            <w:vAlign w:val="center"/>
          </w:tcPr>
          <w:p>
            <w:pPr>
              <w:pStyle w:val="TableContents"/>
              <w:spacing w:before="0" w:after="0"/>
              <w:ind w:left="0" w:right="0" w:hanging="0"/>
              <w:jc w:val="right"/>
              <w:rPr/>
            </w:pPr>
            <w:r>
              <w:rPr/>
              <w:t> </w:t>
            </w:r>
          </w:p>
        </w:tc>
        <w:tc>
          <w:tcPr>
            <w:tcW w:w="615" w:type="dxa"/>
            <w:tcBorders/>
            <w:shd w:fill="auto" w:val="clear"/>
            <w:vAlign w:val="center"/>
          </w:tcPr>
          <w:p>
            <w:pPr>
              <w:pStyle w:val="TableContents"/>
              <w:spacing w:before="0" w:after="0"/>
              <w:ind w:left="0" w:right="0" w:firstLine="200"/>
              <w:jc w:val="right"/>
              <w:rPr/>
            </w:pPr>
            <w:r>
              <w:rPr/>
              <w:t> </w:t>
            </w:r>
          </w:p>
        </w:tc>
      </w:tr>
      <w:tr>
        <w:trPr/>
        <w:tc>
          <w:tcPr>
            <w:tcW w:w="66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(810</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(1,478</w:t>
            </w:r>
          </w:p>
        </w:tc>
        <w:tc>
          <w:tcPr>
            <w:tcW w:w="6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investment securities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(68,147</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(64,712</w:t>
            </w:r>
          </w:p>
        </w:tc>
        <w:tc>
          <w:tcPr>
            <w:tcW w:w="6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6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Maturities of investment securities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71,600</w:t>
            </w:r>
          </w:p>
        </w:tc>
        <w:tc>
          <w:tcPr>
            <w:tcW w:w="204"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32,800</w:t>
            </w:r>
          </w:p>
        </w:tc>
        <w:tc>
          <w:tcPr>
            <w:tcW w:w="615" w:type="dxa"/>
            <w:tcBorders/>
            <w:shd w:fill="auto" w:val="clear"/>
            <w:vAlign w:val="center"/>
          </w:tcPr>
          <w:p>
            <w:pPr>
              <w:pStyle w:val="TableContents"/>
              <w:spacing w:before="0" w:after="0"/>
              <w:ind w:left="0" w:right="0" w:hanging="0"/>
              <w:jc w:val="left"/>
              <w:rPr/>
            </w:pPr>
            <w:r>
              <w:rPr/>
              <w:t> </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0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2,643</w:t>
            </w:r>
          </w:p>
        </w:tc>
        <w:tc>
          <w:tcPr>
            <w:tcW w:w="20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6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(33,390</w:t>
            </w:r>
          </w:p>
        </w:tc>
        <w:tc>
          <w:tcPr>
            <w:tcW w:w="615"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167" w:type="dxa"/>
            <w:gridSpan w:val="2"/>
            <w:tcBorders/>
            <w:shd w:fill="auto" w:val="clear"/>
            <w:vAlign w:val="center"/>
          </w:tcPr>
          <w:p>
            <w:pPr>
              <w:pStyle w:val="TableContents"/>
              <w:spacing w:before="0" w:after="0"/>
              <w:ind w:left="0" w:right="0" w:hanging="0"/>
              <w:jc w:val="right"/>
              <w:rPr/>
            </w:pPr>
            <w:r>
              <w:rPr/>
              <w:t> </w:t>
            </w:r>
          </w:p>
        </w:tc>
        <w:tc>
          <w:tcPr>
            <w:tcW w:w="204" w:type="dxa"/>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223" w:type="dxa"/>
            <w:gridSpan w:val="2"/>
            <w:tcBorders/>
            <w:shd w:fill="auto" w:val="clear"/>
            <w:vAlign w:val="center"/>
          </w:tcPr>
          <w:p>
            <w:pPr>
              <w:pStyle w:val="TableContents"/>
              <w:spacing w:before="0" w:after="0"/>
              <w:ind w:left="0" w:right="0" w:hanging="0"/>
              <w:jc w:val="right"/>
              <w:rPr/>
            </w:pPr>
            <w:r>
              <w:rPr/>
              <w:t> </w:t>
            </w:r>
          </w:p>
        </w:tc>
        <w:tc>
          <w:tcPr>
            <w:tcW w:w="615" w:type="dxa"/>
            <w:tcBorders/>
            <w:shd w:fill="auto" w:val="clear"/>
            <w:vAlign w:val="center"/>
          </w:tcPr>
          <w:p>
            <w:pPr>
              <w:pStyle w:val="TableContents"/>
              <w:spacing w:before="0" w:after="0"/>
              <w:ind w:left="0" w:right="0" w:firstLine="200"/>
              <w:jc w:val="right"/>
              <w:rPr/>
            </w:pPr>
            <w:r>
              <w:rPr/>
              <w:t> </w:t>
            </w:r>
          </w:p>
        </w:tc>
      </w:tr>
      <w:tr>
        <w:trPr/>
        <w:tc>
          <w:tcPr>
            <w:tcW w:w="667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stock option exercises and employee stock purchase plan purchases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5,277</w:t>
            </w:r>
          </w:p>
        </w:tc>
        <w:tc>
          <w:tcPr>
            <w:tcW w:w="204" w:type="dxa"/>
            <w:tcBorders/>
            <w:shd w:fill="auto" w:val="cle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righ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3,723</w:t>
            </w:r>
          </w:p>
        </w:tc>
        <w:tc>
          <w:tcPr>
            <w:tcW w:w="615" w:type="dxa"/>
            <w:tcBorders/>
            <w:shd w:fill="auto" w:val="clear"/>
            <w:vAlign w:val="center"/>
          </w:tcPr>
          <w:p>
            <w:pPr>
              <w:pStyle w:val="TableContents"/>
              <w:spacing w:before="0" w:after="0"/>
              <w:ind w:left="0" w:right="0" w:hanging="0"/>
              <w:jc w:val="left"/>
              <w:rPr/>
            </w:pPr>
            <w:r>
              <w:rPr/>
              <w:t> </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08"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5,277</w:t>
            </w:r>
          </w:p>
        </w:tc>
        <w:tc>
          <w:tcPr>
            <w:tcW w:w="20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64"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3,723</w:t>
            </w:r>
          </w:p>
        </w:tc>
        <w:tc>
          <w:tcPr>
            <w:tcW w:w="615"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(36,836</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(68,002</w:t>
            </w:r>
          </w:p>
        </w:tc>
        <w:tc>
          <w:tcPr>
            <w:tcW w:w="6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as of beginning of period</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76,533</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215,659</w:t>
            </w:r>
          </w:p>
        </w:tc>
        <w:tc>
          <w:tcPr>
            <w:tcW w:w="6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as of end of period</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39,697</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147,657</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7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67" w:type="dxa"/>
            <w:gridSpan w:val="2"/>
            <w:tcBorders/>
            <w:shd w:fill="auto" w:val="clear"/>
            <w:vAlign w:val="center"/>
          </w:tcPr>
          <w:p>
            <w:pPr>
              <w:pStyle w:val="TableContents"/>
              <w:spacing w:before="0" w:after="0"/>
              <w:ind w:left="0" w:right="0" w:hanging="0"/>
              <w:jc w:val="right"/>
              <w:rPr/>
            </w:pPr>
            <w:r>
              <w:rPr/>
              <w:t> </w:t>
            </w:r>
          </w:p>
        </w:tc>
        <w:tc>
          <w:tcPr>
            <w:tcW w:w="204" w:type="dxa"/>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223" w:type="dxa"/>
            <w:gridSpan w:val="2"/>
            <w:tcBorders/>
            <w:shd w:fill="auto" w:val="clear"/>
            <w:vAlign w:val="center"/>
          </w:tcPr>
          <w:p>
            <w:pPr>
              <w:pStyle w:val="TableContents"/>
              <w:spacing w:before="0" w:after="0"/>
              <w:ind w:left="0" w:right="0" w:hanging="0"/>
              <w:jc w:val="right"/>
              <w:rPr/>
            </w:pPr>
            <w:r>
              <w:rPr/>
              <w:t> </w:t>
            </w:r>
          </w:p>
        </w:tc>
        <w:tc>
          <w:tcPr>
            <w:tcW w:w="615" w:type="dxa"/>
            <w:tcBorders/>
            <w:shd w:fill="auto" w:val="clear"/>
            <w:vAlign w:val="center"/>
          </w:tcPr>
          <w:p>
            <w:pPr>
              <w:pStyle w:val="TableContents"/>
              <w:spacing w:before="0" w:after="0"/>
              <w:ind w:left="0" w:right="0" w:hanging="0"/>
              <w:jc w:val="right"/>
              <w:rPr/>
            </w:pPr>
            <w:r>
              <w:rPr/>
              <w:t> </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cash flow disclosures:</w:t>
            </w:r>
          </w:p>
        </w:tc>
        <w:tc>
          <w:tcPr>
            <w:tcW w:w="146" w:type="dxa"/>
            <w:tcBorders/>
            <w:shd w:fill="auto" w:val="clear"/>
            <w:vAlign w:val="center"/>
          </w:tcPr>
          <w:p>
            <w:pPr>
              <w:pStyle w:val="TableContents"/>
              <w:spacing w:before="0" w:after="0"/>
              <w:ind w:left="0" w:right="0" w:hanging="0"/>
              <w:jc w:val="left"/>
              <w:rPr/>
            </w:pPr>
            <w:r>
              <w:rPr/>
              <w:t> </w:t>
            </w:r>
          </w:p>
        </w:tc>
        <w:tc>
          <w:tcPr>
            <w:tcW w:w="1167" w:type="dxa"/>
            <w:gridSpan w:val="2"/>
            <w:tcBorders/>
            <w:shd w:fill="auto" w:val="clear"/>
            <w:vAlign w:val="center"/>
          </w:tcPr>
          <w:p>
            <w:pPr>
              <w:pStyle w:val="TableContents"/>
              <w:spacing w:before="0" w:after="0"/>
              <w:ind w:left="0" w:right="0" w:hanging="0"/>
              <w:jc w:val="right"/>
              <w:rPr/>
            </w:pPr>
            <w:r>
              <w:rPr/>
              <w:t> </w:t>
            </w:r>
          </w:p>
        </w:tc>
        <w:tc>
          <w:tcPr>
            <w:tcW w:w="204" w:type="dxa"/>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223" w:type="dxa"/>
            <w:gridSpan w:val="2"/>
            <w:tcBorders/>
            <w:shd w:fill="auto" w:val="clear"/>
            <w:vAlign w:val="center"/>
          </w:tcPr>
          <w:p>
            <w:pPr>
              <w:pStyle w:val="TableContents"/>
              <w:spacing w:before="0" w:after="0"/>
              <w:ind w:left="0" w:right="0" w:hanging="0"/>
              <w:jc w:val="right"/>
              <w:rPr/>
            </w:pPr>
            <w:r>
              <w:rPr/>
              <w:t> </w:t>
            </w:r>
          </w:p>
        </w:tc>
        <w:tc>
          <w:tcPr>
            <w:tcW w:w="615" w:type="dxa"/>
            <w:tcBorders/>
            <w:shd w:fill="auto" w:val="clear"/>
            <w:vAlign w:val="center"/>
          </w:tcPr>
          <w:p>
            <w:pPr>
              <w:pStyle w:val="TableContents"/>
              <w:spacing w:before="0" w:after="0"/>
              <w:ind w:left="0" w:right="0" w:hanging="0"/>
              <w:jc w:val="right"/>
              <w:rPr/>
            </w:pPr>
            <w:r>
              <w:rPr/>
              <w:t> </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income taxes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2,479</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amounts included in the measurement of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non-cash investing and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167" w:type="dxa"/>
            <w:gridSpan w:val="2"/>
            <w:tcBorders/>
            <w:shd w:fill="auto" w:val="clear"/>
            <w:vAlign w:val="center"/>
          </w:tcPr>
          <w:p>
            <w:pPr>
              <w:pStyle w:val="TableContents"/>
              <w:spacing w:before="0" w:after="0"/>
              <w:ind w:left="0" w:right="0" w:hanging="0"/>
              <w:jc w:val="right"/>
              <w:rPr/>
            </w:pPr>
            <w:r>
              <w:rPr/>
              <w:t> </w:t>
            </w:r>
          </w:p>
        </w:tc>
        <w:tc>
          <w:tcPr>
            <w:tcW w:w="204" w:type="dxa"/>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1223" w:type="dxa"/>
            <w:gridSpan w:val="2"/>
            <w:tcBorders/>
            <w:shd w:fill="auto" w:val="clear"/>
            <w:vAlign w:val="center"/>
          </w:tcPr>
          <w:p>
            <w:pPr>
              <w:pStyle w:val="TableContents"/>
              <w:spacing w:before="0" w:after="0"/>
              <w:ind w:left="0" w:right="0" w:hanging="0"/>
              <w:jc w:val="right"/>
              <w:rPr/>
            </w:pPr>
            <w:r>
              <w:rPr/>
              <w:t> </w:t>
            </w:r>
          </w:p>
        </w:tc>
        <w:tc>
          <w:tcPr>
            <w:tcW w:w="615" w:type="dxa"/>
            <w:tcBorders/>
            <w:shd w:fill="auto" w:val="clear"/>
            <w:vAlign w:val="center"/>
          </w:tcPr>
          <w:p>
            <w:pPr>
              <w:pStyle w:val="TableContents"/>
              <w:spacing w:before="0" w:after="0"/>
              <w:ind w:left="0" w:right="0" w:hanging="0"/>
              <w:jc w:val="right"/>
              <w:rPr/>
            </w:pPr>
            <w:r>
              <w:rPr/>
              <w:t> </w:t>
            </w:r>
          </w:p>
        </w:tc>
      </w:tr>
      <w:tr>
        <w:trPr/>
        <w:tc>
          <w:tcPr>
            <w:tcW w:w="66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Capital expenditures included in accounts payable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 w:type="dxa"/>
            <w:tcBorders/>
            <w:shd w:fill="auto" w:val="clear"/>
            <w:vAlign w:val="center"/>
          </w:tcPr>
          <w:p>
            <w:pPr>
              <w:pStyle w:val="TableContents"/>
              <w:spacing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center"/>
        <w:rPr>
          <w:rFonts w:ascii="Times New Roman;serif" w:hAnsi="Times New Roman;serif"/>
          <w:b w:val="false"/>
          <w:i/>
          <w:sz w:val="20"/>
        </w:rPr>
      </w:pPr>
      <w:r>
        <w:rPr>
          <w:rFonts w:ascii="Times New Roman;serif" w:hAnsi="Times New Roman;serif"/>
          <w:b w:val="false"/>
          <w:i/>
          <w:sz w:val="20"/>
        </w:rPr>
        <w:t>The accompanying notes are an integral part of these unaudited condensed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Outset Medical, Inc.</w:t>
      </w:r>
    </w:p>
    <w:p>
      <w:pPr>
        <w:pStyle w:val="TextBody"/>
        <w:spacing w:before="0" w:after="0"/>
        <w:jc w:val="center"/>
        <w:rPr>
          <w:rFonts w:ascii="Times New Roman;serif" w:hAnsi="Times New Roman;serif"/>
          <w:b/>
          <w:sz w:val="20"/>
        </w:rPr>
      </w:pPr>
      <w:bookmarkStart w:id="9" w:name="notes_to_condensed_financial_statements"/>
      <w:bookmarkEnd w:id="9"/>
      <w:r>
        <w:rPr>
          <w:rFonts w:ascii="Times New Roman;serif" w:hAnsi="Times New Roman;serif"/>
          <w:b/>
          <w:sz w:val="20"/>
        </w:rPr>
        <w:t>Notes to Condensed Financial Statements</w:t>
      </w:r>
    </w:p>
    <w:p>
      <w:pPr>
        <w:pStyle w:val="TextBody"/>
        <w:spacing w:before="240" w:after="0"/>
        <w:jc w:val="left"/>
        <w:rPr>
          <w:rFonts w:ascii="Times New Roman" w:hAnsi="Times New Roman"/>
          <w:sz w:val="20"/>
        </w:rPr>
      </w:pPr>
      <w:r>
        <w:rPr>
          <w:rFonts w:ascii="Times New Roman;serif" w:hAnsi="Times New Roman;serif"/>
          <w:b/>
          <w:sz w:val="20"/>
        </w:rPr>
        <w:t>1. Description of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Outset Medical, Inc. (the Company) is a medical technology company pioneering a first-of-its-kind technology to reduce the cost and complexity of dialysis. The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California.</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Liquidity</w:t>
      </w:r>
    </w:p>
    <w:p>
      <w:pPr>
        <w:pStyle w:val="TextBody"/>
        <w:spacing w:before="120" w:after="0"/>
        <w:jc w:val="left"/>
        <w:rPr>
          <w:rFonts w:ascii="Times New Roman" w:hAnsi="Times New Roman"/>
          <w:sz w:val="20"/>
        </w:rPr>
      </w:pPr>
      <w:r>
        <w:rPr>
          <w:rFonts w:ascii="Times New Roman;serif" w:hAnsi="Times New Roman;serif"/>
          <w:b w:val="false"/>
          <w:sz w:val="20"/>
        </w:rPr>
        <w:t>Since inception, the Company has incurred net losses and negative cash flows from operations. During the three months ended March 31, 2023 and 2022, the Company incurred a net loss of $44.0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$36.9</w:t>
      </w:r>
      <w:r>
        <w:rPr>
          <w:rFonts w:ascii="Times New Roman" w:hAnsi="Times New Roman"/>
          <w:sz w:val="20"/>
        </w:rPr>
        <w:t xml:space="preserve"> </w:t>
      </w:r>
      <w:r>
        <w:rPr>
          <w:rFonts w:ascii="Times New Roman;serif" w:hAnsi="Times New Roman;serif"/>
          <w:b w:val="false"/>
          <w:sz w:val="20"/>
        </w:rPr>
        <w:t>million, respectively. As of March 31, 2023, the Company had an accumulated deficit of $832.9</w:t>
      </w:r>
      <w:r>
        <w:rPr>
          <w:rFonts w:ascii="Times New Roman" w:hAnsi="Times New Roman"/>
          <w:sz w:val="20"/>
        </w:rPr>
        <w:t xml:space="preserve"> </w:t>
      </w:r>
      <w:r>
        <w:rPr>
          <w:rFonts w:ascii="Times New Roman;serif" w:hAnsi="Times New Roman;serif"/>
          <w:b w:val="false"/>
          <w:sz w:val="20"/>
        </w:rPr>
        <w:t>million.</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Company had cash, cash equivalents and short-term investments of $249.2</w:t>
      </w:r>
      <w:r>
        <w:rPr>
          <w:rFonts w:ascii="Times New Roman" w:hAnsi="Times New Roman"/>
          <w:sz w:val="20"/>
        </w:rPr>
        <w:t xml:space="preserve"> </w:t>
      </w:r>
      <w:r>
        <w:rPr>
          <w:rFonts w:ascii="Times New Roman;serif" w:hAnsi="Times New Roman;serif"/>
          <w:b w:val="false"/>
          <w:sz w:val="20"/>
        </w:rPr>
        <w:t>million, which are available to fund future operations, and restricted cash of $3.3</w:t>
      </w:r>
      <w:r>
        <w:rPr>
          <w:rFonts w:ascii="Times New Roman" w:hAnsi="Times New Roman"/>
          <w:sz w:val="20"/>
        </w:rPr>
        <w:t xml:space="preserve"> </w:t>
      </w:r>
      <w:r>
        <w:rPr>
          <w:rFonts w:ascii="Times New Roman;serif" w:hAnsi="Times New Roman;serif"/>
          <w:b w:val="false"/>
          <w:sz w:val="20"/>
        </w:rPr>
        <w:t>million, for a total cash, cash equivalents, restricted cash and short-term investments balance of $252.5</w:t>
      </w:r>
      <w:r>
        <w:rPr>
          <w:rFonts w:ascii="Times New Roman" w:hAnsi="Times New Roman"/>
          <w:sz w:val="20"/>
        </w:rPr>
        <w:t xml:space="preserve"> </w:t>
      </w:r>
      <w:r>
        <w:rPr>
          <w:rFonts w:ascii="Times New Roman;serif" w:hAnsi="Times New Roman;serif"/>
          <w:b w:val="false"/>
          <w:sz w:val="20"/>
        </w:rPr>
        <w:t>million. Management expects to continue to incur significant expenses for the foreseeable future and to incur operating losses in the near term while the Company makes investments to support its anticipated growth. Management believes that the Company’s existing cash, cash equivalents, short-term investments, cash generated from sales, and proceeds received and currently available from the recent debt financing described in Note 7, will be sufficient to meet its anticipated needs for at least the next 12 months from the issuance date of the accompanying condensed financial statements.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Basis of Presentation</w:t>
      </w:r>
    </w:p>
    <w:p>
      <w:pPr>
        <w:pStyle w:val="TextBody"/>
        <w:spacing w:before="120" w:after="0"/>
        <w:jc w:val="left"/>
        <w:rPr>
          <w:rFonts w:ascii="Times New Roman" w:hAnsi="Times New Roman"/>
          <w:sz w:val="20"/>
        </w:rPr>
      </w:pPr>
      <w:r>
        <w:rPr>
          <w:rFonts w:ascii="Times New Roman;serif" w:hAnsi="Times New Roman;serif"/>
          <w:b w:val="false"/>
          <w:sz w:val="20"/>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three-month period are also unaudited. The results of operations for the three months ended March 31, 2023 are not necessarily indicative of the results of operations to be anticipated for any other future annual or interim period. The condensed balance sheet as of December 31, 2022 included herein was derived from the audited financial statements as of that date.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unaudited condensed financial statements should be read in conjunction with the Company’s audited financial statements and related notes for the year ended December 31, 2022, which are included in the Annual Report on Form 10-K for the fiscal year ended December 31, 2022 filed with the Securities and Exchange Commission (SEC) on February 13, 2023 (2022 Annual Report).</w:t>
      </w:r>
    </w:p>
    <w:p>
      <w:pPr>
        <w:pStyle w:val="TextBody"/>
        <w:spacing w:before="120" w:after="0"/>
        <w:jc w:val="left"/>
        <w:rPr>
          <w:rFonts w:ascii="Times New Roman" w:hAnsi="Times New Roman"/>
          <w:sz w:val="20"/>
        </w:rPr>
      </w:pPr>
      <w:r>
        <w:rPr>
          <w:rFonts w:ascii="Times New Roman;serif" w:hAnsi="Times New Roman;serif"/>
          <w:b w:val="false"/>
          <w:sz w:val="20"/>
        </w:rPr>
        <w:t>All share amounts disclosed in the notes to the condensed financial statements are rounded to the nearest thousand except for per share data.</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2. Summary of Significant Accounting Policies</w:t>
      </w:r>
    </w:p>
    <w:p>
      <w:pPr>
        <w:pStyle w:val="TextBody"/>
        <w:spacing w:before="240" w:after="0"/>
        <w:jc w:val="left"/>
        <w:rPr>
          <w:rFonts w:ascii="Times New Roman;serif" w:hAnsi="Times New Roman;serif"/>
          <w:b/>
          <w:i/>
          <w:sz w:val="20"/>
        </w:rPr>
      </w:pPr>
      <w:r>
        <w:rPr>
          <w:rFonts w:ascii="Times New Roman;serif" w:hAnsi="Times New Roman;serif"/>
          <w:b/>
          <w:i/>
          <w:sz w:val="20"/>
        </w:rPr>
        <w:t>Recently Adopted Accounting Pronouncements</w:t>
      </w:r>
    </w:p>
    <w:p>
      <w:pPr>
        <w:pStyle w:val="TextBody"/>
        <w:spacing w:before="120" w:after="0"/>
        <w:jc w:val="left"/>
        <w:rPr>
          <w:rFonts w:ascii="Times New Roman" w:hAnsi="Times New Roman"/>
          <w:sz w:val="20"/>
        </w:rPr>
      </w:pPr>
      <w:r>
        <w:rPr>
          <w:rFonts w:ascii="Times New Roman;serif" w:hAnsi="Times New Roman;serif"/>
          <w:b w:val="false"/>
          <w:sz w:val="20"/>
        </w:rPr>
        <w:t xml:space="preserve">In June 2016, the Financial Accounting Standards Board (FASB) issued ASU No. 2016-13, </w:t>
      </w:r>
      <w:r>
        <w:rPr>
          <w:rFonts w:ascii="Times New Roman;serif" w:hAnsi="Times New Roman;serif"/>
          <w:b w:val="false"/>
          <w:i/>
          <w:sz w:val="20"/>
        </w:rPr>
        <w:t>Financial Instruments - Credit Losses (Topic 326) Measurement of Credit Losses on Financial Instruments</w:t>
      </w:r>
      <w:r>
        <w:rPr>
          <w:rFonts w:ascii="Times New Roman" w:hAnsi="Times New Roman"/>
          <w:sz w:val="20"/>
        </w:rPr>
        <w:t xml:space="preserve"> </w:t>
      </w:r>
      <w:r>
        <w:rPr>
          <w:rFonts w:ascii="Times New Roman;serif" w:hAnsi="Times New Roman;serif"/>
          <w:b w:val="false"/>
          <w:sz w:val="20"/>
        </w:rPr>
        <w:t>(ASU 2016-13), which requires an entity to utilize a new impairment model known as the current expected credit loss (CECL) model to 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The Company adopted ASU 2016-13 during the first quarter of fiscal year 2023. The adoption did not have a material impact on the Company's financial statements. Please see the description of the Company’s "Credit Losses” accounting policy in the “Significant Accounting Policies” section below.</w:t>
      </w:r>
    </w:p>
    <w:p>
      <w:pPr>
        <w:pStyle w:val="TextBody"/>
        <w:spacing w:before="240" w:after="0"/>
        <w:jc w:val="left"/>
        <w:rPr>
          <w:rFonts w:ascii="Times New Roman;serif" w:hAnsi="Times New Roman;serif"/>
          <w:b/>
          <w:i/>
          <w:sz w:val="20"/>
        </w:rPr>
      </w:pPr>
      <w:r>
        <w:rPr>
          <w:rFonts w:ascii="Times New Roman;serif" w:hAnsi="Times New Roman;serif"/>
          <w:b/>
          <w:i/>
          <w:sz w:val="20"/>
        </w:rPr>
        <w:t>Significant Accounting Policies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center"/>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With the exception of the change from accounting for credit losses as a result of the adoption of ASU 2016-13, there have been no new or material changes to the Company’s significant accounting policies as described in its 2022</w:t>
      </w:r>
      <w:r>
        <w:rPr>
          <w:rFonts w:ascii="Times New Roman" w:hAnsi="Times New Roman"/>
          <w:sz w:val="20"/>
        </w:rPr>
        <w:t xml:space="preserve"> </w:t>
      </w:r>
      <w:r>
        <w:rPr>
          <w:rFonts w:ascii="Times New Roman;serif" w:hAnsi="Times New Roman;serif"/>
          <w:b w:val="false"/>
          <w:sz w:val="20"/>
        </w:rPr>
        <w:t>Annual Report that have had a material impact on the Company’s condensed financial statements and related notes.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Credit Losses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Accounts receivable</w:t>
      </w:r>
      <w:r>
        <w:rPr>
          <w:rFonts w:ascii="Times New Roman;serif" w:hAnsi="Times New Roman;serif"/>
          <w:b w:val="false"/>
          <w:sz w:val="20"/>
        </w:rPr>
        <w:t>. The allowance for doubtful accounts is based on the Company’s assessment of the Company’s best estimate of the amount of credit losses in customer accounts. The Company regularly reviews the allowance by considering factors such as existing contractual payment terms, historical experience, credit quality, the age of the accounts receivable balances, and current economic conditions that may affect a customer’s ability to pay. The allowance for doubtful accounts was not significant as of March 31, 2023 and December 31, 2022.</w:t>
        <w:br/>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val="false"/>
          <w:i/>
          <w:sz w:val="20"/>
        </w:rPr>
        <w:t>Available-for-sale debt securities</w:t>
      </w:r>
      <w:r>
        <w:rPr>
          <w:rFonts w:ascii="Times New Roman;serif" w:hAnsi="Times New Roman;serif"/>
          <w:b w:val="false"/>
          <w:sz w:val="20"/>
        </w:rPr>
        <w:t>. The Company primarily holds U.S. government-sponsored enterprises debt securities, corporate debt securities, commercial paper, U.S. Treasury securities and money market funds. The Company regularly reviews the securities in an unrealized loss position and evaluates the current expected credit loss by considering factors such as historical experience, market data, financial condition and near-term prospects of the investee, the extent of the loss related to the credit of the issuer, and the expected cash flows from the security. The Company segments its portfolio based on the underlying risk profiles of the securities and has a zero-loss expectation for U.S. treasury and U.S. government-sponsored enterprises debt securities. The basis for this assumption is that these securities have consistently high credit ratings by rating agencies, have a long history with no credit losses, are explicitly guaranteed by a sovereign entity, which can print its own currency, and are denominated in a currency that is routinely held by central banks, used in international commerce, and commonly viewed as a reserve currency. Additionally, all of the Company’s investments in corporate debt securities are in securities with high-quality credit ratings, which have historically experienced low rates of default. For the three months ended March 31, 2023 and 2022, the Company did not recognize credit loss related to available-for-sales debt securities.</w:t>
      </w:r>
    </w:p>
    <w:p>
      <w:pPr>
        <w:pStyle w:val="TextBody"/>
        <w:spacing w:before="240" w:after="0"/>
        <w:jc w:val="left"/>
        <w:rPr>
          <w:rFonts w:ascii="Times New Roman" w:hAnsi="Times New Roman"/>
          <w:sz w:val="20"/>
        </w:rPr>
      </w:pPr>
      <w:r>
        <w:rPr>
          <w:rFonts w:ascii="Times New Roman;serif" w:hAnsi="Times New Roman;serif"/>
          <w:b/>
          <w:sz w:val="20"/>
        </w:rPr>
        <w:t>3. Revenue and Deferred Revenue</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Disaggregation of Revenue</w:t>
      </w:r>
    </w:p>
    <w:p>
      <w:pPr>
        <w:pStyle w:val="TextBody"/>
        <w:spacing w:before="120" w:after="120"/>
        <w:jc w:val="left"/>
        <w:rPr>
          <w:rFonts w:ascii="Times New Roman" w:hAnsi="Times New Roman"/>
          <w:sz w:val="20"/>
        </w:rPr>
      </w:pPr>
      <w:r>
        <w:rPr>
          <w:rFonts w:ascii="Times New Roman;serif" w:hAnsi="Times New Roman;serif"/>
          <w:b w:val="false"/>
          <w:sz w:val="20"/>
        </w:rPr>
        <w:t>Revenue by source consists of the following (in thousands):</w:t>
      </w:r>
      <w:r>
        <w:rPr>
          <w:rFonts w:ascii="Times New Roman" w:hAnsi="Times New Roman"/>
          <w:sz w:val="20"/>
        </w:rPr>
        <w:t xml:space="preserve"> </w:t>
      </w:r>
    </w:p>
    <w:tbl>
      <w:tblPr>
        <w:tblW w:w="5794" w:type="dxa"/>
        <w:jc w:val="left"/>
        <w:tblInd w:w="0" w:type="dxa"/>
        <w:tblCellMar>
          <w:top w:w="28" w:type="dxa"/>
          <w:left w:w="28" w:type="dxa"/>
          <w:bottom w:w="28" w:type="dxa"/>
          <w:right w:w="28" w:type="dxa"/>
        </w:tblCellMar>
      </w:tblPr>
      <w:tblGrid>
        <w:gridCol w:w="2221"/>
        <w:gridCol w:w="146"/>
        <w:gridCol w:w="285"/>
        <w:gridCol w:w="913"/>
        <w:gridCol w:w="197"/>
        <w:gridCol w:w="197"/>
        <w:gridCol w:w="285"/>
        <w:gridCol w:w="913"/>
        <w:gridCol w:w="146"/>
        <w:gridCol w:w="491"/>
      </w:tblGrid>
      <w:tr>
        <w:trPr/>
        <w:tc>
          <w:tcPr>
            <w:tcW w:w="22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22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9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9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119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Consoles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18,863</w:t>
            </w:r>
          </w:p>
        </w:tc>
        <w:tc>
          <w:tcPr>
            <w:tcW w:w="19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18,051</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Consumables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8,916</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300"/>
              <w:jc w:val="left"/>
              <w:rPr/>
            </w:pPr>
            <w:r>
              <w:rPr/>
              <w:t> </w:t>
            </w:r>
          </w:p>
        </w:tc>
      </w:tr>
      <w:tr>
        <w:trPr/>
        <w:tc>
          <w:tcPr>
            <w:tcW w:w="222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product revenue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27,779</w:t>
            </w:r>
          </w:p>
        </w:tc>
        <w:tc>
          <w:tcPr>
            <w:tcW w:w="197"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25,664</w:t>
            </w:r>
          </w:p>
        </w:tc>
        <w:tc>
          <w:tcPr>
            <w:tcW w:w="146" w:type="dxa"/>
            <w:tcBorders/>
            <w:shd w:fill="auto" w:val="cle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and other revenue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5,688</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firstLine="300"/>
              <w:jc w:val="left"/>
              <w:rPr/>
            </w:pPr>
            <w:r>
              <w:rPr/>
              <w:t> </w:t>
            </w:r>
          </w:p>
        </w:tc>
      </w:tr>
      <w:tr>
        <w:trPr/>
        <w:tc>
          <w:tcPr>
            <w:tcW w:w="222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33,467</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consoles revenue were from console operating lease arrangements, compared to $0.7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March 31, 2022.</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Remaining Performance Obligations and Contract Liabilities</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aggregate amount of the transaction price allocated to the remaining performance obligations related to customer service contracts that are unsatisfied or partially unsatisfied was $9.1</w:t>
      </w:r>
      <w:r>
        <w:rPr>
          <w:rFonts w:ascii="Times New Roman" w:hAnsi="Times New Roman"/>
          <w:sz w:val="20"/>
        </w:rPr>
        <w:t xml:space="preserve"> </w:t>
      </w:r>
      <w:r>
        <w:rPr>
          <w:rFonts w:ascii="Times New Roman;serif" w:hAnsi="Times New Roman;serif"/>
          <w:b w:val="false"/>
          <w:sz w:val="20"/>
        </w:rPr>
        <w:t>million, which is recorded as deferred revenue on the Company’s condensed balance sheets. Of that amount, $9.0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will be recognized as revenue during the next 12</w:t>
      </w:r>
      <w:r>
        <w:rPr>
          <w:rFonts w:ascii="Times New Roman" w:hAnsi="Times New Roman"/>
          <w:sz w:val="20"/>
        </w:rPr>
        <w:t xml:space="preserve"> </w:t>
      </w:r>
      <w:r>
        <w:rPr>
          <w:rFonts w:ascii="Times New Roman;serif" w:hAnsi="Times New Roman;serif"/>
          <w:b w:val="false"/>
          <w:sz w:val="20"/>
        </w:rPr>
        <w:t>months and $0.1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thereafter.</w:t>
      </w:r>
      <w:r>
        <w:rPr>
          <w:rFonts w:ascii="Times New Roman" w:hAnsi="Times New Roman"/>
          <w:sz w:val="20"/>
        </w:rPr>
        <w:t xml:space="preserve"> </w:t>
      </w:r>
    </w:p>
    <w:p>
      <w:pPr>
        <w:pStyle w:val="TextBody"/>
        <w:spacing w:before="120" w:after="120"/>
        <w:jc w:val="left"/>
        <w:rPr>
          <w:rFonts w:ascii="Times New Roman" w:hAnsi="Times New Roman"/>
          <w:sz w:val="20"/>
        </w:rPr>
      </w:pPr>
      <w:r>
        <w:rPr>
          <w:rFonts w:ascii="Times New Roman;serif" w:hAnsi="Times New Roman;serif"/>
          <w:b w:val="false"/>
          <w:sz w:val="20"/>
        </w:rPr>
        <w:t>The contract liabilities consist of deferred revenue which represents payments received in advance of revenue recognition. Revenue under these agreements is recognized over the related service period. During the three months ended March 31, 2023, the Company recognized $3.8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previously deferred revenue.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center"/>
        <w:rPr/>
      </w:pPr>
      <w:r>
        <w:rPr/>
        <w:t> </w:t>
      </w:r>
    </w:p>
    <w:p>
      <w:pPr>
        <w:pStyle w:val="TextBody"/>
        <w:spacing w:before="240" w:after="0"/>
        <w:jc w:val="left"/>
        <w:rPr>
          <w:rFonts w:ascii="Times New Roman" w:hAnsi="Times New Roman"/>
          <w:sz w:val="20"/>
        </w:rPr>
      </w:pPr>
      <w:r>
        <w:rPr>
          <w:rFonts w:ascii="Times New Roman;serif" w:hAnsi="Times New Roman;serif"/>
          <w:b/>
          <w:sz w:val="20"/>
        </w:rPr>
        <w:t>4.</w:t>
      </w:r>
      <w:r>
        <w:rPr>
          <w:rFonts w:ascii="Times New Roman" w:hAnsi="Times New Roman"/>
          <w:sz w:val="20"/>
        </w:rPr>
        <w:t xml:space="preserve"> </w:t>
      </w:r>
      <w:r>
        <w:rPr>
          <w:rFonts w:ascii="Times New Roman;serif" w:hAnsi="Times New Roman;serif"/>
          <w:b/>
          <w:sz w:val="20"/>
        </w:rPr>
        <w:t>Fair Value Measurements</w:t>
      </w:r>
    </w:p>
    <w:p>
      <w:pPr>
        <w:pStyle w:val="TextBody"/>
        <w:spacing w:before="120" w:after="0"/>
        <w:jc w:val="left"/>
        <w:rPr>
          <w:rFonts w:ascii="Times New Roman" w:hAnsi="Times New Roman"/>
          <w:sz w:val="20"/>
        </w:rPr>
      </w:pPr>
      <w:r>
        <w:rPr>
          <w:rFonts w:ascii="Times New Roman;serif" w:hAnsi="Times New Roman;serif"/>
          <w:b w:val="false"/>
          <w:sz w:val="20"/>
        </w:rPr>
        <w:t>The following tables summarize the Company’s financial assets measured at fair value on a recurring basis by level within the fair value hierarchy (in thousands):</w:t>
      </w:r>
      <w:r>
        <w:rPr>
          <w:rFonts w:ascii="Times New Roman" w:hAnsi="Times New Roman"/>
          <w:sz w:val="20"/>
        </w:rPr>
        <w:t xml:space="preserve"> </w:t>
      </w:r>
    </w:p>
    <w:p>
      <w:pPr>
        <w:pStyle w:val="TextBody"/>
        <w:spacing w:before="0" w:after="0"/>
        <w:jc w:val="left"/>
        <w:rPr/>
      </w:pPr>
      <w:r>
        <w:rPr/>
        <w:t> </w:t>
      </w:r>
    </w:p>
    <w:tbl>
      <w:tblPr>
        <w:tblW w:w="10084" w:type="dxa"/>
        <w:jc w:val="left"/>
        <w:tblInd w:w="0" w:type="dxa"/>
        <w:tblCellMar>
          <w:top w:w="28" w:type="dxa"/>
          <w:left w:w="28" w:type="dxa"/>
          <w:bottom w:w="28" w:type="dxa"/>
          <w:right w:w="28" w:type="dxa"/>
        </w:tblCellMar>
      </w:tblPr>
      <w:tblGrid>
        <w:gridCol w:w="3316"/>
        <w:gridCol w:w="146"/>
        <w:gridCol w:w="991"/>
        <w:gridCol w:w="146"/>
        <w:gridCol w:w="213"/>
        <w:gridCol w:w="793"/>
        <w:gridCol w:w="146"/>
        <w:gridCol w:w="146"/>
        <w:gridCol w:w="392"/>
        <w:gridCol w:w="644"/>
        <w:gridCol w:w="146"/>
        <w:gridCol w:w="146"/>
        <w:gridCol w:w="315"/>
        <w:gridCol w:w="721"/>
        <w:gridCol w:w="166"/>
        <w:gridCol w:w="146"/>
        <w:gridCol w:w="217"/>
        <w:gridCol w:w="803"/>
        <w:gridCol w:w="491"/>
      </w:tblGrid>
      <w:tr>
        <w:trPr/>
        <w:tc>
          <w:tcPr>
            <w:tcW w:w="3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9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Valuation</w:t>
              <w:br/>
              <w:t>Hierarchy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Amortized</w:t>
              <w:br/>
              <w:t>Costs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w:t>
              <w:br/>
              <w:t>Unrealized</w:t>
              <w:br/>
              <w:t>Holding</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w:t>
              <w:br/>
              <w:t>Unrealized</w:t>
              <w:br/>
              <w:t>Holding</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Aggregate</w:t>
              <w:br/>
              <w:t>Fair Value</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hanging="0"/>
              <w:jc w:val="right"/>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00"/>
              <w:jc w:val="right"/>
              <w:rPr/>
            </w:pPr>
            <w:r>
              <w:rPr/>
              <w:t> </w:t>
            </w:r>
          </w:p>
        </w:tc>
      </w:tr>
      <w:tr>
        <w:trPr/>
        <w:tc>
          <w:tcPr>
            <w:tcW w:w="33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20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30,630</w:t>
            </w:r>
          </w:p>
        </w:tc>
        <w:tc>
          <w:tcPr>
            <w:tcW w:w="4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00"/>
              <w:jc w:val="right"/>
              <w:rPr/>
            </w:pPr>
            <w:r>
              <w:rPr/>
              <w:t> </w:t>
            </w:r>
          </w:p>
        </w:tc>
      </w:tr>
      <w:tr>
        <w:trPr/>
        <w:tc>
          <w:tcPr>
            <w:tcW w:w="33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113,481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113,333</w:t>
            </w:r>
          </w:p>
        </w:tc>
        <w:tc>
          <w:tcPr>
            <w:tcW w:w="491" w:type="dxa"/>
            <w:tcBorders/>
            <w:shd w:fill="auto" w:val="clear"/>
            <w:vAlign w:val="center"/>
          </w:tcPr>
          <w:p>
            <w:pPr>
              <w:pStyle w:val="TableContents"/>
              <w:spacing w:before="0" w:after="0"/>
              <w:ind w:left="0" w:right="0" w:firstLine="200"/>
              <w:jc w:val="left"/>
              <w:rPr/>
            </w:pPr>
            <w:r>
              <w:rPr/>
              <w:t> </w:t>
            </w:r>
          </w:p>
        </w:tc>
      </w:tr>
      <w:tr>
        <w:trPr/>
        <w:tc>
          <w:tcPr>
            <w:tcW w:w="33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U.S. government-sponsored enterprises </w:t>
              <w:br/>
              <w:t>   debt securities</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46,033</w:t>
            </w:r>
          </w:p>
        </w:tc>
        <w:tc>
          <w:tcPr>
            <w:tcW w:w="491" w:type="dxa"/>
            <w:tcBorders/>
            <w:shd w:fill="auto" w:val="clear"/>
            <w:vAlign w:val="center"/>
          </w:tcPr>
          <w:p>
            <w:pPr>
              <w:pStyle w:val="TableContents"/>
              <w:spacing w:before="0" w:after="0"/>
              <w:ind w:left="0" w:right="0" w:firstLine="200"/>
              <w:jc w:val="left"/>
              <w:rPr/>
            </w:pPr>
            <w:r>
              <w:rPr/>
              <w:t> </w:t>
            </w:r>
          </w:p>
        </w:tc>
      </w:tr>
      <w:tr>
        <w:trPr/>
        <w:tc>
          <w:tcPr>
            <w:tcW w:w="33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Corporate debt</w:t>
            </w:r>
          </w:p>
        </w:tc>
        <w:tc>
          <w:tcPr>
            <w:tcW w:w="146" w:type="dxa"/>
            <w:tcBorders/>
            <w:shd w:fill="auto" w:val="clear"/>
            <w:vAlign w:val="center"/>
          </w:tcPr>
          <w:p>
            <w:pPr>
              <w:pStyle w:val="TableContents"/>
              <w:spacing w:before="0" w:after="0"/>
              <w:ind w:left="20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13,107</w:t>
            </w:r>
          </w:p>
        </w:tc>
        <w:tc>
          <w:tcPr>
            <w:tcW w:w="491" w:type="dxa"/>
            <w:tcBorders/>
            <w:shd w:fill="auto" w:val="clear"/>
            <w:vAlign w:val="center"/>
          </w:tcPr>
          <w:p>
            <w:pPr>
              <w:pStyle w:val="TableContents"/>
              <w:spacing w:before="0" w:after="0"/>
              <w:ind w:left="0" w:right="0" w:firstLine="200"/>
              <w:jc w:val="left"/>
              <w:rPr/>
            </w:pPr>
            <w:r>
              <w:rPr/>
              <w:t> </w:t>
            </w:r>
          </w:p>
        </w:tc>
      </w:tr>
      <w:tr>
        <w:trPr/>
        <w:tc>
          <w:tcPr>
            <w:tcW w:w="33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20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40,354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40,354</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331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 xml:space="preserve">Total cash equivalents and </w:t>
              <w:br/>
              <w:t>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243,571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243,457</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10084" w:type="dxa"/>
        <w:jc w:val="left"/>
        <w:tblInd w:w="0" w:type="dxa"/>
        <w:tblCellMar>
          <w:top w:w="28" w:type="dxa"/>
          <w:left w:w="28" w:type="dxa"/>
          <w:bottom w:w="28" w:type="dxa"/>
          <w:right w:w="28" w:type="dxa"/>
        </w:tblCellMar>
      </w:tblPr>
      <w:tblGrid>
        <w:gridCol w:w="3316"/>
        <w:gridCol w:w="146"/>
        <w:gridCol w:w="991"/>
        <w:gridCol w:w="146"/>
        <w:gridCol w:w="213"/>
        <w:gridCol w:w="793"/>
        <w:gridCol w:w="146"/>
        <w:gridCol w:w="146"/>
        <w:gridCol w:w="392"/>
        <w:gridCol w:w="644"/>
        <w:gridCol w:w="146"/>
        <w:gridCol w:w="146"/>
        <w:gridCol w:w="315"/>
        <w:gridCol w:w="721"/>
        <w:gridCol w:w="166"/>
        <w:gridCol w:w="146"/>
        <w:gridCol w:w="217"/>
        <w:gridCol w:w="803"/>
        <w:gridCol w:w="491"/>
      </w:tblGrid>
      <w:tr>
        <w:trPr/>
        <w:tc>
          <w:tcPr>
            <w:tcW w:w="3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3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9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Valuation</w:t>
              <w:br/>
              <w:t>Hierarchy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Amortized</w:t>
              <w:br/>
              <w:t>Costs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w:t>
              <w:br/>
              <w:t>Unrealized</w:t>
              <w:br/>
              <w:t>Holding</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Gross</w:t>
              <w:br/>
              <w:t>Unrealized</w:t>
              <w:br/>
              <w:t>Holding</w:t>
              <w:br/>
              <w:t>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Aggregate</w:t>
              <w:br/>
              <w:t>Fair Value</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hanging="0"/>
              <w:jc w:val="right"/>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00"/>
              <w:jc w:val="right"/>
              <w:rPr/>
            </w:pPr>
            <w:r>
              <w:rPr/>
              <w:t> </w:t>
            </w:r>
          </w:p>
        </w:tc>
      </w:tr>
      <w:tr>
        <w:trPr/>
        <w:tc>
          <w:tcPr>
            <w:tcW w:w="33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20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42,834</w:t>
            </w:r>
          </w:p>
        </w:tc>
        <w:tc>
          <w:tcPr>
            <w:tcW w:w="491" w:type="dxa"/>
            <w:tcBorders/>
            <w:shd w:fill="auto" w:val="clear"/>
            <w:vAlign w:val="center"/>
          </w:tcPr>
          <w:p>
            <w:pPr>
              <w:pStyle w:val="TableContents"/>
              <w:spacing w:before="0" w:after="0"/>
              <w:ind w:left="0" w:right="0" w:firstLine="200"/>
              <w:jc w:val="left"/>
              <w:rPr/>
            </w:pPr>
            <w:r>
              <w:rPr/>
              <w:t> </w:t>
            </w:r>
          </w:p>
        </w:tc>
      </w:tr>
      <w:tr>
        <w:trPr/>
        <w:tc>
          <w:tcPr>
            <w:tcW w:w="33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U.S. government-sponsored enterprises </w:t>
              <w:br/>
              <w:t>   debt securities</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7,965</w:t>
            </w:r>
          </w:p>
        </w:tc>
        <w:tc>
          <w:tcPr>
            <w:tcW w:w="491" w:type="dxa"/>
            <w:tcBorders/>
            <w:shd w:fill="auto" w:val="clear"/>
            <w:vAlign w:val="center"/>
          </w:tcPr>
          <w:p>
            <w:pPr>
              <w:pStyle w:val="TableContents"/>
              <w:spacing w:before="0" w:after="0"/>
              <w:ind w:left="0" w:right="0" w:hanging="0"/>
              <w:jc w:val="left"/>
              <w:rPr/>
            </w:pPr>
            <w:r>
              <w:rPr/>
              <w:t> </w:t>
            </w:r>
          </w:p>
        </w:tc>
      </w:tr>
      <w:tr>
        <w:trPr/>
        <w:tc>
          <w:tcPr>
            <w:tcW w:w="3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0"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200"/>
              <w:jc w:val="right"/>
              <w:rPr/>
            </w:pPr>
            <w:r>
              <w:rPr/>
              <w:t> </w:t>
            </w:r>
          </w:p>
        </w:tc>
      </w:tr>
      <w:tr>
        <w:trPr/>
        <w:tc>
          <w:tcPr>
            <w:tcW w:w="33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1</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133,473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133,035</w:t>
            </w:r>
          </w:p>
        </w:tc>
        <w:tc>
          <w:tcPr>
            <w:tcW w:w="491" w:type="dxa"/>
            <w:tcBorders/>
            <w:shd w:fill="auto" w:val="clear"/>
            <w:vAlign w:val="center"/>
          </w:tcPr>
          <w:p>
            <w:pPr>
              <w:pStyle w:val="TableContents"/>
              <w:spacing w:before="0" w:after="0"/>
              <w:ind w:left="0" w:right="0" w:firstLine="200"/>
              <w:jc w:val="left"/>
              <w:rPr/>
            </w:pPr>
            <w:r>
              <w:rPr/>
              <w:t> </w:t>
            </w:r>
          </w:p>
        </w:tc>
      </w:tr>
      <w:tr>
        <w:trPr/>
        <w:tc>
          <w:tcPr>
            <w:tcW w:w="33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 xml:space="preserve">U.S. government-sponsored enterprises </w:t>
              <w:br/>
              <w:t>   debt securities</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26,432</w:t>
            </w:r>
          </w:p>
        </w:tc>
        <w:tc>
          <w:tcPr>
            <w:tcW w:w="491" w:type="dxa"/>
            <w:tcBorders/>
            <w:shd w:fill="auto" w:val="clear"/>
            <w:vAlign w:val="center"/>
          </w:tcPr>
          <w:p>
            <w:pPr>
              <w:pStyle w:val="TableContents"/>
              <w:spacing w:before="0" w:after="0"/>
              <w:ind w:left="0" w:right="0" w:firstLine="200"/>
              <w:jc w:val="left"/>
              <w:rPr/>
            </w:pPr>
            <w:r>
              <w:rPr/>
              <w:t> </w:t>
            </w:r>
          </w:p>
        </w:tc>
      </w:tr>
      <w:tr>
        <w:trPr/>
        <w:tc>
          <w:tcPr>
            <w:tcW w:w="33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Corporate debt</w:t>
            </w:r>
          </w:p>
        </w:tc>
        <w:tc>
          <w:tcPr>
            <w:tcW w:w="146" w:type="dxa"/>
            <w:tcBorders/>
            <w:shd w:fill="auto" w:val="clear"/>
            <w:vAlign w:val="center"/>
          </w:tcPr>
          <w:p>
            <w:pPr>
              <w:pStyle w:val="TableContents"/>
              <w:spacing w:before="0" w:after="0"/>
              <w:ind w:left="20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29,831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left"/>
              <w:rPr/>
            </w:pPr>
            <w:r>
              <w:rPr/>
              <w:t> </w:t>
            </w:r>
          </w:p>
        </w:tc>
        <w:tc>
          <w:tcPr>
            <w:tcW w:w="64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29,677</w:t>
            </w:r>
          </w:p>
        </w:tc>
        <w:tc>
          <w:tcPr>
            <w:tcW w:w="491" w:type="dxa"/>
            <w:tcBorders/>
            <w:shd w:fill="auto" w:val="clear"/>
            <w:vAlign w:val="center"/>
          </w:tcPr>
          <w:p>
            <w:pPr>
              <w:pStyle w:val="TableContents"/>
              <w:spacing w:before="0" w:after="0"/>
              <w:ind w:left="0" w:right="0" w:firstLine="200"/>
              <w:jc w:val="left"/>
              <w:rPr/>
            </w:pPr>
            <w:r>
              <w:rPr/>
              <w:t> </w:t>
            </w:r>
          </w:p>
        </w:tc>
      </w:tr>
      <w:tr>
        <w:trPr/>
        <w:tc>
          <w:tcPr>
            <w:tcW w:w="33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shd w:fill="auto" w:val="clear"/>
            <w:vAlign w:val="center"/>
          </w:tcPr>
          <w:p>
            <w:pPr>
              <w:pStyle w:val="TableContents"/>
              <w:spacing w:before="0" w:after="0"/>
              <w:ind w:left="200" w:right="0" w:hanging="0"/>
              <w:jc w:val="left"/>
              <w:rPr/>
            </w:pPr>
            <w:r>
              <w:rPr/>
              <w:t> </w:t>
            </w:r>
          </w:p>
        </w:tc>
        <w:tc>
          <w:tcPr>
            <w:tcW w:w="99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25,136</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331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 xml:space="preserve">Total cash equivalents and </w:t>
              <w:br/>
              <w:t>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9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265,643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265,079</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60" w:after="0"/>
        <w:jc w:val="left"/>
        <w:rPr>
          <w:rFonts w:ascii="Times New Roman" w:hAnsi="Times New Roman"/>
          <w:sz w:val="20"/>
        </w:rPr>
      </w:pPr>
      <w:r>
        <w:rPr>
          <w:rFonts w:ascii="Times New Roman;serif" w:hAnsi="Times New Roman;serif"/>
          <w:b w:val="false"/>
          <w:sz w:val="20"/>
        </w:rPr>
        <w:t>As of March 31, 2023, the remaining contractual maturities for available-for-sale securities were one month to fifteen months.</w:t>
      </w:r>
      <w:r>
        <w:rPr>
          <w:rFonts w:ascii="Times New Roman" w:hAnsi="Times New Roman"/>
          <w:sz w:val="20"/>
        </w:rPr>
        <w:t xml:space="preserve"> </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tables present the breakdown of the available-for-sale debt securities with unrealized losses as of March 31, 2023, and December 31, 2022 (in thousands):</w:t>
      </w:r>
    </w:p>
    <w:tbl>
      <w:tblPr>
        <w:tblW w:w="10205" w:type="dxa"/>
        <w:jc w:val="left"/>
        <w:tblInd w:w="0" w:type="dxa"/>
        <w:tblCellMar>
          <w:top w:w="28" w:type="dxa"/>
          <w:left w:w="28" w:type="dxa"/>
          <w:bottom w:w="28" w:type="dxa"/>
          <w:right w:w="28" w:type="dxa"/>
        </w:tblCellMar>
      </w:tblPr>
      <w:tblGrid>
        <w:gridCol w:w="1396"/>
        <w:gridCol w:w="146"/>
        <w:gridCol w:w="257"/>
        <w:gridCol w:w="824"/>
        <w:gridCol w:w="177"/>
        <w:gridCol w:w="177"/>
        <w:gridCol w:w="405"/>
        <w:gridCol w:w="811"/>
        <w:gridCol w:w="166"/>
        <w:gridCol w:w="146"/>
        <w:gridCol w:w="331"/>
        <w:gridCol w:w="493"/>
        <w:gridCol w:w="208"/>
        <w:gridCol w:w="208"/>
        <w:gridCol w:w="541"/>
        <w:gridCol w:w="675"/>
        <w:gridCol w:w="146"/>
        <w:gridCol w:w="146"/>
        <w:gridCol w:w="220"/>
        <w:gridCol w:w="706"/>
        <w:gridCol w:w="146"/>
        <w:gridCol w:w="146"/>
        <w:gridCol w:w="369"/>
        <w:gridCol w:w="846"/>
        <w:gridCol w:w="519"/>
      </w:tblGrid>
      <w:tr>
        <w:trPr/>
        <w:tc>
          <w:tcPr>
            <w:tcW w:w="13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r>
      <w:tr>
        <w:trPr/>
        <w:tc>
          <w:tcPr>
            <w:tcW w:w="1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44"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 2023</w:t>
            </w:r>
          </w:p>
        </w:tc>
        <w:tc>
          <w:tcPr>
            <w:tcW w:w="5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Unrealized losses less than 12 months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Unrealized losses 12 months or greater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5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Unrealized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2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Unrealized Losses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Unrealized Losses</w:t>
            </w:r>
          </w:p>
        </w:tc>
        <w:tc>
          <w:tcPr>
            <w:tcW w:w="5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center"/>
              <w:rPr/>
            </w:pPr>
            <w:r>
              <w:rPr/>
              <w:t> </w:t>
            </w:r>
          </w:p>
        </w:tc>
      </w:tr>
      <w:tr>
        <w:trPr/>
        <w:tc>
          <w:tcPr>
            <w:tcW w:w="139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74,308</w:t>
            </w:r>
          </w:p>
        </w:tc>
        <w:tc>
          <w:tcPr>
            <w:tcW w:w="177" w:type="dxa"/>
            <w:tcBorders/>
            <w:shd w:fill="auto" w:val="cle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right"/>
              <w:rPr/>
            </w:pPr>
            <w:r>
              <w:rPr/>
              <w:t> </w:t>
            </w:r>
          </w:p>
        </w:tc>
        <w:tc>
          <w:tcPr>
            <w:tcW w:w="40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3" w:type="dxa"/>
            <w:tcBorders/>
            <w:shd w:fill="auto" w:val="clear"/>
            <w:vAlign w:val="center"/>
          </w:tcPr>
          <w:p>
            <w:pPr>
              <w:pStyle w:val="TableContents"/>
              <w:spacing w:before="0" w:after="0"/>
              <w:ind w:left="0" w:right="0" w:hanging="0"/>
              <w:jc w:val="right"/>
              <w:rPr/>
            </w:pPr>
            <w:r>
              <w:rPr/>
              <w:t>—</w:t>
            </w:r>
          </w:p>
        </w:tc>
        <w:tc>
          <w:tcPr>
            <w:tcW w:w="208"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5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74,308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519"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Corporate debt</w:t>
            </w:r>
          </w:p>
        </w:tc>
        <w:tc>
          <w:tcPr>
            <w:tcW w:w="146" w:type="dxa"/>
            <w:tcBorders/>
            <w:shd w:fill="auto" w:val="clear"/>
            <w:vAlign w:val="center"/>
          </w:tcPr>
          <w:p>
            <w:pPr>
              <w:pStyle w:val="TableContents"/>
              <w:spacing w:before="0" w:after="0"/>
              <w:ind w:left="200" w:right="0" w:hanging="0"/>
              <w:jc w:val="left"/>
              <w:rPr/>
            </w:pPr>
            <w:r>
              <w:rPr/>
              <w:t> </w:t>
            </w:r>
          </w:p>
        </w:tc>
        <w:tc>
          <w:tcPr>
            <w:tcW w:w="2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13,108</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5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139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87,416</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7" w:type="dxa"/>
            <w:tcBorders/>
            <w:shd w:fill="auto" w:val="clear"/>
            <w:vAlign w:val="center"/>
          </w:tcPr>
          <w:p>
            <w:pPr>
              <w:pStyle w:val="TableContents"/>
              <w:spacing w:before="0" w:after="0"/>
              <w:ind w:left="0" w:right="0" w:hanging="0"/>
              <w:jc w:val="left"/>
              <w:rPr/>
            </w:pPr>
            <w:r>
              <w:rPr/>
              <w:t> </w:t>
            </w:r>
          </w:p>
        </w:tc>
        <w:tc>
          <w:tcPr>
            <w:tcW w:w="4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5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87,416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5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2004"/>
        <w:gridCol w:w="146"/>
        <w:gridCol w:w="213"/>
        <w:gridCol w:w="789"/>
        <w:gridCol w:w="147"/>
        <w:gridCol w:w="147"/>
        <w:gridCol w:w="348"/>
        <w:gridCol w:w="698"/>
        <w:gridCol w:w="166"/>
        <w:gridCol w:w="146"/>
        <w:gridCol w:w="214"/>
        <w:gridCol w:w="685"/>
        <w:gridCol w:w="148"/>
        <w:gridCol w:w="148"/>
        <w:gridCol w:w="384"/>
        <w:gridCol w:w="662"/>
        <w:gridCol w:w="166"/>
        <w:gridCol w:w="146"/>
        <w:gridCol w:w="211"/>
        <w:gridCol w:w="781"/>
        <w:gridCol w:w="146"/>
        <w:gridCol w:w="146"/>
        <w:gridCol w:w="318"/>
        <w:gridCol w:w="728"/>
        <w:gridCol w:w="518"/>
      </w:tblGrid>
      <w:tr>
        <w:trPr/>
        <w:tc>
          <w:tcPr>
            <w:tcW w:w="20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r>
      <w:tr>
        <w:trPr/>
        <w:tc>
          <w:tcPr>
            <w:tcW w:w="200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537"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0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4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Unrealized losses less than 12 months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4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Unrealized losses 12 months or greater</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0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10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Unrealized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10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Unrealized Losses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Unrealized Losses</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center"/>
              <w:rPr/>
            </w:pPr>
            <w:r>
              <w:rPr/>
              <w:t> </w:t>
            </w:r>
          </w:p>
        </w:tc>
      </w:tr>
      <w:tr>
        <w:trPr/>
        <w:tc>
          <w:tcPr>
            <w:tcW w:w="200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95,499</w:t>
            </w:r>
          </w:p>
        </w:tc>
        <w:tc>
          <w:tcPr>
            <w:tcW w:w="14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right"/>
              <w:rPr/>
            </w:pPr>
            <w:r>
              <w:rPr/>
              <w:t> </w:t>
            </w:r>
          </w:p>
        </w:tc>
        <w:tc>
          <w:tcPr>
            <w:tcW w:w="3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12,895</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38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108,394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w:t>
            </w:r>
          </w:p>
        </w:tc>
        <w:tc>
          <w:tcPr>
            <w:tcW w:w="51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04"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government-sponsored enterprises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16,464</w:t>
            </w:r>
          </w:p>
        </w:tc>
        <w:tc>
          <w:tcPr>
            <w:tcW w:w="14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685" w:type="dxa"/>
            <w:tcBorders/>
            <w:shd w:fill="auto" w:val="clear"/>
            <w:vAlign w:val="center"/>
          </w:tcPr>
          <w:p>
            <w:pPr>
              <w:pStyle w:val="TableContents"/>
              <w:spacing w:before="0" w:after="0"/>
              <w:ind w:left="0" w:right="0" w:hanging="0"/>
              <w:jc w:val="right"/>
              <w:rPr/>
            </w:pPr>
            <w:r>
              <w:rPr/>
              <w:t>—</w:t>
            </w:r>
          </w:p>
        </w:tc>
        <w:tc>
          <w:tcPr>
            <w:tcW w:w="148" w:type="dxa"/>
            <w:tcBorders/>
            <w:shd w:fill="auto" w:val="cle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384" w:type="dxa"/>
            <w:tcBorders/>
            <w:shd w:fill="auto" w:val="clear"/>
            <w:vAlign w:val="center"/>
          </w:tcPr>
          <w:p>
            <w:pPr>
              <w:pStyle w:val="TableContents"/>
              <w:spacing w:before="0" w:after="0"/>
              <w:ind w:left="0" w:right="0" w:hanging="0"/>
              <w:jc w:val="left"/>
              <w:rPr/>
            </w:pPr>
            <w:r>
              <w:rPr/>
              <w:t> </w:t>
            </w:r>
          </w:p>
        </w:tc>
        <w:tc>
          <w:tcPr>
            <w:tcW w:w="66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518"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0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Corporate debt</w:t>
            </w:r>
          </w:p>
        </w:tc>
        <w:tc>
          <w:tcPr>
            <w:tcW w:w="146" w:type="dxa"/>
            <w:tcBorders/>
            <w:shd w:fill="auto" w:val="clear"/>
            <w:vAlign w:val="center"/>
          </w:tcPr>
          <w:p>
            <w:pPr>
              <w:pStyle w:val="TableContents"/>
              <w:spacing w:before="0" w:after="0"/>
              <w:ind w:left="20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21,480</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3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8,196</w:t>
            </w:r>
          </w:p>
        </w:tc>
        <w:tc>
          <w:tcPr>
            <w:tcW w:w="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3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2004"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133,443</w:t>
            </w:r>
          </w:p>
        </w:tc>
        <w:tc>
          <w:tcPr>
            <w:tcW w:w="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3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21,091</w:t>
            </w:r>
          </w:p>
        </w:tc>
        <w:tc>
          <w:tcPr>
            <w:tcW w:w="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8" w:type="dxa"/>
            <w:tcBorders/>
            <w:shd w:fill="auto" w:val="clear"/>
            <w:vAlign w:val="center"/>
          </w:tcPr>
          <w:p>
            <w:pPr>
              <w:pStyle w:val="TableContents"/>
              <w:spacing w:before="0" w:after="0"/>
              <w:ind w:left="0" w:right="0" w:hanging="0"/>
              <w:jc w:val="left"/>
              <w:rPr/>
            </w:pPr>
            <w:r>
              <w:rPr/>
              <w:t> </w:t>
            </w:r>
          </w:p>
        </w:tc>
        <w:tc>
          <w:tcPr>
            <w:tcW w:w="3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154,534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w:t>
            </w:r>
          </w:p>
        </w:tc>
        <w:tc>
          <w:tcPr>
            <w:tcW w:w="5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The unrealized losses on the Company’s available-for-sale debt securities were caused by interest rate increases. The contractual terms of those investments do not permit the issuer to settle the securities at a price less than the amortized cost basis of the investments. As of March 31, 2023, the Company does not intend to sell the investments, and it is not more likely than not that the Company will be required to sell the investments before recovery of their amortized cost basis, which may be at maturity. Additional factors considered in determining the treatment of unrealized losses include the financial condition and near-term prospects of the investee, the extent of the loss related to the credit of the issuer, and the expected cash flows from the security.</w:t>
      </w:r>
    </w:p>
    <w:p>
      <w:pPr>
        <w:pStyle w:val="TextBody"/>
        <w:spacing w:before="240" w:after="0"/>
        <w:jc w:val="left"/>
        <w:rPr>
          <w:rFonts w:ascii="Times New Roman;serif" w:hAnsi="Times New Roman;serif"/>
          <w:b/>
          <w:sz w:val="20"/>
        </w:rPr>
      </w:pPr>
      <w:r>
        <w:rPr>
          <w:rFonts w:ascii="Times New Roman;serif" w:hAnsi="Times New Roman;serif"/>
          <w:b/>
          <w:sz w:val="20"/>
        </w:rPr>
        <w:t>5. Balance Sheet Components</w:t>
      </w:r>
    </w:p>
    <w:p>
      <w:pPr>
        <w:pStyle w:val="TextBody"/>
        <w:spacing w:before="240" w:after="0"/>
        <w:jc w:val="left"/>
        <w:rPr>
          <w:rFonts w:ascii="Times New Roman;serif" w:hAnsi="Times New Roman;serif"/>
          <w:b/>
          <w:i/>
          <w:sz w:val="20"/>
        </w:rPr>
      </w:pPr>
      <w:r>
        <w:rPr>
          <w:rFonts w:ascii="Times New Roman;serif" w:hAnsi="Times New Roman;serif"/>
          <w:b/>
          <w:i/>
          <w:sz w:val="20"/>
        </w:rPr>
        <w:t>Cash, Cash Equivalents and Restricted Cash</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December 31, 2022, the restricted cash balance of $3.3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was related to collateral for the Company's building leases in San Jose, CA and Tijuana Mexico.</w:t>
      </w:r>
      <w:r>
        <w:rPr>
          <w:rFonts w:ascii="Times New Roman" w:hAnsi="Times New Roman"/>
          <w:sz w:val="20"/>
        </w:rPr>
        <w:t xml:space="preserve"> </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 provides a reconciliation of cash, cash equivalents and restricted cash that sum to the total of the amounts shown in the accompanying condensed statements of cash flows (in thousands):</w:t>
      </w:r>
    </w:p>
    <w:tbl>
      <w:tblPr>
        <w:tblW w:w="6654" w:type="dxa"/>
        <w:jc w:val="left"/>
        <w:tblInd w:w="0" w:type="dxa"/>
        <w:tblCellMar>
          <w:top w:w="28" w:type="dxa"/>
          <w:left w:w="28" w:type="dxa"/>
          <w:bottom w:w="28" w:type="dxa"/>
          <w:right w:w="28" w:type="dxa"/>
        </w:tblCellMar>
      </w:tblPr>
      <w:tblGrid>
        <w:gridCol w:w="3946"/>
        <w:gridCol w:w="146"/>
        <w:gridCol w:w="211"/>
        <w:gridCol w:w="676"/>
        <w:gridCol w:w="146"/>
        <w:gridCol w:w="146"/>
        <w:gridCol w:w="211"/>
        <w:gridCol w:w="781"/>
        <w:gridCol w:w="391"/>
      </w:tblGrid>
      <w:tr>
        <w:trPr/>
        <w:tc>
          <w:tcPr>
            <w:tcW w:w="3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9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7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114,346</w:t>
            </w:r>
          </w:p>
        </w:tc>
        <w:tc>
          <w:tcPr>
            <w:tcW w:w="391" w:type="dxa"/>
            <w:tcBorders/>
            <w:shd w:fill="auto" w:val="clear"/>
            <w:vAlign w:val="center"/>
          </w:tcPr>
          <w:p>
            <w:pPr>
              <w:pStyle w:val="TableContents"/>
              <w:spacing w:before="0" w:after="0"/>
              <w:ind w:left="0" w:right="0" w:hanging="0"/>
              <w:jc w:val="left"/>
              <w:rPr/>
            </w:pPr>
            <w:r>
              <w:rPr/>
              <w:t> </w:t>
            </w:r>
          </w:p>
        </w:tc>
      </w:tr>
      <w:tr>
        <w:trPr/>
        <w:tc>
          <w:tcPr>
            <w:tcW w:w="39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33,311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9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39,697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147,657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Inventories</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Inventories consist of the following (in thousands):</w:t>
      </w:r>
    </w:p>
    <w:tbl>
      <w:tblPr>
        <w:tblW w:w="4680" w:type="dxa"/>
        <w:jc w:val="left"/>
        <w:tblInd w:w="0" w:type="dxa"/>
        <w:tblCellMar>
          <w:top w:w="28" w:type="dxa"/>
          <w:left w:w="28" w:type="dxa"/>
          <w:bottom w:w="28" w:type="dxa"/>
          <w:right w:w="28" w:type="dxa"/>
        </w:tblCellMar>
      </w:tblPr>
      <w:tblGrid>
        <w:gridCol w:w="1516"/>
        <w:gridCol w:w="146"/>
        <w:gridCol w:w="232"/>
        <w:gridCol w:w="743"/>
        <w:gridCol w:w="146"/>
        <w:gridCol w:w="146"/>
        <w:gridCol w:w="299"/>
        <w:gridCol w:w="961"/>
        <w:gridCol w:w="491"/>
      </w:tblGrid>
      <w:tr>
        <w:trPr/>
        <w:tc>
          <w:tcPr>
            <w:tcW w:w="1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1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491" w:type="dxa"/>
            <w:tcBorders/>
            <w:shd w:fill="auto" w:val="cle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20,623</w:t>
            </w:r>
          </w:p>
        </w:tc>
        <w:tc>
          <w:tcPr>
            <w:tcW w:w="4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 in process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9,086</w:t>
            </w:r>
          </w:p>
        </w:tc>
        <w:tc>
          <w:tcPr>
            <w:tcW w:w="4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21,767</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151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inventories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47,733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51,476</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Accrued Expenses and Other Current Liabilities</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Accrued expenses and other current liabilities consist of the following (in thousands):</w:t>
      </w:r>
    </w:p>
    <w:tbl>
      <w:tblPr>
        <w:tblW w:w="7425" w:type="dxa"/>
        <w:jc w:val="left"/>
        <w:tblInd w:w="0" w:type="dxa"/>
        <w:tblCellMar>
          <w:top w:w="28" w:type="dxa"/>
          <w:left w:w="28" w:type="dxa"/>
          <w:bottom w:w="28" w:type="dxa"/>
          <w:right w:w="28" w:type="dxa"/>
        </w:tblCellMar>
      </w:tblPr>
      <w:tblGrid>
        <w:gridCol w:w="4261"/>
        <w:gridCol w:w="146"/>
        <w:gridCol w:w="232"/>
        <w:gridCol w:w="743"/>
        <w:gridCol w:w="146"/>
        <w:gridCol w:w="146"/>
        <w:gridCol w:w="299"/>
        <w:gridCol w:w="961"/>
        <w:gridCol w:w="491"/>
      </w:tblGrid>
      <w:tr>
        <w:trPr/>
        <w:tc>
          <w:tcPr>
            <w:tcW w:w="4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2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491" w:type="dxa"/>
            <w:tcBorders/>
            <w:shd w:fill="auto" w:val="clear"/>
            <w:vAlign w:val="center"/>
          </w:tcPr>
          <w:p>
            <w:pPr>
              <w:pStyle w:val="TableContents"/>
              <w:spacing w:before="0" w:after="0"/>
              <w:ind w:left="0" w:right="0" w:hanging="0"/>
              <w:jc w:val="center"/>
              <w:rPr/>
            </w:pPr>
            <w:r>
              <w:rPr/>
              <w:t> </w:t>
            </w:r>
          </w:p>
        </w:tc>
      </w:tr>
      <w:tr>
        <w:trPr/>
        <w:tc>
          <w:tcPr>
            <w:tcW w:w="42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Inventory</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5,585</w:t>
            </w:r>
          </w:p>
        </w:tc>
        <w:tc>
          <w:tcPr>
            <w:tcW w:w="4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908</w:t>
            </w:r>
          </w:p>
        </w:tc>
        <w:tc>
          <w:tcPr>
            <w:tcW w:w="4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services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1,261</w:t>
            </w:r>
          </w:p>
        </w:tc>
        <w:tc>
          <w:tcPr>
            <w:tcW w:w="4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Customer rebates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1,364</w:t>
            </w:r>
          </w:p>
        </w:tc>
        <w:tc>
          <w:tcPr>
            <w:tcW w:w="4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7,109</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4261"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Total 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16,227</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center"/>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6. Commitments and Contingencies</w:t>
      </w:r>
    </w:p>
    <w:p>
      <w:pPr>
        <w:pStyle w:val="TextBody"/>
        <w:spacing w:before="120" w:after="0"/>
        <w:jc w:val="left"/>
        <w:rPr>
          <w:rFonts w:ascii="Times New Roman;serif" w:hAnsi="Times New Roman;serif"/>
          <w:b/>
          <w:i/>
          <w:sz w:val="20"/>
        </w:rPr>
      </w:pPr>
      <w:r>
        <w:rPr>
          <w:rFonts w:ascii="Times New Roman;serif" w:hAnsi="Times New Roman;serif"/>
          <w:b/>
          <w:i/>
          <w:sz w:val="20"/>
        </w:rPr>
        <w:t>Litigation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the Company may become involved in legal proceedings or investigations, which could have an adverse impact on its reputation, business and financial condition and divert the attention of the Company’s management from the operation of the Company’s business. The Company is not presently a party to any legal proceedings that, if determined adversely to the Company, would individually or taken together have a material adverse effect on its business, results of operations, financial condition or cash flows.</w:t>
      </w:r>
    </w:p>
    <w:p>
      <w:pPr>
        <w:pStyle w:val="TextBody"/>
        <w:spacing w:before="120" w:after="0"/>
        <w:jc w:val="left"/>
        <w:rPr>
          <w:rFonts w:ascii="Times New Roman;serif" w:hAnsi="Times New Roman;serif"/>
          <w:b/>
          <w:i/>
          <w:sz w:val="20"/>
        </w:rPr>
      </w:pPr>
      <w:r>
        <w:rPr>
          <w:rFonts w:ascii="Times New Roman;serif" w:hAnsi="Times New Roman;serif"/>
          <w:b/>
          <w:i/>
          <w:sz w:val="20"/>
        </w:rPr>
        <w:t>Indemnification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pStyle w:val="TextBody"/>
        <w:spacing w:before="240" w:after="0"/>
        <w:jc w:val="left"/>
        <w:rPr>
          <w:rFonts w:ascii="Times New Roman;serif" w:hAnsi="Times New Roman;serif"/>
          <w:b/>
          <w:sz w:val="20"/>
        </w:rPr>
      </w:pPr>
      <w:r>
        <w:rPr>
          <w:rFonts w:ascii="Times New Roman;serif" w:hAnsi="Times New Roman;serif"/>
          <w:b/>
          <w:sz w:val="20"/>
        </w:rPr>
        <w:t>7. Term Loan</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Term loan consists of the following (in thousands):</w:t>
      </w:r>
    </w:p>
    <w:tbl>
      <w:tblPr>
        <w:tblW w:w="5547" w:type="dxa"/>
        <w:jc w:val="left"/>
        <w:tblInd w:w="0" w:type="dxa"/>
        <w:tblCellMar>
          <w:top w:w="28" w:type="dxa"/>
          <w:left w:w="28" w:type="dxa"/>
          <w:bottom w:w="28" w:type="dxa"/>
          <w:right w:w="28" w:type="dxa"/>
        </w:tblCellMar>
      </w:tblPr>
      <w:tblGrid>
        <w:gridCol w:w="2326"/>
        <w:gridCol w:w="146"/>
        <w:gridCol w:w="211"/>
        <w:gridCol w:w="781"/>
        <w:gridCol w:w="166"/>
        <w:gridCol w:w="146"/>
        <w:gridCol w:w="268"/>
        <w:gridCol w:w="992"/>
        <w:gridCol w:w="511"/>
      </w:tblGrid>
      <w:tr>
        <w:trPr/>
        <w:tc>
          <w:tcPr>
            <w:tcW w:w="23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2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511" w:type="dxa"/>
            <w:tcBorders/>
            <w:shd w:fill="auto" w:val="cle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of term loan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100,000</w:t>
            </w:r>
          </w:p>
        </w:tc>
        <w:tc>
          <w:tcPr>
            <w:tcW w:w="51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Unamortized debt discount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(3,664</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232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Term loan, noncurrent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96,480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96,336</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SLR Credit Facilities</w:t>
      </w:r>
    </w:p>
    <w:p>
      <w:pPr>
        <w:pStyle w:val="TextBody"/>
        <w:spacing w:before="120" w:after="0"/>
        <w:jc w:val="left"/>
        <w:rPr>
          <w:rFonts w:ascii="Times New Roman" w:hAnsi="Times New Roman"/>
          <w:sz w:val="20"/>
        </w:rPr>
      </w:pPr>
      <w:r>
        <w:rPr>
          <w:rFonts w:ascii="Times New Roman;serif" w:hAnsi="Times New Roman;serif"/>
          <w:b w:val="false"/>
          <w:sz w:val="20"/>
        </w:rPr>
        <w:t>On November 3, 2022 (the Closing Date), the Company entered into two senior secured credit facilities, which collectively provide for borrowings of up to $300.0</w:t>
      </w:r>
      <w:r>
        <w:rPr>
          <w:rFonts w:ascii="Times New Roman" w:hAnsi="Times New Roman"/>
          <w:sz w:val="20"/>
        </w:rPr>
        <w:t xml:space="preserve"> </w:t>
      </w:r>
      <w:r>
        <w:rPr>
          <w:rFonts w:ascii="Times New Roman;serif" w:hAnsi="Times New Roman;serif"/>
          <w:b w:val="false"/>
          <w:sz w:val="20"/>
        </w:rPr>
        <w:t>million: (i) a term loan facility pursuant to a loan and security agreement (the SLR Loan Agreement) among SLR Investment Corp., as collateral agent (Agent), the lenders from time to time party thereto (the Term Loan Lenders) and the Company (the SLR Term Loan Facility), and (ii) an asset-based revolving credit facility pursuant to a credit agreement (the SLR Revolving Credit Agreement, together with the SLR Loan Agreement, the SLR Credit Facility Agreements) among Gemino Healthcare Finance, LLC d/b/a SLR Healthcare ABL, as lender (ABL Lender), and the Company (the SLR Revolver, together with the SLR Term Loan Facility, the SLR Credit Facilities).</w:t>
      </w:r>
    </w:p>
    <w:p>
      <w:pPr>
        <w:pStyle w:val="TextBody"/>
        <w:spacing w:before="120" w:after="0"/>
        <w:jc w:val="left"/>
        <w:rPr>
          <w:rFonts w:ascii="Times New Roman" w:hAnsi="Times New Roman"/>
          <w:sz w:val="20"/>
        </w:rPr>
      </w:pPr>
      <w:r>
        <w:rPr>
          <w:rFonts w:ascii="Times New Roman;serif" w:hAnsi="Times New Roman;serif"/>
          <w:b w:val="false"/>
          <w:sz w:val="20"/>
        </w:rPr>
        <w:t>The maximum amount the Company is permitted to borrow under the SLR Credit Facilities is subject to certain overall borrowing limitations. The Company is permitted to borrow up to $200.0</w:t>
      </w:r>
      <w:r>
        <w:rPr>
          <w:rFonts w:ascii="Times New Roman" w:hAnsi="Times New Roman"/>
          <w:sz w:val="20"/>
        </w:rPr>
        <w:t xml:space="preserve"> </w:t>
      </w:r>
      <w:r>
        <w:rPr>
          <w:rFonts w:ascii="Times New Roman;serif" w:hAnsi="Times New Roman;serif"/>
          <w:b w:val="false"/>
          <w:sz w:val="20"/>
        </w:rPr>
        <w:t>million under the SLR Credit Facilities on the Closing Date. If the Company achieves a certain net revenue milestone, calculated on a trailing six-month basis (First Revenue Milestone), on or before June 30, 2024 and the Additional Tranche (as defined below) under the SLR Revolver has been approved, the Company will be permitted to borrow up to $250.0</w:t>
      </w:r>
      <w:r>
        <w:rPr>
          <w:rFonts w:ascii="Times New Roman" w:hAnsi="Times New Roman"/>
          <w:sz w:val="20"/>
        </w:rPr>
        <w:t xml:space="preserve"> </w:t>
      </w:r>
      <w:r>
        <w:rPr>
          <w:rFonts w:ascii="Times New Roman;serif" w:hAnsi="Times New Roman;serif"/>
          <w:b w:val="false"/>
          <w:sz w:val="20"/>
        </w:rPr>
        <w:t>million under the SLR Credit Facilities. If the Company achieves a subsequent additional net revenue milestone, calculated on a trailing six-month basis (Second Revenue Milestone), on or before June 30, 2025 and obtains lenders' credit approval, the Company will be permitted to borrow up to $300.0</w:t>
      </w:r>
      <w:r>
        <w:rPr>
          <w:rFonts w:ascii="Times New Roman" w:hAnsi="Times New Roman"/>
          <w:sz w:val="20"/>
        </w:rPr>
        <w:t xml:space="preserve"> </w:t>
      </w:r>
      <w:r>
        <w:rPr>
          <w:rFonts w:ascii="Times New Roman;serif" w:hAnsi="Times New Roman;serif"/>
          <w:b w:val="false"/>
          <w:sz w:val="20"/>
        </w:rPr>
        <w:t>million under the SLR Credit Facilities.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SLR Term Loan Facility</w:t>
      </w:r>
    </w:p>
    <w:p>
      <w:pPr>
        <w:pStyle w:val="TextBody"/>
        <w:spacing w:before="120" w:after="0"/>
        <w:jc w:val="left"/>
        <w:rPr>
          <w:rFonts w:ascii="Times New Roman" w:hAnsi="Times New Roman"/>
          <w:sz w:val="20"/>
        </w:rPr>
      </w:pPr>
      <w:r>
        <w:rPr>
          <w:rFonts w:ascii="Times New Roman;serif" w:hAnsi="Times New Roman;serif"/>
          <w:b w:val="false"/>
          <w:sz w:val="20"/>
        </w:rPr>
        <w:t>Pursuant to the terms and conditions of the SLR Loan Agreement, the Term Loan Lenders agreed to extend term loans to the Company in an aggregate principal amount of up to $250.0</w:t>
      </w:r>
      <w:r>
        <w:rPr>
          <w:rFonts w:ascii="Times New Roman" w:hAnsi="Times New Roman"/>
          <w:sz w:val="20"/>
        </w:rPr>
        <w:t xml:space="preserve"> </w:t>
      </w:r>
      <w:r>
        <w:rPr>
          <w:rFonts w:ascii="Times New Roman;serif" w:hAnsi="Times New Roman;serif"/>
          <w:b w:val="false"/>
          <w:sz w:val="20"/>
        </w:rPr>
        <w:t>million, comprised of (i) a term loan of $100.0</w:t>
      </w:r>
      <w:r>
        <w:rPr>
          <w:rFonts w:ascii="Times New Roman" w:hAnsi="Times New Roman"/>
          <w:sz w:val="20"/>
        </w:rPr>
        <w:t xml:space="preserve"> </w:t>
      </w:r>
      <w:r>
        <w:rPr>
          <w:rFonts w:ascii="Times New Roman;serif" w:hAnsi="Times New Roman;serif"/>
          <w:b w:val="false"/>
          <w:sz w:val="20"/>
        </w:rPr>
        <w:t>million (the Term A Loan), (ii) one or more term loans (in minimum increments of $20.0</w:t>
      </w:r>
      <w:r>
        <w:rPr>
          <w:rFonts w:ascii="Times New Roman" w:hAnsi="Times New Roman"/>
          <w:sz w:val="20"/>
        </w:rPr>
        <w:t xml:space="preserve"> </w:t>
      </w:r>
      <w:r>
        <w:rPr>
          <w:rFonts w:ascii="Times New Roman;serif" w:hAnsi="Times New Roman;serif"/>
          <w:b w:val="false"/>
          <w:sz w:val="20"/>
        </w:rPr>
        <w:t>million each) in the aggregate of up to $100.0</w:t>
      </w:r>
      <w:r>
        <w:rPr>
          <w:rFonts w:ascii="Times New Roman" w:hAnsi="Times New Roman"/>
          <w:sz w:val="20"/>
        </w:rPr>
        <w:t xml:space="preserve"> </w:t>
      </w:r>
      <w:r>
        <w:rPr>
          <w:rFonts w:ascii="Times New Roman;serif" w:hAnsi="Times New Roman;serif"/>
          <w:b w:val="false"/>
          <w:sz w:val="20"/>
        </w:rPr>
        <w:t>million (each, a Term B Loan) and (iii) one or more term loans in the aggregate of up to $50.0</w:t>
      </w:r>
      <w:r>
        <w:rPr>
          <w:rFonts w:ascii="Times New Roman" w:hAnsi="Times New Roman"/>
          <w:sz w:val="20"/>
        </w:rPr>
        <w:t xml:space="preserve"> </w:t>
      </w:r>
      <w:r>
        <w:rPr>
          <w:rFonts w:ascii="Times New Roman;serif" w:hAnsi="Times New Roman;serif"/>
          <w:b w:val="false"/>
          <w:sz w:val="20"/>
        </w:rPr>
        <w:t>million (each, a Term C Loan). Each Term A Loan, Term B Loan and Term C Loan is referred to single as a Term Loan and are referred to collectively as the Term Loans. The Term A Loan was funded on the Closing Date. The Term B Loan(s) are available for funding until August 22, 2024. The Term C Loan(s) are available subject to the lenders’ credit approval and the achievement of the Second Revenue Milestone on or before June 30, 2025. The Term C Loan will remain available for funding until one business day prior to November 1, 2027.</w:t>
      </w:r>
    </w:p>
    <w:p>
      <w:pPr>
        <w:pStyle w:val="TextBody"/>
        <w:spacing w:before="120" w:after="0"/>
        <w:jc w:val="left"/>
        <w:rPr>
          <w:rFonts w:ascii="Times New Roman" w:hAnsi="Times New Roman"/>
          <w:sz w:val="20"/>
        </w:rPr>
      </w:pPr>
      <w:r>
        <w:rPr>
          <w:rFonts w:ascii="Times New Roman;serif" w:hAnsi="Times New Roman;serif"/>
          <w:b w:val="false"/>
          <w:sz w:val="20"/>
        </w:rPr>
        <w:t>Any principal amount outstanding under the Term Loans will accrue interest at a rate per annum equal to one-month term Secured Overnight Financing Rate (term SOFR) (subject to a 2.75% floor), plus 5.15% (9.81% as of March 31, 2023), payable monthly in arrears. The Company is permitted to make interest-only payments on the Term Loans through November 30, 2026, which may be extended at the Company's option to</w:t>
      </w:r>
      <w:r>
        <w:rPr>
          <w:rFonts w:ascii="Times New Roman" w:hAnsi="Times New Roman"/>
          <w:sz w:val="20"/>
        </w:rPr>
        <w:t xml:space="preserve"> </w:t>
      </w:r>
      <w:r>
        <w:rPr>
          <w:rFonts w:ascii="Times New Roman;serif" w:hAnsi="Times New Roman;serif"/>
          <w:b w:val="false"/>
          <w:sz w:val="20"/>
        </w:rPr>
        <w:t>May 31, 2027; provided that the Company meets the First Revenue Milestone. Any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center"/>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principal amounts outstanding under the Term Loans, if not repaid sooner, are due and payable on November 1, 2027 (the Maturity Date). The Company is obligated to pay Agent (i) a non-refundable facility fee in the amount of $750,000</w:t>
      </w:r>
      <w:r>
        <w:rPr>
          <w:rFonts w:ascii="Times New Roman" w:hAnsi="Times New Roman"/>
          <w:sz w:val="20"/>
        </w:rPr>
        <w:t xml:space="preserve"> </w:t>
      </w:r>
      <w:r>
        <w:rPr>
          <w:rFonts w:ascii="Times New Roman;serif" w:hAnsi="Times New Roman;serif"/>
          <w:b w:val="false"/>
          <w:sz w:val="20"/>
        </w:rPr>
        <w:t>in respect of the Term A Loan, (ii) a non-refundable facility fee in the amount of $750,000</w:t>
      </w:r>
      <w:r>
        <w:rPr>
          <w:rFonts w:ascii="Times New Roman" w:hAnsi="Times New Roman"/>
          <w:sz w:val="20"/>
        </w:rPr>
        <w:t xml:space="preserve"> </w:t>
      </w:r>
      <w:r>
        <w:rPr>
          <w:rFonts w:ascii="Times New Roman;serif" w:hAnsi="Times New Roman;serif"/>
          <w:b w:val="false"/>
          <w:sz w:val="20"/>
        </w:rPr>
        <w:t>in respect of the Term B Loan(s), to be due and payable upon the earliest to occur of (a) the funding of the first Term B Loan, (b) December 20, 2023 and (c) the prepayment of the Term Loans and (iii) a non-refundable facility fee in the amount of $375,000</w:t>
      </w:r>
      <w:r>
        <w:rPr>
          <w:rFonts w:ascii="Times New Roman" w:hAnsi="Times New Roman"/>
          <w:sz w:val="20"/>
        </w:rPr>
        <w:t xml:space="preserve"> </w:t>
      </w:r>
      <w:r>
        <w:rPr>
          <w:rFonts w:ascii="Times New Roman;serif" w:hAnsi="Times New Roman;serif"/>
          <w:b w:val="false"/>
          <w:sz w:val="20"/>
        </w:rPr>
        <w:t>in respect of the Term C Loan, to be due and payable upon the earliest to occur of (a) the funding of the first Term C Loan, (b) one day prior to the Maturity Date and (c) the prepayment of the Term Loans. In addition, the Company is obligated to pay a final fee equal to 4.75% of the aggregate amount of the Term Loans funded, such final fee to be due and payable upon the earliest to occur of (i) the Maturity Date, (ii) the acceleration of the Term Loans and (iii) the prepayment of the Term Loans.</w:t>
      </w:r>
      <w:r>
        <w:rPr>
          <w:rFonts w:ascii="Times New Roman" w:hAnsi="Times New Roman"/>
          <w:sz w:val="20"/>
        </w:rPr>
        <w:t xml:space="preserve"> </w:t>
      </w:r>
      <w:r>
        <w:rPr>
          <w:rFonts w:ascii="Times New Roman;serif" w:hAnsi="Times New Roman;serif"/>
          <w:b w:val="false"/>
          <w:sz w:val="20"/>
        </w:rPr>
        <w:t>The Company may voluntarily prepay the outstanding Term Loans, subject to a prepayment premium of (i) 3.0% of the principal amount of the Term Loan, if prepaid prior to or on the first anniversary of the Closing Date, (ii) 2.0% of the principal amount of the Term Loan, if prepaid after the first anniversary of the Closing Date through and including the second anniversary of the Closing Date, or (iii) 1.0% of the principal amount of the Term Loan if prepaid after the second anniversary of the Closing Date and prior to the Maturity Date.</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SLR Revolver</w:t>
      </w:r>
    </w:p>
    <w:p>
      <w:pPr>
        <w:pStyle w:val="TextBody"/>
        <w:spacing w:before="120" w:after="0"/>
        <w:jc w:val="left"/>
        <w:rPr>
          <w:rFonts w:ascii="Times New Roman" w:hAnsi="Times New Roman"/>
          <w:sz w:val="20"/>
        </w:rPr>
      </w:pPr>
      <w:r>
        <w:rPr>
          <w:rFonts w:ascii="Times New Roman;serif" w:hAnsi="Times New Roman;serif"/>
          <w:b w:val="false"/>
          <w:sz w:val="20"/>
        </w:rPr>
        <w:t>The SLR Revolving Credit Agreement provides for an asset-based revolving credit facility with aggregate revolving commitments of $25.0</w:t>
      </w:r>
      <w:r>
        <w:rPr>
          <w:rFonts w:ascii="Times New Roman" w:hAnsi="Times New Roman"/>
          <w:sz w:val="20"/>
        </w:rPr>
        <w:t xml:space="preserve"> </w:t>
      </w:r>
      <w:r>
        <w:rPr>
          <w:rFonts w:ascii="Times New Roman;serif" w:hAnsi="Times New Roman;serif"/>
          <w:b w:val="false"/>
          <w:sz w:val="20"/>
        </w:rPr>
        <w:t>million (the Initial Revolver Commitment). The Company may request to increase the aggregate revolving commitments by $25.0</w:t>
      </w:r>
      <w:r>
        <w:rPr>
          <w:rFonts w:ascii="Times New Roman" w:hAnsi="Times New Roman"/>
          <w:sz w:val="20"/>
        </w:rPr>
        <w:t xml:space="preserve"> </w:t>
      </w:r>
      <w:r>
        <w:rPr>
          <w:rFonts w:ascii="Times New Roman;serif" w:hAnsi="Times New Roman;serif"/>
          <w:b w:val="false"/>
          <w:sz w:val="20"/>
        </w:rPr>
        <w:t>million (the Additional Tranche) to an aggregate amount of $50.0</w:t>
      </w:r>
      <w:r>
        <w:rPr>
          <w:rFonts w:ascii="Times New Roman" w:hAnsi="Times New Roman"/>
          <w:sz w:val="20"/>
        </w:rPr>
        <w:t xml:space="preserve"> </w:t>
      </w:r>
      <w:r>
        <w:rPr>
          <w:rFonts w:ascii="Times New Roman;serif" w:hAnsi="Times New Roman;serif"/>
          <w:b w:val="false"/>
          <w:sz w:val="20"/>
        </w:rPr>
        <w:t>million, subject to ABL Lender’s approval. Amounts available to be drawn under the SLR Revolver are equal to the lesser of (i) outstanding revolving commitments under the SLR Revolving Credit Agreement and (ii) a borrowing base (the Borrowing Base) equal to the sum of (a) 85% of eligible accounts receivable, plus (b) 25% of eligible inventory (not to exceed the lesser of 50% of the Borrowing Base and $5.0</w:t>
      </w:r>
      <w:r>
        <w:rPr>
          <w:rFonts w:ascii="Times New Roman" w:hAnsi="Times New Roman"/>
          <w:sz w:val="20"/>
        </w:rPr>
        <w:t xml:space="preserve"> </w:t>
      </w:r>
      <w:r>
        <w:rPr>
          <w:rFonts w:ascii="Times New Roman;serif" w:hAnsi="Times New Roman;serif"/>
          <w:b w:val="false"/>
          <w:sz w:val="20"/>
        </w:rPr>
        <w:t>million), minus (c) customary reserves, minus (d) unposted cash.</w:t>
      </w:r>
    </w:p>
    <w:p>
      <w:pPr>
        <w:pStyle w:val="TextBody"/>
        <w:spacing w:before="120" w:after="0"/>
        <w:jc w:val="left"/>
        <w:rPr>
          <w:rFonts w:ascii="Times New Roman" w:hAnsi="Times New Roman"/>
          <w:sz w:val="20"/>
        </w:rPr>
      </w:pPr>
      <w:r>
        <w:rPr>
          <w:rFonts w:ascii="Times New Roman;serif" w:hAnsi="Times New Roman;serif"/>
          <w:b w:val="false"/>
          <w:sz w:val="20"/>
        </w:rPr>
        <w:t>Any principal amount outstanding under the SLR Revolver will accrue interest at a rate per annum equal to one-month term SOFR (subject to a 2.75% floor), plus 3.20%, payable monthly in arrears. Interest on any borrowing is payable monthly. The Company is obligated to pay Lender (i) a non-refundable facility fee in the amount of $187,500</w:t>
      </w:r>
      <w:r>
        <w:rPr>
          <w:rFonts w:ascii="Times New Roman" w:hAnsi="Times New Roman"/>
          <w:sz w:val="20"/>
        </w:rPr>
        <w:t xml:space="preserve"> </w:t>
      </w:r>
      <w:r>
        <w:rPr>
          <w:rFonts w:ascii="Times New Roman;serif" w:hAnsi="Times New Roman;serif"/>
          <w:b w:val="false"/>
          <w:sz w:val="20"/>
        </w:rPr>
        <w:t>in respect of the Initial Revolver Commitment, (ii) a non-refundable facility fee in the amount of $187,500</w:t>
      </w:r>
      <w:r>
        <w:rPr>
          <w:rFonts w:ascii="Times New Roman" w:hAnsi="Times New Roman"/>
          <w:sz w:val="20"/>
        </w:rPr>
        <w:t xml:space="preserve"> </w:t>
      </w:r>
      <w:r>
        <w:rPr>
          <w:rFonts w:ascii="Times New Roman;serif" w:hAnsi="Times New Roman;serif"/>
          <w:b w:val="false"/>
          <w:sz w:val="20"/>
        </w:rPr>
        <w:t>in respect of the Additional Tranche, to be due and payable upon activation of the Additional Tranche, (iii) a commitment fee of 0.50% per annum of the average daily unused portion of the then commitment amount, payable monthly and (iv) a collateral monitoring fee of 0.10% per month of the average daily Borrowing Base during the prior month, payable monthly. The Company may terminate the SLR Revolver at any time, subject to a termination fee of (i) 2.0% of the aggregate revolving commitments then in effect, if terminated prior to or on the first anniversary of the Closing Date, (ii) 1.0% of the aggregate revolving commitments then in effect, if terminated after the first anniversary of the Closing Date through and including the second anniversary of the Closing Date, or (iii) 0.5% of the aggregate revolving commitments then in effect, if terminated after the second anniversary of the Closing Date through and including the third anniversary of the Closing Date. Such termination fee is waived if the SLR Revolver is terminated after the third anniversary of the Closing Date and prior to the Maturity Date.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Subject to customary exceptions and restrictions, the Company may borrow, repay and reborrow varying amounts under the SLR Revolver at any time. If at any time the outstanding amount under the SLR Revolver exceeds the lesser of (i) the aggregate revolving commitments then in effect and (ii) the Borrowing Base then in effect, the Company will be required to prepay outstanding amounts under the SLR Revolver.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SLR Revolver shall expire on November 1, 2027.</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Other Terms of the SLR Credit Facilities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security for its obligations under the SLR Credit Facilities, the Company granted Agent, for the benefit of the Term Loan Lenders, and ABL Lender a continuing security interest in substantially all of the assets of the Company, including the Company’s intellectual property, subject to certain exceptions.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SLR Credit Facility Agreements contain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in each case with certain exceptions. The Company has also agreed to a financial covenant whereby, beginning with the fiscal quarter ending December 31, 2023, the Company must either (i) maintain certain levels of cash and cash equivalents in accounts subject to control agreements in favor of Agent and ABL Lender of at least 50% of the sum of (a) the outstanding obligations under the Term Loans (as defined below) and (b) the amount of the Company’s accounts payable that have not been paid within 120 days from the invoice date thereof or (ii) generate net product and product related revenue (or maintain gross profit margins) in excess of specified amounts (or percentages) for applicable measuring periods.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center"/>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the SLR Credit Facility Agreements contain customary events of default that entitle Agent, under the SLR Loan Agreement, and ABL Lender, under the SLR Revolving Credit Agreement, to cause the Company’s indebtedness under the SLR Loan Agreement or SLR Revolving Credit Agreement, as applicable, to become immediately due and payable, and to exercise remedies against the Company and the collateral securing the obligations owed under the applicable SLR Credit Facility Agreement. Under the SLR Credit Facility Agreements, an event of default will occur if, among other things, the Company fails to make payments under either SLR Credit Facility Agreement, the Company breaches certain covenants under either SLR Credit Facility Agreement, subject to specified cure periods with respect to certain breaches, the Agent or ABL Lender, as applicable, determine that a material adverse change has occurred under the SLR Loan Agreement or SLR Revolving Credit Agreement, as applicable, or the Company or its assets become subject to certain legal proceedings, such as bankruptcy proceedings. Upon the occurrence and for the duration of an event of default, an additional default interest rate equal to 4.0% per annum will apply to all obligations owed under the SLR Credit Facility Agreements.</w:t>
      </w:r>
    </w:p>
    <w:p>
      <w:pPr>
        <w:pStyle w:val="TextBody"/>
        <w:spacing w:before="120" w:after="0"/>
        <w:jc w:val="left"/>
        <w:rPr>
          <w:rFonts w:ascii="Times New Roman" w:hAnsi="Times New Roman"/>
          <w:sz w:val="20"/>
        </w:rPr>
      </w:pPr>
      <w:r>
        <w:rPr>
          <w:rFonts w:ascii="Times New Roman;serif" w:hAnsi="Times New Roman;serif"/>
          <w:b w:val="false"/>
          <w:sz w:val="20"/>
        </w:rPr>
        <w:t>In November 2022, the Company borrowed $100.0</w:t>
      </w:r>
      <w:r>
        <w:rPr>
          <w:rFonts w:ascii="Times New Roman" w:hAnsi="Times New Roman"/>
          <w:sz w:val="20"/>
        </w:rPr>
        <w:t xml:space="preserve"> </w:t>
      </w:r>
      <w:r>
        <w:rPr>
          <w:rFonts w:ascii="Times New Roman;serif" w:hAnsi="Times New Roman;serif"/>
          <w:b w:val="false"/>
          <w:sz w:val="20"/>
        </w:rPr>
        <w:t>million under the Term A Loan on the Closing Date and incurred debt issuance costs of $3.8</w:t>
      </w:r>
      <w:r>
        <w:rPr>
          <w:rFonts w:ascii="Times New Roman" w:hAnsi="Times New Roman"/>
          <w:sz w:val="20"/>
        </w:rPr>
        <w:t xml:space="preserve"> </w:t>
      </w:r>
      <w:r>
        <w:rPr>
          <w:rFonts w:ascii="Times New Roman;serif" w:hAnsi="Times New Roman;serif"/>
          <w:b w:val="false"/>
          <w:sz w:val="20"/>
        </w:rPr>
        <w:t>million which were recorded as a direct deduction from the Term A Loan on the balance sheets and are being recognized as non-cash interest expense over the term of the loan using the effective interest method, along with the final payment fee. The facility fees of $0.9</w:t>
      </w:r>
      <w:r>
        <w:rPr>
          <w:rFonts w:ascii="Times New Roman" w:hAnsi="Times New Roman"/>
          <w:sz w:val="20"/>
        </w:rPr>
        <w:t xml:space="preserve"> </w:t>
      </w:r>
      <w:r>
        <w:rPr>
          <w:rFonts w:ascii="Times New Roman;serif" w:hAnsi="Times New Roman;serif"/>
          <w:b w:val="false"/>
          <w:sz w:val="20"/>
        </w:rPr>
        <w:t>million related to the Term B Loan and the Initial Revolver Commitment were recorded as deferred financing costs and are being recognized as non-cash interest expense over their respective commitment period using straight-line method.</w:t>
      </w:r>
    </w:p>
    <w:p>
      <w:pPr>
        <w:pStyle w:val="TextBody"/>
        <w:spacing w:before="240" w:after="0"/>
        <w:jc w:val="left"/>
        <w:rPr>
          <w:rFonts w:ascii="Times New Roman;serif" w:hAnsi="Times New Roman;serif"/>
          <w:b/>
          <w:sz w:val="20"/>
        </w:rPr>
      </w:pPr>
      <w:r>
        <w:rPr>
          <w:rFonts w:ascii="Times New Roman;serif" w:hAnsi="Times New Roman;serif"/>
          <w:b/>
          <w:sz w:val="20"/>
        </w:rPr>
        <w:t>8. Equity Incentive Plan</w:t>
      </w:r>
    </w:p>
    <w:p>
      <w:pPr>
        <w:pStyle w:val="TextBody"/>
        <w:spacing w:before="120" w:after="0"/>
        <w:jc w:val="left"/>
        <w:rPr>
          <w:rFonts w:ascii="Times New Roman;serif" w:hAnsi="Times New Roman;serif"/>
          <w:b/>
          <w:i/>
          <w:sz w:val="20"/>
        </w:rPr>
      </w:pPr>
      <w:r>
        <w:rPr>
          <w:rFonts w:ascii="Times New Roman;serif" w:hAnsi="Times New Roman;serif"/>
          <w:b/>
          <w:i/>
          <w:sz w:val="20"/>
        </w:rPr>
        <w:t>Equity Incentive Plans</w:t>
      </w:r>
    </w:p>
    <w:p>
      <w:pPr>
        <w:pStyle w:val="TextBody"/>
        <w:spacing w:before="120" w:after="0"/>
        <w:jc w:val="left"/>
        <w:rPr>
          <w:rFonts w:ascii="Times New Roman" w:hAnsi="Times New Roman"/>
          <w:sz w:val="20"/>
        </w:rPr>
      </w:pPr>
      <w:r>
        <w:rPr>
          <w:rFonts w:ascii="Times New Roman;serif" w:hAnsi="Times New Roman;serif"/>
          <w:b w:val="false"/>
          <w:sz w:val="20"/>
        </w:rPr>
        <w:t>As of March 31, 2023, 5,046,000</w:t>
      </w:r>
      <w:r>
        <w:rPr>
          <w:rFonts w:ascii="Times New Roman" w:hAnsi="Times New Roman"/>
          <w:sz w:val="20"/>
        </w:rPr>
        <w:t xml:space="preserve"> </w:t>
      </w:r>
      <w:r>
        <w:rPr>
          <w:rFonts w:ascii="Times New Roman;serif" w:hAnsi="Times New Roman;serif"/>
          <w:b w:val="false"/>
          <w:sz w:val="20"/>
        </w:rPr>
        <w:t>shares were reserved for future issuance under the 2020 Equity Incentive Plan (2020 Plan).</w:t>
      </w:r>
    </w:p>
    <w:p>
      <w:pPr>
        <w:pStyle w:val="TextBody"/>
        <w:spacing w:before="120" w:after="0"/>
        <w:jc w:val="left"/>
        <w:rPr>
          <w:rFonts w:ascii="Times New Roman;serif" w:hAnsi="Times New Roman;serif"/>
          <w:b/>
          <w:i/>
          <w:sz w:val="20"/>
        </w:rPr>
      </w:pPr>
      <w:r>
        <w:rPr>
          <w:rFonts w:ascii="Times New Roman;serif" w:hAnsi="Times New Roman;serif"/>
          <w:b/>
          <w:i/>
          <w:sz w:val="20"/>
        </w:rPr>
        <w:t>Employee Share Purchase Plan (ESPP)</w:t>
      </w:r>
    </w:p>
    <w:p>
      <w:pPr>
        <w:pStyle w:val="TextBody"/>
        <w:spacing w:before="120" w:after="0"/>
        <w:jc w:val="left"/>
        <w:rPr>
          <w:rFonts w:ascii="Times New Roman" w:hAnsi="Times New Roman"/>
          <w:sz w:val="20"/>
        </w:rPr>
      </w:pPr>
      <w:r>
        <w:rPr>
          <w:rFonts w:ascii="Times New Roman;serif" w:hAnsi="Times New Roman;serif"/>
          <w:b w:val="false"/>
          <w:sz w:val="20"/>
        </w:rPr>
        <w:t>As of March 31, 2023, 1,456,000</w:t>
      </w:r>
      <w:r>
        <w:rPr>
          <w:rFonts w:ascii="Times New Roman" w:hAnsi="Times New Roman"/>
          <w:sz w:val="20"/>
        </w:rPr>
        <w:t xml:space="preserve"> </w:t>
      </w:r>
      <w:r>
        <w:rPr>
          <w:rFonts w:ascii="Times New Roman;serif" w:hAnsi="Times New Roman;serif"/>
          <w:b w:val="false"/>
          <w:sz w:val="20"/>
        </w:rPr>
        <w:t>shares of common stock were reserved for issuance in connection with the current and future offering periods under the ESPP.</w:t>
      </w:r>
    </w:p>
    <w:p>
      <w:pPr>
        <w:pStyle w:val="TextBody"/>
        <w:spacing w:before="120" w:after="0"/>
        <w:jc w:val="left"/>
        <w:rPr>
          <w:rFonts w:ascii="Times New Roman;serif" w:hAnsi="Times New Roman;serif"/>
          <w:b/>
          <w:i/>
          <w:sz w:val="20"/>
        </w:rPr>
      </w:pPr>
      <w:r>
        <w:rPr>
          <w:rFonts w:ascii="Times New Roman;serif" w:hAnsi="Times New Roman;serif"/>
          <w:b/>
          <w:i/>
          <w:sz w:val="20"/>
        </w:rPr>
        <w:t>Restricted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issues restricted stock units (RSUs) and performance stock units (PSUs), both of which are considered restricted stock. The Company grants restricted stock pursuant to the 2020 Plan and satisfies such grants through the issuance of new shares. RSUs are share awards that, upon vesting, will deliver to the holder shares of our common stock.</w:t>
      </w:r>
    </w:p>
    <w:p>
      <w:pPr>
        <w:pStyle w:val="TextBody"/>
        <w:spacing w:before="120" w:after="0"/>
        <w:jc w:val="left"/>
        <w:rPr>
          <w:rFonts w:ascii="Times New Roman" w:hAnsi="Times New Roman"/>
          <w:sz w:val="20"/>
        </w:rPr>
      </w:pPr>
      <w:r>
        <w:rPr>
          <w:rFonts w:ascii="Times New Roman;serif" w:hAnsi="Times New Roman;serif"/>
          <w:b w:val="false"/>
          <w:sz w:val="20"/>
        </w:rPr>
        <w:t>RSUs with a service-based vesting condition granted to a grantee, beginning in February 2022, generally vest over a three-year period as follows either: (i) 25% on the first anniversary of the original vesting date,</w:t>
      </w:r>
      <w:r>
        <w:rPr>
          <w:rFonts w:ascii="Times New Roman" w:hAnsi="Times New Roman"/>
          <w:sz w:val="20"/>
        </w:rPr>
        <w:t xml:space="preserve"> </w:t>
      </w:r>
      <w:r>
        <w:rPr>
          <w:rFonts w:ascii="Times New Roman;serif" w:hAnsi="Times New Roman;serif"/>
          <w:b w:val="false"/>
          <w:sz w:val="20"/>
        </w:rPr>
        <w:t>25% quarterly over the course of the second year, and 50% quarterly over the course of the third year, or (ii) 33% on the first anniversary of the original vesting date, with the balance vesting quarterly over the remaining two years. Prior to February 2022, RSUs with a service-based vesting condition granted to a grantee generally vest at a rate of 25% on the first anniversary of the original vesting date, with the balance vesting quarterly over the remaining three years.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2022, the Company issued a mix of 50% PSUs and 50% RSUs to its CEO, and a mix of 20% PSUs and 80% RSUs to its other executive officers and certain other senior leaders. These PSUs are earned and vest over performance and vesting periods extending through 2024 based on achievement against two metrics: (1) an operational metric tied to the number of patients treating at home on Tablo as of the end of 2023, with 50% of earned units vesting after certification of the achievement level following the end of 2023 and the remaining 50% of earned units vesting at the end of 2024 (performance-based vesting conditions, referred to as the 2022 Home PSUs) and (2) the Company's relative total stockholder return (relative TSR) over a two-year performance period as compared to companies in a pre-determined index of medical device companies, with 100% of earned units vesting at the end of 2024 (market-based vesting conditions, referred to as the 2022 Relative TSR PSUs). In 2023, the Company issued additional PSUs (2023 Home PSUs and 2023 Relative TSR PSUs) and RSUs to its CEO, other executive officers and certain other senior leaders under terms that are substantially the same except that the performance and vesting periods extending through 2025.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2023 target for the 2022 Home PSUs was approved by the Compensation Committee in early 2023. Therefore, the grant date and the fair value for these 2022 Home PSUs were established and the associated expense is being recognized over the remaining service period.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2024 target for the 2023 Home PSUs is expected to be determined and approved by the Compensation Committee in late 2023 or early 2024. Given such target has not yet been established, the grant date for these 2023 Home PSUs will only be established when the Compensation Committee approves and the Company communicates the target to the award recipients, which will then trigger the service inception date, the fair value of the awards, and the associated expense recognition period. Therefore, no expense is expected to be recognized for these 2023 Home PSUs until the grant date is established.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center"/>
        <w:rPr/>
      </w:pPr>
      <w:r>
        <w:rPr/>
        <w:t> </w:t>
      </w:r>
    </w:p>
    <w:p>
      <w:pPr>
        <w:pStyle w:val="TextBody"/>
        <w:spacing w:before="120" w:after="0"/>
        <w:jc w:val="left"/>
        <w:rPr>
          <w:rFonts w:ascii="Times New Roman;serif" w:hAnsi="Times New Roman;serif"/>
          <w:b/>
          <w:i/>
          <w:sz w:val="20"/>
        </w:rPr>
      </w:pPr>
      <w:r>
        <w:rPr>
          <w:rFonts w:ascii="Times New Roman;serif" w:hAnsi="Times New Roman;serif"/>
          <w:b/>
          <w:i/>
          <w:sz w:val="20"/>
        </w:rPr>
        <w:t>Stock-Based Compensation Expense</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 sets forth stock-based compensation expense included in the accompanying condensed statements of operations (in thousands):</w:t>
      </w:r>
    </w:p>
    <w:tbl>
      <w:tblPr>
        <w:tblW w:w="6008" w:type="dxa"/>
        <w:jc w:val="left"/>
        <w:tblInd w:w="0" w:type="dxa"/>
        <w:tblCellMar>
          <w:top w:w="28" w:type="dxa"/>
          <w:left w:w="28" w:type="dxa"/>
          <w:bottom w:w="28" w:type="dxa"/>
          <w:right w:w="28" w:type="dxa"/>
        </w:tblCellMar>
      </w:tblPr>
      <w:tblGrid>
        <w:gridCol w:w="3451"/>
        <w:gridCol w:w="146"/>
        <w:gridCol w:w="213"/>
        <w:gridCol w:w="577"/>
        <w:gridCol w:w="147"/>
        <w:gridCol w:w="147"/>
        <w:gridCol w:w="213"/>
        <w:gridCol w:w="577"/>
        <w:gridCol w:w="146"/>
        <w:gridCol w:w="3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4"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46" w:type="dxa"/>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7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w:t>
            </w:r>
          </w:p>
        </w:tc>
        <w:tc>
          <w:tcPr>
            <w:tcW w:w="14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2,615</w:t>
            </w:r>
          </w:p>
        </w:tc>
        <w:tc>
          <w:tcPr>
            <w:tcW w:w="14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1,158</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2,598</w:t>
            </w:r>
          </w:p>
        </w:tc>
        <w:tc>
          <w:tcPr>
            <w:tcW w:w="14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57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1,706</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2,967</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center"/>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8,538</w:t>
            </w:r>
          </w:p>
        </w:tc>
        <w:tc>
          <w:tcPr>
            <w:tcW w:w="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center"/>
              <w:rPr/>
            </w:pPr>
            <w:r>
              <w:rPr/>
              <w:t> </w:t>
            </w:r>
          </w:p>
        </w:tc>
      </w:tr>
    </w:tbl>
    <w:p>
      <w:pPr>
        <w:pStyle w:val="TextBody"/>
        <w:spacing w:before="0" w:after="0"/>
        <w:jc w:val="left"/>
        <w:rPr/>
      </w:pPr>
      <w:r>
        <w:rPr/>
        <w:t> </w:t>
      </w:r>
    </w:p>
    <w:p>
      <w:pPr>
        <w:pStyle w:val="TextBody"/>
        <w:spacing w:before="200" w:after="0"/>
        <w:jc w:val="left"/>
        <w:rPr>
          <w:rFonts w:ascii="Times New Roman;serif" w:hAnsi="Times New Roman;serif"/>
          <w:b/>
          <w:sz w:val="20"/>
        </w:rPr>
      </w:pPr>
      <w:r>
        <w:rPr>
          <w:rFonts w:ascii="Times New Roman;serif" w:hAnsi="Times New Roman;serif"/>
          <w:b/>
          <w:sz w:val="20"/>
        </w:rPr>
        <w:t>9. Income Taxes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each of the three months ended March 31, 2023 and 2022, the Company incurred an income tax provision of an insignificant amount, which primarily related to foreign income taxes related to the Company’s Mexico operations. The U.S. federal and state net deferred tax assets have been fully offset by a valuation allowance, as the Company believes it is not more likely than not that the deferred tax assets will be realized.</w:t>
      </w:r>
    </w:p>
    <w:p>
      <w:pPr>
        <w:pStyle w:val="TextBody"/>
        <w:spacing w:before="240" w:after="0"/>
        <w:jc w:val="left"/>
        <w:rPr>
          <w:rFonts w:ascii="Times New Roman;serif" w:hAnsi="Times New Roman;serif"/>
          <w:b/>
          <w:sz w:val="20"/>
        </w:rPr>
      </w:pPr>
      <w:r>
        <w:rPr>
          <w:rFonts w:ascii="Times New Roman;serif" w:hAnsi="Times New Roman;serif"/>
          <w:b/>
          <w:sz w:val="20"/>
        </w:rPr>
        <w:t>10. Net Loss Per Share</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outstanding potentially dilutive shares were excluded from the calculation of diluted net loss per share due to their anti-dilutive effect (in thousands):</w:t>
      </w:r>
    </w:p>
    <w:tbl>
      <w:tblPr>
        <w:tblW w:w="6578" w:type="dxa"/>
        <w:jc w:val="left"/>
        <w:tblInd w:w="0" w:type="dxa"/>
        <w:tblCellMar>
          <w:top w:w="28" w:type="dxa"/>
          <w:left w:w="28" w:type="dxa"/>
          <w:bottom w:w="28" w:type="dxa"/>
          <w:right w:w="28" w:type="dxa"/>
        </w:tblCellMar>
      </w:tblPr>
      <w:tblGrid>
        <w:gridCol w:w="3451"/>
        <w:gridCol w:w="146"/>
        <w:gridCol w:w="236"/>
        <w:gridCol w:w="923"/>
        <w:gridCol w:w="236"/>
        <w:gridCol w:w="236"/>
        <w:gridCol w:w="236"/>
        <w:gridCol w:w="923"/>
        <w:gridCol w:w="1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9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5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115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to purchase common stock</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2,427</w:t>
            </w:r>
          </w:p>
        </w:tc>
        <w:tc>
          <w:tcPr>
            <w:tcW w:w="23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3,162</w:t>
            </w:r>
          </w:p>
        </w:tc>
        <w:tc>
          <w:tcPr>
            <w:tcW w:w="1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2,645</w:t>
            </w:r>
          </w:p>
        </w:tc>
        <w:tc>
          <w:tcPr>
            <w:tcW w:w="23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1,390</w:t>
            </w:r>
          </w:p>
        </w:tc>
        <w:tc>
          <w:tcPr>
            <w:tcW w:w="1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Performance stock units</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23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1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committed under ESPP</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3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9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Warrant to purchase common stock</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5,258</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center"/>
        <w:rPr/>
      </w:pPr>
      <w:r>
        <w:rPr/>
        <w:t> </w:t>
      </w:r>
    </w:p>
    <w:p>
      <w:pPr>
        <w:pStyle w:val="TextBody"/>
        <w:spacing w:before="0" w:after="0"/>
        <w:jc w:val="left"/>
        <w:rPr>
          <w:rFonts w:ascii="Times New Roman;serif" w:hAnsi="Times New Roman;serif"/>
          <w:b/>
          <w:sz w:val="20"/>
        </w:rPr>
      </w:pPr>
      <w:bookmarkStart w:id="10" w:name="item_2_managements_discussion_analysis_f"/>
      <w:bookmarkEnd w:id="10"/>
      <w:r>
        <w:rPr>
          <w:rFonts w:ascii="Times New Roman;serif" w:hAnsi="Times New Roman;serif"/>
          <w:b/>
          <w:sz w:val="20"/>
        </w:rPr>
        <w:t>Item 2. Management’s Discussion and Analysis of Financial Condition and Results of Operations.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2022 Annual Report. As used in this Quarterly Report, references to the “Company,” “we,” “us,” “our,” or similar terms refer to Outset Medical, Inc.</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pStyle w:val="TextBody"/>
        <w:spacing w:before="240" w:after="0"/>
        <w:jc w:val="left"/>
        <w:rPr>
          <w:rFonts w:ascii="Times New Roman;serif" w:hAnsi="Times New Roman;serif"/>
          <w:b/>
          <w:sz w:val="20"/>
        </w:rPr>
      </w:pPr>
      <w:r>
        <w:rPr>
          <w:rFonts w:ascii="Times New Roman;serif" w:hAnsi="Times New Roman;serif"/>
          <w:b/>
          <w:sz w:val="20"/>
        </w:rPr>
        <w:t>Overview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technology is designed to elevate the dialysis experience for patients and help providers overcome traditional care delivery challenges. Requiring only an electrical outlet and tap water to operate, the Tablo® Hemodialysis System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Tablo leverages cloud technology, making it possible for providers to monitor devices and treatments remotely, perform patient and population analytics, and automate clinical recordkeeping, while also enabling us to release features and enhancements through over-the-air updates. Tablo’s connectedness also allows it to continually stream more than 500,000 device performance data points after every treatment. We use this data, in conjunction with our diagnostic and predictive algorithms, to determine failure types and, in some instances, predict failures before they occur. In effect, this contributes to a reduction in service hours and an increase in device uptime.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Tablo is also utilized for home-based dialysis. We believe our ability to reduce training time, patient dropout, and the supplies and infrastructure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this market successfully, we continue to focus on refining our home distribution, logistics and support systems to help ensure they are ready for scale. We are also working with providers, patients, and payors to increase awareness and adoption of transitional care units (TCUs) as a bridge to home-based therapy. To demonstrate the cost advantages of Tablo in the home setting, we are continuing to collect additional patient clinical experience and outcomes data.</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center"/>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May 2022, we implemented a shipment hold on the distribution and marketing of Tablo for use in the home environment pending the FDA’s review and clearance of a 510(k) application we submitted for changes made since the device’s original March 2020 clearance. During the hold, we continued to market and ship Tablo for use by healthcare professionals in chronic and acute care settings. In addition, devices that were already distributed to home users at the time the hold was implemented were not removed and current users were able to continue working with their healthcare providers on appropriate treatment. In late July 2022, the FDA cleared our 510(k) application of Tablo for patient use in the home and we resumed marketing and shipping Tablo for home use.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primarily sell our solutions through our direct sales organization, which covers most major metropolitan markets in the United States. Our sales organization is comprised of our capital sales team, responsible for generating new customer demand for Tablo, and our clinical sales team, responsible for driving utilization and fleet expansion of Tablo consoles at existing customer sites. In addition, our field service team provides maintenance services and product support to Tablo customers. Our field sales and service teams represent 46% of our total full-time employees as of March 31, 2023.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generate revenue primarily from the initial sale of Tablo consoles, and recurring sales of consumables, including the Tablo cartridge, which generates significant total revenue over the life of the console. We generate additional recurring revenue via annual service contracts and shipping and handling charged to customers. Our total revenue was $33.5 million and $30.6 million for the three months ended March 31, 2023 and 2022, respectively.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Historically, we have financed our operations and capital expenditures primarily through sales of redeemable convertible preferred stock and common stock, revenue from sales, and debt financing. Since our inception, we have incurred net losses in each year. For the three months ended March 31, 2023 and 2022, we incurred net losses of $44.0 million and $36.9 million, respectively. As of March 31, 2023, we had an accumulated deficit of $832.9 million. We expect to continue to incur significant expenses for the foreseeable future and to incur operating losses in the near term.</w:t>
      </w:r>
    </w:p>
    <w:p>
      <w:pPr>
        <w:pStyle w:val="TextBody"/>
        <w:spacing w:before="240" w:after="0"/>
        <w:jc w:val="left"/>
        <w:rPr>
          <w:rFonts w:ascii="Times New Roman;serif" w:hAnsi="Times New Roman;serif"/>
          <w:b/>
          <w:sz w:val="20"/>
        </w:rPr>
      </w:pPr>
      <w:r>
        <w:rPr>
          <w:rFonts w:ascii="Times New Roman;serif" w:hAnsi="Times New Roman;serif"/>
          <w:b/>
          <w:sz w:val="20"/>
        </w:rPr>
        <w:t>Key Factors Affecting Our Performance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pStyle w:val="TextBody"/>
        <w:spacing w:before="120" w:after="0"/>
        <w:jc w:val="left"/>
        <w:rPr>
          <w:rFonts w:ascii="Times New Roman;serif" w:hAnsi="Times New Roman;serif"/>
          <w:b/>
          <w:i/>
          <w:sz w:val="20"/>
        </w:rPr>
      </w:pPr>
      <w:r>
        <w:rPr>
          <w:rFonts w:ascii="Times New Roman;serif" w:hAnsi="Times New Roman;serif"/>
          <w:b/>
          <w:i/>
          <w:sz w:val="20"/>
        </w:rPr>
        <w:t>Market Acceptance of Tablo in Acute Setting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plan to further broaden our installed base by continuing to target national and regional Integrated Delivery Networks (IDNs) and health systems, sub-acute long-term acute care hospitals (LTACHs) and skilled nursing facilities (SNFs).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in part on the success of our efforts to further evolve our commercial infrastructure and sales processes to support the growth of our business in the acute care market.</w:t>
      </w:r>
    </w:p>
    <w:p>
      <w:pPr>
        <w:pStyle w:val="TextBody"/>
        <w:spacing w:before="120" w:after="0"/>
        <w:jc w:val="left"/>
        <w:rPr>
          <w:rFonts w:ascii="Times New Roman;serif" w:hAnsi="Times New Roman;serif"/>
          <w:b/>
          <w:i/>
          <w:sz w:val="20"/>
        </w:rPr>
      </w:pPr>
      <w:r>
        <w:rPr>
          <w:rFonts w:ascii="Times New Roman;serif" w:hAnsi="Times New Roman;serif"/>
          <w:b/>
          <w:i/>
          <w:sz w:val="20"/>
        </w:rPr>
        <w:t>Expansion of Tablo within the Home Setting</w:t>
      </w:r>
    </w:p>
    <w:p>
      <w:pPr>
        <w:pStyle w:val="TextBody"/>
        <w:spacing w:before="120" w:after="0"/>
        <w:jc w:val="left"/>
        <w:rPr>
          <w:rFonts w:ascii="Times New Roman" w:hAnsi="Times New Roman"/>
          <w:sz w:val="20"/>
        </w:rPr>
      </w:pPr>
      <w:r>
        <w:rPr>
          <w:rFonts w:ascii="Times New Roman;serif" w:hAnsi="Times New Roman;serif"/>
          <w:b w:val="false"/>
          <w:sz w:val="20"/>
        </w:rPr>
        <w:t>We believe that a significant growth opportunity exists within the home hemodialysis market. We are partnering with innovative dialysis clinic providers and health systems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 the home market, help grow new home programs and increase our revenue generated from home-based dialysis on the timeline that we anticipate will depend on several factors. These factors include our ability to continue regaining momentum in our home commercialization and marketing and rebuilding our home patient pipeline following the release of our prior home shipment hold, as well as our ability to further evolve our commercial infrastructure and sales processes as we scale our business in the home market.</w:t>
      </w:r>
      <w:r>
        <w:rPr>
          <w:rFonts w:ascii="Times New Roman" w:hAnsi="Times New Roman"/>
          <w:sz w:val="20"/>
        </w:rPr>
        <w:t xml:space="preserve"> </w:t>
      </w:r>
    </w:p>
    <w:p>
      <w:pPr>
        <w:pStyle w:val="TextBody"/>
        <w:spacing w:before="120" w:after="0"/>
        <w:jc w:val="left"/>
        <w:rPr>
          <w:rFonts w:ascii="Times New Roman;serif" w:hAnsi="Times New Roman;serif"/>
          <w:b/>
          <w:i/>
          <w:sz w:val="20"/>
        </w:rPr>
      </w:pPr>
      <w:r>
        <w:rPr>
          <w:rFonts w:ascii="Times New Roman;serif" w:hAnsi="Times New Roman;serif"/>
          <w:b/>
          <w:i/>
          <w:sz w:val="20"/>
        </w:rPr>
        <w:t>Gross Margin</w:t>
      </w:r>
    </w:p>
    <w:p>
      <w:pPr>
        <w:pStyle w:val="TextBody"/>
        <w:spacing w:before="120" w:after="0"/>
        <w:jc w:val="left"/>
        <w:rPr>
          <w:rFonts w:ascii="Times New Roman" w:hAnsi="Times New Roman"/>
          <w:sz w:val="20"/>
        </w:rPr>
      </w:pPr>
      <w:r>
        <w:rPr>
          <w:rFonts w:ascii="Times New Roman;serif" w:hAnsi="Times New Roman;serif"/>
          <w:b w:val="false"/>
          <w:sz w:val="20"/>
        </w:rPr>
        <w:t>We are continuing to execute a well-defined strategy designed to expand gross margins. First, during 2021, we fully insourced console manufacturing at our own manufacturing facility in Tijuana, Mexico which we operate in collaboration with our outsourced business administration service provider, TACNA Services (TACNA). Second, during 2022, we moved production of a majority of Tablo cartridges from our contract manufacturer in Southeast Asia to a contract manufacturer in Mexico, which helped us achieve cost reductions through lower freight costs and mitigate against global supply chain challenges. Recently, we initiated production of Tablo cartridges in-house at our manufacturing facility in Mexico which we operate in collaboration with TACNA in an effort to help further</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center"/>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long-term gross margin expansion and supply continuity strategies and improve the flexibility of our operations. Third, we will continue to use our design, engineering and manufacturing capabilities to help further advance and improve the efficiency of our manufacturing processes and lower our costs of production. Fourth, we will continue to utilize our cloud-based data system, as well as enhanced product performance, to help drive down the cost of service. Our ability to grow our business will depend in part on these and other measures to control the costs of our products being successful. Likewise, it will be important that we effectively manage the costs of generating our service revenue.</w:t>
      </w:r>
    </w:p>
    <w:p>
      <w:pPr>
        <w:pStyle w:val="TextBody"/>
        <w:spacing w:before="240" w:after="0"/>
        <w:jc w:val="left"/>
        <w:rPr>
          <w:rFonts w:ascii="Times New Roman;serif" w:hAnsi="Times New Roman;serif"/>
          <w:b/>
          <w:sz w:val="20"/>
        </w:rPr>
      </w:pPr>
      <w:r>
        <w:rPr>
          <w:rFonts w:ascii="Times New Roman;serif" w:hAnsi="Times New Roman;serif"/>
          <w:b/>
          <w:sz w:val="20"/>
        </w:rPr>
        <w:t>Impacts of the COVID-19 Pandemic and Other Macroeconomic Factors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may be impacted by a resurgence of the recent COVID-19 pandemic or emergence of new variants of COVID-19. While the operations at our contract manufacturing partners’ facilities and our outsourced business administration service provider, TACNA, for our facility in Tijuana, Mexico, have not yet experienced significant disruption as a result of the recent pandemic, the possibility that such disruption may occur remains. Additionally, the recent COVID-19 pandemic has at various times since its onset disrupted the operations of certain of our third-party suppliers, resulting in increased lead-times, higher component costs, and lower allocations for our purchase of some components (including certain critical components) and, in certain cases, requiring us to procure materials from alternative sources, procure higher quantities of materials when they become available, or incur higher logistical expenses. We have worked closely with our manufacturing partners and suppliers to enable us to source key components and maintain appropriate inventory levels to meet customer demand, and have not experienced material disruptions in our supply chain to date.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surges and shifts in consumer demand as the economy reopens, further exacerbated by COVID-19 outbreaks and protocols, have strained the global freight network and placed significant stress on air, ocean, and ground freight carriers. This has resulted in labor shortages, container and chassis shortages, reduced carrier capacity, carrier delays and longer lead times, shipment receiving and unloading backlogs at many U.S. ports, and escalating freight costs. During late 2021, these supply chain disruptions escalated, and, as a result, we faced increased supply chain constraints, notably with the transportation of Tablo cartridges from our contract manufacturing partner in Southeast Asia. As a result, we have faced, and may continue to face, increased transportation and related costs, and potentially delays, associated with delivering adequate supply of Tablo treatments to our customers. We believe that transitioning production of a majority of Tablo cartridges during 2022 to a contract manufacturer in Mexico helped us achieve cost reductions through lower freight costs, and that our recent efforts to initiate production of cartridges in-house at our manufacturing facility in Mexico which we operate in collaboration with TACNA will help further our long-term gross margin expansion and supply continuity strategies and improve the flexibility of our operations. However, there is no assurance that we will not continue to face supply chain constraints. Continued escalation of these supply chain disruptions could negatively impact our ability to meet customer demand on a timely basis, result in customer dissatisfaction and adversely impact our operating margins and results of operations. Further, a sustained rise in material and freight costs could also unfavorably impact our operating margins and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extent, duration, and impact of the pandemic remain uncertain and depend on ongoing developments, including but not limited to any resurgences of the virus including emerging variant strains, actions taken to contain or mitigate its impact, as well as the direct and indirect economic effects of the pandemic and related containment measures. Additionally, the duration and severity of disruptions in the global supply chain, largely driven by high demand as the economy reopens and the ongoing impact of the pandemic, also remain uncertain and depend on various factors, including the effectiveness of government actions intended to mitigate these disruptions. As a result, we cannot predict what effect COVID-19, the associated containment measures, and the related supply chain disruptions will ultimately have on our business and result of operations, on our customers, or on our suppliers and vendors. There is no assurance that we will not experience more significant disruptions in our supply chain in the future, particularly if the operations of our contract manufacturing partners, our critical single-source component providers, or the facility we operate in Tijuana, Mexico in collaboration with TACNA, are more severely impacted by the pandemic and associated containment measures.</w:t>
      </w:r>
    </w:p>
    <w:p>
      <w:pPr>
        <w:pStyle w:val="TextBody"/>
        <w:spacing w:before="120" w:after="0"/>
        <w:jc w:val="left"/>
        <w:rPr>
          <w:rFonts w:ascii="Times New Roman" w:hAnsi="Times New Roman"/>
          <w:sz w:val="20"/>
        </w:rPr>
      </w:pPr>
      <w:r>
        <w:rPr>
          <w:rFonts w:ascii="Times New Roman;serif" w:hAnsi="Times New Roman;serif"/>
          <w:b w:val="false"/>
          <w:sz w:val="20"/>
        </w:rPr>
        <w:t>Moreover, healthcare providers (including our existing and prospective customers) are facing a nationwide shortage of qualified nurses and other clinical personnel due to long-term trends that were exacerbated by the recent COVID-19 pandemic. As competition for these healthcare professionals has intensified, providers are facing increased difficulties attracting and retaining skilled clinical personnel, resulting in increased costs, staffing shortages and other disruptions. These challenging labor market conditions in the healthcare industry have been heightened by the increased demand for, and demand upon, nurses and other staff. We believe Tablo offers automation and ease-of-use benefits over traditional machines that can enhance our existing and potential customers’ ability to support their patient populations despite staffing shortages. However, there is a risk that the increased costs and other disruptions caused by the shortage of dialysis nurses, technicians, other staff, and implementation resources could cause existing or prospective customers to delay continued investment in or adoption of new technologies and postpone purchasing decisions. For example, during 2022, our existing and potential customers faced increasing staffing shortages and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If our customers continue to face prolonged staffing shortages, volatility, uncertainty, rising costs and financial pressures, whether due to the ongoing effects of the pandemic, general macroeconomic conditions or otherwise, it could ultimately adversely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center"/>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impact our ability to expand existing customer relationships or attract new customers of Tablo, and have a material adverse effect on our bookings, revenues, results of operations, and, ultimately, our future growth and profitability.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2022, we launched a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In return for a fair market value service fee, we assign members of our own employed nurses on a temporary basis to support participating providers to launch and manage an inpatient dialysis program using Tablo and, as full-time staff is hired, to help train and onboard those nurses. This pilot program is in its early stages and may not be successful in achieving the objectives we intend and anticipate and ultimately, it may fail to meet our customers’ expectations, any of which could harm our reputation and customer relationships. In addition, the program may not generate sufficient returns to justify our investment, or may result in unanticipated costs, which could adversely impact our operating margins and results of operations.</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center"/>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three months ended March 31, 2023 and 2022 (in thousands):</w:t>
      </w:r>
    </w:p>
    <w:tbl>
      <w:tblPr>
        <w:tblW w:w="6465" w:type="dxa"/>
        <w:jc w:val="left"/>
        <w:tblInd w:w="0" w:type="dxa"/>
        <w:tblCellMar>
          <w:top w:w="28" w:type="dxa"/>
          <w:left w:w="28" w:type="dxa"/>
          <w:bottom w:w="28" w:type="dxa"/>
          <w:right w:w="28" w:type="dxa"/>
        </w:tblCellMar>
      </w:tblPr>
      <w:tblGrid>
        <w:gridCol w:w="3256"/>
        <w:gridCol w:w="146"/>
        <w:gridCol w:w="211"/>
        <w:gridCol w:w="736"/>
        <w:gridCol w:w="166"/>
        <w:gridCol w:w="146"/>
        <w:gridCol w:w="211"/>
        <w:gridCol w:w="736"/>
        <w:gridCol w:w="166"/>
        <w:gridCol w:w="691"/>
      </w:tblGrid>
      <w:tr>
        <w:trPr/>
        <w:tc>
          <w:tcPr>
            <w:tcW w:w="3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r>
      <w:tr>
        <w:trPr/>
        <w:tc>
          <w:tcPr>
            <w:tcW w:w="3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w:t>
            </w:r>
          </w:p>
        </w:tc>
        <w:tc>
          <w:tcPr>
            <w:tcW w:w="16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Product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25,664</w:t>
            </w:r>
          </w:p>
        </w:tc>
        <w:tc>
          <w:tcPr>
            <w:tcW w:w="16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 and other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5,688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400"/>
              <w:jc w:val="center"/>
              <w:rPr/>
            </w:pPr>
            <w:r>
              <w:rPr/>
              <w:t> </w:t>
            </w:r>
          </w:p>
        </w:tc>
      </w:tr>
      <w:tr>
        <w:trPr/>
        <w:tc>
          <w:tcPr>
            <w:tcW w:w="325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30,550</w:t>
            </w:r>
          </w:p>
        </w:tc>
        <w:tc>
          <w:tcPr>
            <w:tcW w:w="16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product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23,110</w:t>
            </w:r>
          </w:p>
        </w:tc>
        <w:tc>
          <w:tcPr>
            <w:tcW w:w="16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service and other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400"/>
              <w:jc w:val="center"/>
              <w:rPr/>
            </w:pPr>
            <w:r>
              <w:rPr/>
              <w:t> </w:t>
            </w:r>
          </w:p>
        </w:tc>
      </w:tr>
      <w:tr>
        <w:trPr/>
        <w:tc>
          <w:tcPr>
            <w:tcW w:w="325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cost of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500"/>
              <w:jc w:val="center"/>
              <w:rPr/>
            </w:pPr>
            <w:r>
              <w:rPr/>
              <w:t> </w:t>
            </w:r>
          </w:p>
        </w:tc>
      </w:tr>
      <w:tr>
        <w:trPr/>
        <w:tc>
          <w:tcPr>
            <w:tcW w:w="3256" w:type="dxa"/>
            <w:tcBorders/>
            <w:shd w:fill="auto" w:val="clear"/>
            <w:vAlign w:val="center"/>
          </w:tcPr>
          <w:p>
            <w:pPr>
              <w:pStyle w:val="TableContents"/>
              <w:spacing w:before="0" w:after="0"/>
              <w:ind w:left="500" w:right="0" w:hanging="0"/>
              <w:jc w:val="left"/>
              <w:rPr>
                <w:rFonts w:ascii="Times New Roman;serif" w:hAnsi="Times New Roman;serif"/>
                <w:b w:val="false"/>
                <w:sz w:val="20"/>
              </w:rPr>
            </w:pPr>
            <w:r>
              <w:rPr>
                <w:rFonts w:ascii="Times New Roman;serif" w:hAnsi="Times New Roman;serif"/>
                <w:b w:val="false"/>
                <w:sz w:val="20"/>
              </w:rPr>
              <w:t>Gross profit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4,442</w:t>
            </w:r>
          </w:p>
        </w:tc>
        <w:tc>
          <w:tcPr>
            <w:tcW w:w="16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10,831</w:t>
            </w:r>
          </w:p>
        </w:tc>
        <w:tc>
          <w:tcPr>
            <w:tcW w:w="16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20,377</w:t>
            </w:r>
          </w:p>
        </w:tc>
        <w:tc>
          <w:tcPr>
            <w:tcW w:w="16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9,709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400"/>
              <w:jc w:val="center"/>
              <w:rPr/>
            </w:pPr>
            <w:r>
              <w:rPr/>
              <w:t> </w:t>
            </w:r>
          </w:p>
        </w:tc>
      </w:tr>
      <w:tr>
        <w:trPr/>
        <w:tc>
          <w:tcPr>
            <w:tcW w:w="325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vAlign w:val="center"/>
          </w:tcPr>
          <w:p>
            <w:pPr>
              <w:pStyle w:val="TableContents"/>
              <w:spacing w:before="0" w:after="0"/>
              <w:ind w:left="0" w:right="0" w:firstLine="200"/>
              <w:jc w:val="center"/>
              <w:rPr/>
            </w:pPr>
            <w:r>
              <w:rPr/>
              <w:t> </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 and 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16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firstLine="200"/>
              <w:jc w:val="center"/>
              <w:rPr/>
            </w:pPr>
            <w:r>
              <w:rPr/>
              <w:t> </w:t>
            </w:r>
          </w:p>
        </w:tc>
      </w:tr>
      <w:tr>
        <w:trPr/>
        <w:tc>
          <w:tcPr>
            <w:tcW w:w="325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(43,779</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3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(36,777</w:t>
            </w:r>
          </w:p>
        </w:tc>
        <w:tc>
          <w:tcPr>
            <w:tcW w:w="16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(43,971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(36,892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1" w:type="dxa"/>
            <w:tcBorders/>
            <w:shd w:fill="auto" w:val="clear"/>
            <w:vAlign w:val="center"/>
          </w:tcPr>
          <w:p>
            <w:pPr>
              <w:pStyle w:val="TableContents"/>
              <w:spacing w:before="0" w:after="0"/>
              <w:ind w:left="0" w:right="0" w:hanging="0"/>
              <w:jc w:val="center"/>
              <w:rPr/>
            </w:pPr>
            <w:r>
              <w:rPr/>
              <w:t> </w:t>
            </w:r>
          </w:p>
        </w:tc>
      </w:tr>
    </w:tbl>
    <w:p>
      <w:pPr>
        <w:pStyle w:val="TextBody"/>
        <w:spacing w:before="120" w:after="0"/>
        <w:jc w:val="left"/>
        <w:rPr>
          <w:rFonts w:ascii="Times New Roman;serif" w:hAnsi="Times New Roman;serif"/>
          <w:b/>
          <w:i/>
          <w:sz w:val="20"/>
        </w:rPr>
      </w:pPr>
      <w:r>
        <w:rPr>
          <w:rFonts w:ascii="Times New Roman;serif" w:hAnsi="Times New Roman;serif"/>
          <w:b/>
          <w:i/>
          <w:sz w:val="20"/>
        </w:rPr>
        <w:t>Comparison of the Three Months Ended March 31, 2023 and 2022</w:t>
      </w:r>
    </w:p>
    <w:p>
      <w:pPr>
        <w:pStyle w:val="TextBody"/>
        <w:spacing w:before="120" w:after="120"/>
        <w:jc w:val="left"/>
        <w:rPr>
          <w:rFonts w:ascii="Times New Roman;serif" w:hAnsi="Times New Roman;serif"/>
          <w:b/>
          <w:i/>
          <w:sz w:val="20"/>
        </w:rPr>
      </w:pPr>
      <w:r>
        <w:rPr>
          <w:rFonts w:ascii="Times New Roman;serif" w:hAnsi="Times New Roman;serif"/>
          <w:b/>
          <w:i/>
          <w:sz w:val="20"/>
        </w:rPr>
        <w:t>Revenue</w:t>
      </w:r>
    </w:p>
    <w:tbl>
      <w:tblPr>
        <w:tblW w:w="6407" w:type="dxa"/>
        <w:jc w:val="left"/>
        <w:tblInd w:w="0" w:type="dxa"/>
        <w:tblCellMar>
          <w:top w:w="28" w:type="dxa"/>
          <w:left w:w="28" w:type="dxa"/>
          <w:bottom w:w="28" w:type="dxa"/>
          <w:right w:w="28" w:type="dxa"/>
        </w:tblCellMar>
      </w:tblPr>
      <w:tblGrid>
        <w:gridCol w:w="1951"/>
        <w:gridCol w:w="146"/>
        <w:gridCol w:w="196"/>
        <w:gridCol w:w="601"/>
        <w:gridCol w:w="146"/>
        <w:gridCol w:w="146"/>
        <w:gridCol w:w="196"/>
        <w:gridCol w:w="601"/>
        <w:gridCol w:w="146"/>
        <w:gridCol w:w="146"/>
        <w:gridCol w:w="196"/>
        <w:gridCol w:w="511"/>
        <w:gridCol w:w="146"/>
        <w:gridCol w:w="146"/>
        <w:gridCol w:w="146"/>
        <w:gridCol w:w="286"/>
        <w:gridCol w:w="701"/>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i/>
                <w:sz w:val="18"/>
                <w:u w:val="single"/>
              </w:rPr>
            </w:pPr>
            <w:r>
              <w:rPr>
                <w:rFonts w:ascii="Times New Roman;serif" w:hAnsi="Times New Roman;serif"/>
                <w:b w:val="false"/>
                <w:i/>
                <w:sz w:val="18"/>
                <w:u w:val="single"/>
              </w:rPr>
              <w:t>(dollars in thousands)</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7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Revenue:</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0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center"/>
              <w:rPr/>
            </w:pPr>
            <w:r>
              <w:rPr/>
              <w:t> </w:t>
            </w:r>
          </w:p>
        </w:tc>
        <w:tc>
          <w:tcPr>
            <w:tcW w:w="701" w:type="dxa"/>
            <w:tcBorders/>
            <w:shd w:fill="auto" w:val="clear"/>
            <w:vAlign w:val="center"/>
          </w:tcPr>
          <w:p>
            <w:pPr>
              <w:pStyle w:val="TableContents"/>
              <w:spacing w:before="0" w:after="0"/>
              <w:ind w:left="0" w:right="0" w:firstLine="200"/>
              <w:jc w:val="center"/>
              <w:rPr/>
            </w:pPr>
            <w:r>
              <w:rPr/>
              <w:t> </w:t>
            </w:r>
          </w:p>
        </w:tc>
      </w:tr>
      <w:tr>
        <w:trPr/>
        <w:tc>
          <w:tcPr>
            <w:tcW w:w="195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Product revenue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27,779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25,664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70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95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Service and other revenue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5,688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701" w:type="dxa"/>
            <w:tcBorders/>
            <w:shd w:fill="auto" w:val="clear"/>
            <w:vAlign w:val="center"/>
          </w:tcPr>
          <w:p>
            <w:pPr>
              <w:pStyle w:val="TableContents"/>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95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revenue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33,467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30,550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7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Product revenue increased by $2.1 million or 8% for the three months ended March 31, 2023 as compared to the same period in the prior year. This increase was driven by a $1.3 million increase in consumables revenue due to the growth in our console installed base and a $0.8 million increase in consoles 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Service and other revenue increased by $0.8 million or 16% for the three months ended March 31, 2023 as compared to the same period in the prior year. This increase was primarily due to services associated with the growth in our console installed base, which was partially offset by the expiration of certain lease agreements.</w:t>
      </w:r>
    </w:p>
    <w:p>
      <w:pPr>
        <w:pStyle w:val="TextBody"/>
        <w:spacing w:before="240" w:after="120"/>
        <w:jc w:val="left"/>
        <w:rPr>
          <w:rFonts w:ascii="Times New Roman;serif" w:hAnsi="Times New Roman;serif"/>
          <w:b/>
          <w:i/>
          <w:sz w:val="20"/>
        </w:rPr>
      </w:pPr>
      <w:r>
        <w:rPr>
          <w:rFonts w:ascii="Times New Roman;serif" w:hAnsi="Times New Roman;serif"/>
          <w:b/>
          <w:i/>
          <w:sz w:val="20"/>
        </w:rPr>
        <w:t>Gross Profit and Gross Margin</w:t>
      </w:r>
    </w:p>
    <w:tbl>
      <w:tblPr>
        <w:tblW w:w="6493" w:type="dxa"/>
        <w:jc w:val="left"/>
        <w:tblInd w:w="0" w:type="dxa"/>
        <w:tblCellMar>
          <w:top w:w="28" w:type="dxa"/>
          <w:left w:w="28" w:type="dxa"/>
          <w:bottom w:w="28" w:type="dxa"/>
          <w:right w:w="28" w:type="dxa"/>
        </w:tblCellMar>
      </w:tblPr>
      <w:tblGrid>
        <w:gridCol w:w="2311"/>
        <w:gridCol w:w="146"/>
        <w:gridCol w:w="149"/>
        <w:gridCol w:w="522"/>
        <w:gridCol w:w="149"/>
        <w:gridCol w:w="261"/>
        <w:gridCol w:w="149"/>
        <w:gridCol w:w="522"/>
        <w:gridCol w:w="146"/>
        <w:gridCol w:w="256"/>
        <w:gridCol w:w="146"/>
        <w:gridCol w:w="511"/>
        <w:gridCol w:w="146"/>
        <w:gridCol w:w="146"/>
        <w:gridCol w:w="146"/>
        <w:gridCol w:w="286"/>
        <w:gridCol w:w="50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5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center"/>
              <w:rPr/>
            </w:pPr>
            <w:r>
              <w:rPr/>
              <w:t> </w:t>
            </w:r>
          </w:p>
        </w:tc>
        <w:tc>
          <w:tcPr>
            <w:tcW w:w="138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5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i/>
                <w:sz w:val="18"/>
                <w:u w:val="single"/>
              </w:rPr>
            </w:pPr>
            <w:r>
              <w:rPr>
                <w:rFonts w:ascii="Times New Roman;serif" w:hAnsi="Times New Roman;serif"/>
                <w:b w:val="false"/>
                <w:i/>
                <w:sz w:val="18"/>
                <w:u w:val="single"/>
              </w:rPr>
              <w:t>(dollars in thousands)</w:t>
            </w:r>
          </w:p>
        </w:tc>
        <w:tc>
          <w:tcPr>
            <w:tcW w:w="146" w:type="dxa"/>
            <w:tcBorders/>
            <w:shd w:fill="auto" w:val="clear"/>
            <w:vAlign w:val="center"/>
          </w:tcPr>
          <w:p>
            <w:pPr>
              <w:pStyle w:val="TableContents"/>
              <w:spacing w:before="0" w:after="0"/>
              <w:ind w:left="0" w:right="0" w:hanging="0"/>
              <w:jc w:val="center"/>
              <w:rPr/>
            </w:pPr>
            <w:r>
              <w:rPr/>
              <w:t> </w:t>
            </w:r>
          </w:p>
        </w:tc>
        <w:tc>
          <w:tcPr>
            <w:tcW w:w="6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61" w:type="dxa"/>
            <w:tcBorders/>
            <w:shd w:fill="auto" w:val="clear"/>
            <w:vAlign w:val="center"/>
          </w:tcPr>
          <w:p>
            <w:pPr>
              <w:pStyle w:val="TableContents"/>
              <w:spacing w:before="0" w:after="0"/>
              <w:ind w:left="0" w:right="0" w:hanging="0"/>
              <w:jc w:val="center"/>
              <w:rPr/>
            </w:pPr>
            <w:r>
              <w:rPr/>
              <w:t> </w:t>
            </w:r>
          </w:p>
        </w:tc>
        <w:tc>
          <w:tcPr>
            <w:tcW w:w="6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center"/>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5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Gross profit and gross margin:</w:t>
            </w:r>
          </w:p>
        </w:tc>
        <w:tc>
          <w:tcPr>
            <w:tcW w:w="146" w:type="dxa"/>
            <w:tcBorders/>
            <w:shd w:fill="auto" w:val="clear"/>
            <w:vAlign w:val="center"/>
          </w:tcPr>
          <w:p>
            <w:pPr>
              <w:pStyle w:val="TableContents"/>
              <w:spacing w:before="0" w:after="0"/>
              <w:ind w:left="0" w:right="0" w:hanging="0"/>
              <w:jc w:val="left"/>
              <w:rPr/>
            </w:pPr>
            <w:r>
              <w:rPr/>
              <w:t> </w:t>
            </w:r>
          </w:p>
        </w:tc>
        <w:tc>
          <w:tcPr>
            <w:tcW w:w="671" w:type="dxa"/>
            <w:gridSpan w:val="2"/>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67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65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right"/>
              <w:rPr/>
            </w:pPr>
            <w:r>
              <w:rPr/>
              <w:t> </w:t>
            </w:r>
          </w:p>
        </w:tc>
        <w:tc>
          <w:tcPr>
            <w:tcW w:w="501" w:type="dxa"/>
            <w:tcBorders/>
            <w:shd w:fill="auto" w:val="clear"/>
            <w:vAlign w:val="center"/>
          </w:tcPr>
          <w:p>
            <w:pPr>
              <w:pStyle w:val="TableContents"/>
              <w:spacing w:before="0" w:after="0"/>
              <w:ind w:left="0" w:right="0" w:firstLine="200"/>
              <w:jc w:val="right"/>
              <w:rPr/>
            </w:pPr>
            <w:r>
              <w:rPr/>
              <w:t> </w:t>
            </w:r>
          </w:p>
        </w:tc>
      </w:tr>
      <w:tr>
        <w:trPr/>
        <w:tc>
          <w:tcPr>
            <w:tcW w:w="23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Gross profit</w:t>
            </w:r>
          </w:p>
        </w:tc>
        <w:tc>
          <w:tcPr>
            <w:tcW w:w="146"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6,428</w:t>
            </w:r>
          </w:p>
        </w:tc>
        <w:tc>
          <w:tcPr>
            <w:tcW w:w="149"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4,442</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w:t>
            </w:r>
          </w:p>
        </w:tc>
        <w:tc>
          <w:tcPr>
            <w:tcW w:w="50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3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Gross margin</w:t>
            </w:r>
          </w:p>
        </w:tc>
        <w:tc>
          <w:tcPr>
            <w:tcW w:w="146"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Times New Roman;serif" w:hAnsi="Times New Roman;serif"/>
                <w:b w:val="false"/>
                <w:i/>
                <w:sz w:val="18"/>
              </w:rPr>
            </w:pPr>
            <w:r>
              <w:rPr>
                <w:rFonts w:ascii="Times New Roman;serif" w:hAnsi="Times New Roman;serif"/>
                <w:b w:val="false"/>
                <w:i/>
                <w:sz w:val="18"/>
              </w:rPr>
              <w:t>19.2</w:t>
            </w:r>
          </w:p>
        </w:tc>
        <w:tc>
          <w:tcPr>
            <w:tcW w:w="149"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9"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Times New Roman;serif" w:hAnsi="Times New Roman;serif"/>
                <w:b w:val="false"/>
                <w:i/>
                <w:sz w:val="18"/>
              </w:rPr>
            </w:pPr>
            <w:r>
              <w:rPr>
                <w:rFonts w:ascii="Times New Roman;serif" w:hAnsi="Times New Roman;serif"/>
                <w:b w:val="false"/>
                <w:i/>
                <w:sz w:val="18"/>
              </w:rPr>
              <w:t>14.5</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5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right"/>
              <w:rPr/>
            </w:pPr>
            <w:r>
              <w:rPr/>
              <w:t> </w:t>
            </w:r>
          </w:p>
        </w:tc>
        <w:tc>
          <w:tcPr>
            <w:tcW w:w="501" w:type="dxa"/>
            <w:tcBorders/>
            <w:shd w:fill="auto" w:val="clear"/>
            <w:vAlign w:val="center"/>
          </w:tcPr>
          <w:p>
            <w:pPr>
              <w:pStyle w:val="TableContents"/>
              <w:spacing w:before="0" w:after="0"/>
              <w:ind w:left="0" w:right="0" w:hanging="0"/>
              <w:jc w:val="right"/>
              <w:rPr/>
            </w:pPr>
            <w:r>
              <w:rPr/>
              <w:t> </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Gross profit increased by $2.0 million or 45% for the three months ended March 31, 2023 as compared to the same period in the prior year. Gross margin improved by 4.7 percentage points for the three months ended March 31, 2023, as compared to the same period in the prior year. This improvement in gross profit and gross margin was primarily driven by a higher average selling price for consoles and the impact of cost reduction activities. Such improvement was partially offset by lower service gross margin mainly due to the expiration of certain lease agreements.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center"/>
        <w:rPr/>
      </w:pPr>
      <w:r>
        <w:rPr/>
        <w:t> </w:t>
      </w:r>
    </w:p>
    <w:p>
      <w:pPr>
        <w:pStyle w:val="TextBody"/>
        <w:spacing w:before="240" w:after="12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tbl>
      <w:tblPr>
        <w:tblW w:w="6267" w:type="dxa"/>
        <w:jc w:val="left"/>
        <w:tblInd w:w="0" w:type="dxa"/>
        <w:tblCellMar>
          <w:top w:w="28" w:type="dxa"/>
          <w:left w:w="28" w:type="dxa"/>
          <w:bottom w:w="28" w:type="dxa"/>
          <w:right w:w="28" w:type="dxa"/>
        </w:tblCellMar>
      </w:tblPr>
      <w:tblGrid>
        <w:gridCol w:w="2011"/>
        <w:gridCol w:w="146"/>
        <w:gridCol w:w="196"/>
        <w:gridCol w:w="601"/>
        <w:gridCol w:w="146"/>
        <w:gridCol w:w="146"/>
        <w:gridCol w:w="196"/>
        <w:gridCol w:w="601"/>
        <w:gridCol w:w="146"/>
        <w:gridCol w:w="146"/>
        <w:gridCol w:w="196"/>
        <w:gridCol w:w="511"/>
        <w:gridCol w:w="146"/>
        <w:gridCol w:w="146"/>
        <w:gridCol w:w="146"/>
        <w:gridCol w:w="286"/>
        <w:gridCol w:w="501"/>
      </w:tblGrid>
      <w:tr>
        <w:trPr/>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r>
      <w:tr>
        <w:trPr/>
        <w:tc>
          <w:tcPr>
            <w:tcW w:w="20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3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5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val="false"/>
                <w:i/>
                <w:sz w:val="18"/>
                <w:u w:val="single"/>
              </w:rPr>
            </w:pPr>
            <w:r>
              <w:rPr>
                <w:rFonts w:ascii="Times New Roman;serif" w:hAnsi="Times New Roman;serif"/>
                <w:b w:val="false"/>
                <w:i/>
                <w:sz w:val="18"/>
                <w:u w:val="single"/>
              </w:rPr>
              <w:t>(dollars in thousands)</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5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right"/>
              <w:rPr/>
            </w:pPr>
            <w:r>
              <w:rPr/>
              <w:t> </w:t>
            </w:r>
          </w:p>
        </w:tc>
        <w:tc>
          <w:tcPr>
            <w:tcW w:w="501" w:type="dxa"/>
            <w:tcBorders/>
            <w:shd w:fill="auto" w:val="clear"/>
            <w:vAlign w:val="center"/>
          </w:tcPr>
          <w:p>
            <w:pPr>
              <w:pStyle w:val="TableContents"/>
              <w:spacing w:before="0" w:after="0"/>
              <w:ind w:left="0" w:right="0" w:firstLine="200"/>
              <w:jc w:val="right"/>
              <w:rPr/>
            </w:pPr>
            <w:r>
              <w:rPr/>
              <w:t> </w:t>
            </w:r>
          </w:p>
        </w:tc>
      </w:tr>
      <w:tr>
        <w:trPr/>
        <w:tc>
          <w:tcPr>
            <w:tcW w:w="20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13,793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10,831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w:t>
            </w:r>
          </w:p>
        </w:tc>
        <w:tc>
          <w:tcPr>
            <w:tcW w:w="50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0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Sales and marketing</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24,333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20,377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w:t>
            </w:r>
          </w:p>
        </w:tc>
        <w:tc>
          <w:tcPr>
            <w:tcW w:w="50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0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11,787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w:t>
            </w:r>
          </w:p>
        </w:tc>
        <w:tc>
          <w:tcPr>
            <w:tcW w:w="5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49,913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40,917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8,996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w:t>
            </w:r>
          </w:p>
        </w:tc>
        <w:tc>
          <w:tcPr>
            <w:tcW w:w="5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expenses increased by $3.0 million or 27% for the three months ended March 31, 2023, as compared to the same period in the prior year. This increase was primarily due to higher headcount, resulting in increased fixed and share-based compensation expense, increased supplies and materials costs, and increased infrastructure costs, partially offset by lower consulting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Sales and marketing expenses increased by $4.0 million or 19% for the three months ended March 31, 2023 as compared to the same period in the prior year. The increase was primarily driven by increased fixed and share-based compensation expense, higher freight expense, increased travel expense due to the timing of annual sales and service meetings which occurred in the first quarter of current year, and increased infrastructure costs to support our growth.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increased by $2.1 million or 21% for the three months ended March 31, 2023 as compared to the same period in the prior year. The increase was primarily driven by increased fixed and share-based compensation expense, infrastructure costs, and consulting expenses.</w:t>
      </w:r>
    </w:p>
    <w:p>
      <w:pPr>
        <w:pStyle w:val="TextBody"/>
        <w:spacing w:before="240" w:after="120"/>
        <w:jc w:val="left"/>
        <w:rPr>
          <w:rFonts w:ascii="Times New Roman;serif" w:hAnsi="Times New Roman;serif"/>
          <w:b/>
          <w:i/>
          <w:sz w:val="20"/>
        </w:rPr>
      </w:pPr>
      <w:r>
        <w:rPr>
          <w:rFonts w:ascii="Times New Roman;serif" w:hAnsi="Times New Roman;serif"/>
          <w:b/>
          <w:i/>
          <w:sz w:val="20"/>
        </w:rPr>
        <w:t>Other Income (Expense), Net</w:t>
      </w:r>
    </w:p>
    <w:tbl>
      <w:tblPr>
        <w:tblW w:w="7210" w:type="dxa"/>
        <w:jc w:val="left"/>
        <w:tblInd w:w="0" w:type="dxa"/>
        <w:tblCellMar>
          <w:top w:w="28" w:type="dxa"/>
          <w:left w:w="28" w:type="dxa"/>
          <w:bottom w:w="28" w:type="dxa"/>
          <w:right w:w="28" w:type="dxa"/>
        </w:tblCellMar>
      </w:tblPr>
      <w:tblGrid>
        <w:gridCol w:w="2761"/>
        <w:gridCol w:w="146"/>
        <w:gridCol w:w="201"/>
        <w:gridCol w:w="586"/>
        <w:gridCol w:w="170"/>
        <w:gridCol w:w="149"/>
        <w:gridCol w:w="201"/>
        <w:gridCol w:w="447"/>
        <w:gridCol w:w="166"/>
        <w:gridCol w:w="146"/>
        <w:gridCol w:w="196"/>
        <w:gridCol w:w="571"/>
        <w:gridCol w:w="166"/>
        <w:gridCol w:w="146"/>
        <w:gridCol w:w="146"/>
        <w:gridCol w:w="511"/>
        <w:gridCol w:w="501"/>
      </w:tblGrid>
      <w:tr>
        <w:trPr/>
        <w:tc>
          <w:tcPr>
            <w:tcW w:w="27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r>
      <w:tr>
        <w:trPr/>
        <w:tc>
          <w:tcPr>
            <w:tcW w:w="27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5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Change</w:t>
            </w:r>
          </w:p>
        </w:tc>
        <w:tc>
          <w:tcPr>
            <w:tcW w:w="5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i/>
                <w:sz w:val="18"/>
                <w:u w:val="single"/>
              </w:rPr>
            </w:pPr>
            <w:r>
              <w:rPr>
                <w:rFonts w:ascii="Times New Roman;serif" w:hAnsi="Times New Roman;serif"/>
                <w:b w:val="false"/>
                <w:i/>
                <w:sz w:val="18"/>
                <w:u w:val="single"/>
              </w:rPr>
              <w:t>(dollars in thousands)</w:t>
            </w:r>
          </w:p>
        </w:tc>
        <w:tc>
          <w:tcPr>
            <w:tcW w:w="146" w:type="dxa"/>
            <w:tcBorders/>
            <w:shd w:fill="auto" w:val="clear"/>
            <w:vAlign w:val="center"/>
          </w:tcPr>
          <w:p>
            <w:pPr>
              <w:pStyle w:val="TableContents"/>
              <w:spacing w:before="0" w:after="0"/>
              <w:ind w:left="0" w:right="0" w:hanging="0"/>
              <w:jc w:val="center"/>
              <w:rPr/>
            </w:pPr>
            <w:r>
              <w:rPr/>
              <w:t> </w:t>
            </w:r>
          </w:p>
        </w:tc>
        <w:tc>
          <w:tcPr>
            <w:tcW w:w="7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9" w:type="dxa"/>
            <w:tcBorders/>
            <w:shd w:fill="auto" w:val="clear"/>
            <w:vAlign w:val="center"/>
          </w:tcPr>
          <w:p>
            <w:pPr>
              <w:pStyle w:val="TableContents"/>
              <w:spacing w:before="0" w:after="0"/>
              <w:ind w:left="0" w:right="0" w:hanging="0"/>
              <w:jc w:val="center"/>
              <w:rPr/>
            </w:pPr>
            <w:r>
              <w:rPr/>
              <w:t> </w:t>
            </w:r>
          </w:p>
        </w:tc>
        <w:tc>
          <w:tcPr>
            <w:tcW w:w="64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w:t>
            </w:r>
          </w:p>
        </w:tc>
        <w:tc>
          <w:tcPr>
            <w:tcW w:w="5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income (expenses), net:</w:t>
            </w:r>
          </w:p>
        </w:tc>
        <w:tc>
          <w:tcPr>
            <w:tcW w:w="146" w:type="dxa"/>
            <w:tcBorders/>
            <w:shd w:fill="auto" w:val="clear"/>
            <w:vAlign w:val="center"/>
          </w:tcPr>
          <w:p>
            <w:pPr>
              <w:pStyle w:val="TableContents"/>
              <w:spacing w:before="0" w:after="0"/>
              <w:ind w:left="0" w:right="0" w:hanging="0"/>
              <w:jc w:val="center"/>
              <w:rPr/>
            </w:pPr>
            <w:r>
              <w:rPr/>
              <w:t> </w:t>
            </w:r>
          </w:p>
        </w:tc>
        <w:tc>
          <w:tcPr>
            <w:tcW w:w="787" w:type="dxa"/>
            <w:gridSpan w:val="2"/>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center"/>
              <w:rPr/>
            </w:pPr>
            <w:r>
              <w:rPr/>
              <w:t> </w:t>
            </w:r>
          </w:p>
        </w:tc>
        <w:tc>
          <w:tcPr>
            <w:tcW w:w="149" w:type="dxa"/>
            <w:tcBorders/>
            <w:shd w:fill="auto" w:val="clear"/>
            <w:vAlign w:val="center"/>
          </w:tcPr>
          <w:p>
            <w:pPr>
              <w:pStyle w:val="TableContents"/>
              <w:spacing w:before="0" w:after="0"/>
              <w:ind w:left="0" w:right="0" w:hanging="0"/>
              <w:jc w:val="center"/>
              <w:rPr/>
            </w:pPr>
            <w:r>
              <w:rPr/>
              <w:t> </w:t>
            </w:r>
          </w:p>
        </w:tc>
        <w:tc>
          <w:tcPr>
            <w:tcW w:w="648"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7" w:type="dxa"/>
            <w:gridSpan w:val="2"/>
            <w:tcBorders/>
            <w:shd w:fill="auto" w:val="clear"/>
            <w:vAlign w:val="center"/>
          </w:tcPr>
          <w:p>
            <w:pPr>
              <w:pStyle w:val="TableContents"/>
              <w:spacing w:before="0" w:after="0"/>
              <w:ind w:left="0" w:right="0" w:hanging="0"/>
              <w:jc w:val="center"/>
              <w:rPr/>
            </w:pPr>
            <w:r>
              <w:rPr/>
              <w:t> </w:t>
            </w:r>
          </w:p>
        </w:tc>
        <w:tc>
          <w:tcPr>
            <w:tcW w:w="501" w:type="dxa"/>
            <w:tcBorders/>
            <w:shd w:fill="auto" w:val="clear"/>
            <w:vAlign w:val="center"/>
          </w:tcPr>
          <w:p>
            <w:pPr>
              <w:pStyle w:val="TableContents"/>
              <w:spacing w:before="0" w:after="0"/>
              <w:ind w:left="0" w:right="0" w:hanging="0"/>
              <w:jc w:val="center"/>
              <w:rPr/>
            </w:pPr>
            <w:r>
              <w:rPr/>
              <w:t> </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income and other income, net</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2,648</w:t>
            </w:r>
          </w:p>
        </w:tc>
        <w:tc>
          <w:tcPr>
            <w:tcW w:w="170" w:type="dxa"/>
            <w:tcBorders/>
            <w:shd w:fill="auto" w:val="clear"/>
            <w:vAlign w:val="center"/>
          </w:tcPr>
          <w:p>
            <w:pPr>
              <w:pStyle w:val="TableContents"/>
              <w:spacing w:before="0" w:after="0"/>
              <w:ind w:left="0" w:right="0" w:hanging="0"/>
              <w:jc w:val="left"/>
              <w:rPr/>
            </w:pPr>
            <w:r>
              <w:rPr/>
              <w:t> </w:t>
            </w:r>
          </w:p>
        </w:tc>
        <w:tc>
          <w:tcPr>
            <w:tcW w:w="149"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2,107</w:t>
            </w:r>
          </w:p>
        </w:tc>
        <w:tc>
          <w:tcPr>
            <w:tcW w:w="5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7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(2,942</w:t>
            </w:r>
          </w:p>
        </w:tc>
        <w:tc>
          <w:tcPr>
            <w:tcW w:w="17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9" w:type="dxa"/>
            <w:tcBorders/>
            <w:shd w:fill="auto" w:val="clear"/>
            <w:vAlign w:val="center"/>
          </w:tcPr>
          <w:p>
            <w:pPr>
              <w:pStyle w:val="TableContents"/>
              <w:spacing w:before="0" w:after="0"/>
              <w:ind w:left="0" w:right="0" w:hanging="0"/>
              <w:jc w:val="left"/>
              <w:rPr/>
            </w:pPr>
            <w:r>
              <w:rPr/>
              <w:t> </w:t>
            </w:r>
          </w:p>
        </w:tc>
        <w:tc>
          <w:tcPr>
            <w:tcW w:w="201" w:type="dxa"/>
            <w:tcBorders/>
            <w:shd w:fill="auto" w:val="clear"/>
            <w:vAlign w:val="center"/>
          </w:tcPr>
          <w:p>
            <w:pPr>
              <w:pStyle w:val="TableContents"/>
              <w:spacing w:before="0" w:after="0"/>
              <w:ind w:left="0" w:right="0" w:hanging="0"/>
              <w:jc w:val="left"/>
              <w:rPr/>
            </w:pPr>
            <w:r>
              <w:rPr/>
              <w:t> </w:t>
            </w:r>
          </w:p>
        </w:tc>
        <w:tc>
          <w:tcPr>
            <w:tcW w:w="447"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(2,520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597</w:t>
            </w:r>
          </w:p>
        </w:tc>
        <w:tc>
          <w:tcPr>
            <w:tcW w:w="50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276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other expenses, net</w:t>
            </w:r>
          </w:p>
        </w:tc>
        <w:tc>
          <w:tcPr>
            <w:tcW w:w="146" w:type="dxa"/>
            <w:tcBorders/>
            <w:shd w:fill="auto" w:val="clear"/>
            <w:vAlign w:val="center"/>
          </w:tcPr>
          <w:p>
            <w:pPr>
              <w:pStyle w:val="TableContents"/>
              <w:spacing w:before="0" w:after="0"/>
              <w:ind w:left="0" w:right="0" w:hanging="0"/>
              <w:jc w:val="left"/>
              <w:rPr/>
            </w:pPr>
            <w:r>
              <w:rPr/>
              <w:t> </w:t>
            </w:r>
          </w:p>
        </w:tc>
        <w:tc>
          <w:tcPr>
            <w:tcW w:w="2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8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(294</w:t>
            </w:r>
          </w:p>
        </w:tc>
        <w:tc>
          <w:tcPr>
            <w:tcW w:w="17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9" w:type="dxa"/>
            <w:tcBorders/>
            <w:shd w:fill="auto" w:val="clear"/>
            <w:vAlign w:val="center"/>
          </w:tcPr>
          <w:p>
            <w:pPr>
              <w:pStyle w:val="TableContents"/>
              <w:spacing w:before="0" w:after="0"/>
              <w:ind w:left="0" w:right="0" w:hanging="0"/>
              <w:jc w:val="left"/>
              <w:rPr/>
            </w:pPr>
            <w:r>
              <w:rPr/>
              <w:t> </w:t>
            </w:r>
          </w:p>
        </w:tc>
        <w:tc>
          <w:tcPr>
            <w:tcW w:w="2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44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(302</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w:t>
            </w:r>
          </w:p>
        </w:tc>
        <w:tc>
          <w:tcPr>
            <w:tcW w:w="50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The increase in interest income and other income, net for the three months ended March 31, 2023 as compared to the same period in the prior year was driven by higher interest rates and a higher average short-term investments balance in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increase in interest expense for the three months ended March 31, 2023 was due to the higher interest expense and outstanding balance under the SLR Term Loan Facility in 2023 as compared to the lower interest expense and outstanding balance under the SVB Term Loan in 2022.</w:t>
      </w:r>
    </w:p>
    <w:p>
      <w:pPr>
        <w:pStyle w:val="TextBody"/>
        <w:spacing w:before="24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120" w:after="0"/>
        <w:jc w:val="left"/>
        <w:rPr>
          <w:rFonts w:ascii="Times New Roman;serif" w:hAnsi="Times New Roman;serif"/>
          <w:b/>
          <w:i/>
          <w:sz w:val="20"/>
        </w:rPr>
      </w:pPr>
      <w:r>
        <w:rPr>
          <w:rFonts w:ascii="Times New Roman;serif" w:hAnsi="Times New Roman;serif"/>
          <w:b/>
          <w:i/>
          <w:sz w:val="20"/>
        </w:rPr>
        <w:t>Sources of Liquidity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we had cash, cash equivalents and short-term investments of $249.2 million, which are available to fund future operations, and restricted cash of $3.3 million, for a total cash, cash equivalents, restricted cash and short-term investments balance of $252.5 million.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Since our inception, we have incurred net losses and negative cash flows from operations. To date, we have financed our operations and capital expenditures primarily through sales of redeemable convertible preferred stock and common stock, revenue from sales, debt financing, and proceeds from employee exercise of stock options and ESPP purchases.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 including through refinancing our existing debt,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We are subject to covenants limiting or restricting our ability to take specific actions, such as incurring additional debt, making capital expenditures or declaring dividends. We believe that our existing cash, cash equivalents and short-term investments, cash generated from sales, and proceeds received and currently available from the recent debt financing described in Note 7 of the accompanying condensed financial statements above, will be sufficient to meet our anticipated needs for at least the next 12 months from the issuance date of this Quarterly Report.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center"/>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Cash Flows Summary</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following table summarizes the cash flows for each of the periods indicated (in thousands):</w:t>
      </w:r>
    </w:p>
    <w:tbl>
      <w:tblPr>
        <w:tblW w:w="7291" w:type="dxa"/>
        <w:jc w:val="left"/>
        <w:tblInd w:w="0" w:type="dxa"/>
        <w:tblCellMar>
          <w:top w:w="28" w:type="dxa"/>
          <w:left w:w="28" w:type="dxa"/>
          <w:bottom w:w="28" w:type="dxa"/>
          <w:right w:w="28" w:type="dxa"/>
        </w:tblCellMar>
      </w:tblPr>
      <w:tblGrid>
        <w:gridCol w:w="4156"/>
        <w:gridCol w:w="146"/>
        <w:gridCol w:w="249"/>
        <w:gridCol w:w="842"/>
        <w:gridCol w:w="211"/>
        <w:gridCol w:w="185"/>
        <w:gridCol w:w="249"/>
        <w:gridCol w:w="842"/>
        <w:gridCol w:w="411"/>
      </w:tblGrid>
      <w:tr>
        <w:trPr/>
        <w:tc>
          <w:tcPr>
            <w:tcW w:w="4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cash (used in) provided by:</w:t>
            </w:r>
          </w:p>
        </w:tc>
        <w:tc>
          <w:tcPr>
            <w:tcW w:w="146" w:type="dxa"/>
            <w:tcBorders/>
            <w:shd w:fill="auto" w:val="clear"/>
            <w:vAlign w:val="center"/>
          </w:tcPr>
          <w:p>
            <w:pPr>
              <w:pStyle w:val="TableContents"/>
              <w:spacing w:before="0" w:after="0"/>
              <w:ind w:left="0" w:right="0" w:hanging="0"/>
              <w:jc w:val="left"/>
              <w:rPr/>
            </w:pPr>
            <w:r>
              <w:rPr/>
              <w:t> </w:t>
            </w:r>
          </w:p>
        </w:tc>
        <w:tc>
          <w:tcPr>
            <w:tcW w:w="1091"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91"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(44,756</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(38,335</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2,643</w:t>
            </w:r>
          </w:p>
        </w:tc>
        <w:tc>
          <w:tcPr>
            <w:tcW w:w="211"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4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(33,390</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415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5,277</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3,723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(36,836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(68,002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spacing w:before="240" w:after="0"/>
        <w:jc w:val="left"/>
        <w:rPr>
          <w:rFonts w:ascii="Times New Roman;serif" w:hAnsi="Times New Roman;serif"/>
          <w:b/>
          <w:i/>
          <w:sz w:val="20"/>
        </w:rPr>
      </w:pPr>
      <w:r>
        <w:rPr>
          <w:rFonts w:ascii="Times New Roman;serif" w:hAnsi="Times New Roman;serif"/>
          <w:b/>
          <w:i/>
          <w:sz w:val="20"/>
        </w:rPr>
        <w:t>Operating Activities</w:t>
      </w:r>
    </w:p>
    <w:p>
      <w:pPr>
        <w:pStyle w:val="TextBody"/>
        <w:spacing w:before="120" w:after="0"/>
        <w:jc w:val="left"/>
        <w:rPr>
          <w:rFonts w:ascii="Times New Roman" w:hAnsi="Times New Roman"/>
          <w:sz w:val="20"/>
        </w:rPr>
      </w:pPr>
      <w:r>
        <w:rPr>
          <w:rFonts w:ascii="Times New Roman;serif" w:hAnsi="Times New Roman;serif"/>
          <w:b w:val="false"/>
          <w:sz w:val="20"/>
        </w:rPr>
        <w:t>The net cash used in operating activities of $44.8 million for the three months ended March 31, 2023 was due to a net loss of $44.0 million, the</w:t>
      </w:r>
      <w:r>
        <w:rPr>
          <w:rFonts w:ascii="Times New Roman" w:hAnsi="Times New Roman"/>
          <w:sz w:val="20"/>
        </w:rPr>
        <w:t xml:space="preserve"> </w:t>
      </w:r>
      <w:r>
        <w:rPr>
          <w:rFonts w:ascii="Times New Roman;serif" w:hAnsi="Times New Roman;serif"/>
          <w:b w:val="false"/>
          <w:sz w:val="20"/>
        </w:rPr>
        <w:t>amortization of premiums on investments of $1.6 million and a net cash outflow from the change in our operating assets and liabilities of $10.8 million, which were adjusted by stock-based compensation expense of $8.5 million, depreciation and amortization of $1.4 million, provision for inventories of $0.9 million, non-cash interest expense of $0.5 million, and non-cash lease expense of $0.3 million. The net cash outflow from operating assets and liabilities was primarily driven by a decrease in accrued compensation and related benefits primarily due to payments of 2022 annual bonus, an increase in accounts receivable resulting from the timing of collection, and a decrease in accrued expenses and other current liabilities due to timing of vendor payments. The net cash outflow from operating assets and liabilities was partially offset by a decrease in inventories as a result of the timing of inventory purchases, and a decrease in accounts payable due to timing of vendor payments.</w:t>
      </w:r>
    </w:p>
    <w:p>
      <w:pPr>
        <w:pStyle w:val="TextBody"/>
        <w:spacing w:before="240" w:after="0"/>
        <w:jc w:val="left"/>
        <w:rPr>
          <w:rFonts w:ascii="Times New Roman;serif" w:hAnsi="Times New Roman;serif"/>
          <w:b/>
          <w:i/>
          <w:sz w:val="20"/>
        </w:rPr>
      </w:pPr>
      <w:r>
        <w:rPr>
          <w:rFonts w:ascii="Times New Roman;serif" w:hAnsi="Times New Roman;serif"/>
          <w:b/>
          <w:i/>
          <w:sz w:val="20"/>
        </w:rPr>
        <w:t>Investing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net cash provided by investing activities of $2.6 million for the three months ended March 31, 2023 was due to the maturities of short-term investment securities of $71.6 million, which was partially offset by the purchases of short-term investment securities of $68.1 million and the purchases of property and equipment of $0.8 million.</w:t>
      </w:r>
    </w:p>
    <w:p>
      <w:pPr>
        <w:pStyle w:val="TextBody"/>
        <w:spacing w:before="240" w:after="0"/>
        <w:jc w:val="left"/>
        <w:rPr>
          <w:rFonts w:ascii="Times New Roman;serif" w:hAnsi="Times New Roman;serif"/>
          <w:b/>
          <w:i/>
          <w:sz w:val="20"/>
        </w:rPr>
      </w:pPr>
      <w:r>
        <w:rPr>
          <w:rFonts w:ascii="Times New Roman;serif" w:hAnsi="Times New Roman;serif"/>
          <w:b/>
          <w:i/>
          <w:sz w:val="20"/>
        </w:rPr>
        <w:t>Financing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net cash provided by financing activities of $5.3 million for the three months ended March 31, 2023 was due to the proceeds from employee exercises of stock options and ESPP purchases.</w:t>
      </w:r>
    </w:p>
    <w:p>
      <w:pPr>
        <w:pStyle w:val="TextBody"/>
        <w:spacing w:before="24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before="120" w:after="0"/>
        <w:jc w:val="left"/>
        <w:rPr>
          <w:rFonts w:ascii="Times New Roman" w:hAnsi="Times New Roman"/>
          <w:sz w:val="20"/>
        </w:rPr>
      </w:pPr>
      <w:r>
        <w:rPr>
          <w:rFonts w:ascii="Times New Roman;serif" w:hAnsi="Times New Roman;serif"/>
          <w:b w:val="false"/>
          <w:sz w:val="20"/>
        </w:rPr>
        <w:t>There have been no new or significant changes in our critical accounting policies and estimates as compared to the critical accounting policies and estimates disclosed in the section titled “Management’s Discussion and Analysis of Financial Condition and Results of Operations” included in our 2022 Annual Report.</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Recoupment Policy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April 2023, we adopted a recoupment (or “clawback”) policy that applies to incentive compensation paid to current and certain former executive officers that was based on incorrect financial performance measures. Under the policy, if we are required to prepare an accounting restatement due to the material noncompliance of any financial reporting requirement under applicable securities laws, the Compensation Committee of our Board of Directors is required to cause us to recoup from each executive officer who was employed during the three preceding fiscal years the excess of the incentive compensation received by the executive officer during such three-year period, based on the erroneous financial information, over the incentive compensation that would have been received by the executive if it had been calculated based on the restated financial information. The policy is intended to comply with the requirements of Securities and Exchange Commission rules and Nasdaq Stock Market (Nasdaq) listing standards implementing Section 954 of the Dodd-Frank Wall Street Reform and Consumer Protection Act of 2010, and will be amended to the extent required to reflect the final Nasdaq listing standards once they are issued.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center"/>
        <w:rPr/>
      </w:pPr>
      <w:r>
        <w:rPr/>
        <w:t> </w:t>
      </w:r>
    </w:p>
    <w:p>
      <w:pPr>
        <w:pStyle w:val="TextBody"/>
        <w:spacing w:before="240" w:after="0"/>
        <w:jc w:val="left"/>
        <w:rPr>
          <w:rFonts w:ascii="Times New Roman;serif" w:hAnsi="Times New Roman;serif"/>
          <w:b/>
          <w:sz w:val="20"/>
        </w:rPr>
      </w:pPr>
      <w:bookmarkStart w:id="11" w:name="item_3_quantitative_qualitative_disclosu"/>
      <w:bookmarkEnd w:id="11"/>
      <w:r>
        <w:rPr>
          <w:rFonts w:ascii="Times New Roman;serif" w:hAnsi="Times New Roman;serif"/>
          <w:b/>
          <w:sz w:val="20"/>
        </w:rPr>
        <w:t>Item 3. Quantitative and Qualitative Disclosures About Market Risk</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market risks related to interest rate and foreign currency exchange rates are described in Part II Item 7A of our 2022 Annual Report. Our exposure to market risks has not changed materially since December 31, 2022.</w:t>
      </w:r>
    </w:p>
    <w:p>
      <w:pPr>
        <w:pStyle w:val="TextBody"/>
        <w:spacing w:before="240" w:after="0"/>
        <w:jc w:val="left"/>
        <w:rPr>
          <w:rFonts w:ascii="Times New Roman" w:hAnsi="Times New Roman"/>
          <w:sz w:val="20"/>
        </w:rPr>
      </w:pPr>
      <w:bookmarkStart w:id="12" w:name="item_4_controls_procedures"/>
      <w:bookmarkEnd w:id="12"/>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spacing w:before="12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our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end of the period covered by this Quarterly Report.</w:t>
      </w:r>
    </w:p>
    <w:p>
      <w:pPr>
        <w:pStyle w:val="TextBody"/>
        <w:spacing w:before="24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center"/>
        <w:rPr/>
      </w:pPr>
      <w:r>
        <w:rPr/>
        <w:t> </w:t>
      </w:r>
    </w:p>
    <w:p>
      <w:pPr>
        <w:pStyle w:val="TextBody"/>
        <w:spacing w:before="0" w:after="0"/>
        <w:jc w:val="center"/>
        <w:rPr>
          <w:rFonts w:ascii="Times New Roman;serif" w:hAnsi="Times New Roman;serif"/>
          <w:b/>
          <w:sz w:val="20"/>
        </w:rPr>
      </w:pPr>
      <w:bookmarkStart w:id="13" w:name="part_iior_information"/>
      <w:bookmarkEnd w:id="13"/>
      <w:r>
        <w:rPr>
          <w:rFonts w:ascii="Times New Roman;serif" w:hAnsi="Times New Roman;serif"/>
          <w:b/>
          <w:sz w:val="20"/>
        </w:rPr>
        <w:t>PART II—OTHER INFORMATION</w:t>
      </w:r>
    </w:p>
    <w:p>
      <w:pPr>
        <w:pStyle w:val="TextBody"/>
        <w:spacing w:before="240" w:after="0"/>
        <w:jc w:val="left"/>
        <w:rPr>
          <w:rFonts w:ascii="Times New Roman" w:hAnsi="Times New Roman"/>
          <w:sz w:val="20"/>
        </w:rPr>
      </w:pPr>
      <w:bookmarkStart w:id="14" w:name="item_1_legal_proceedings"/>
      <w:bookmarkEnd w:id="14"/>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spacing w:before="240" w:after="0"/>
        <w:jc w:val="left"/>
        <w:rPr>
          <w:rFonts w:ascii="Times New Roman;serif" w:hAnsi="Times New Roman;serif"/>
          <w:b/>
          <w:sz w:val="20"/>
        </w:rPr>
      </w:pPr>
      <w:bookmarkStart w:id="15" w:name="item_1a_risk_factors"/>
      <w:bookmarkEnd w:id="15"/>
      <w:r>
        <w:rPr>
          <w:rFonts w:ascii="Times New Roman;serif" w:hAnsi="Times New Roman;serif"/>
          <w:b/>
          <w:sz w:val="20"/>
        </w:rPr>
        <w:t>Item 1A. Risk Factors.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You should carefully consider the risk factors discussed in Part I, “Item 1A. Risk Factors” in our 2022 Annual Report, which could materially affect our business, financial position, or future results of operations. There have been no material changes to the risk factors described in our 2022 Annual Report. The risks described in our 2022 Annual Report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pStyle w:val="TextBody"/>
        <w:spacing w:before="120" w:after="0"/>
        <w:jc w:val="left"/>
        <w:rPr>
          <w:rFonts w:ascii="Times New Roman" w:hAnsi="Times New Roman"/>
          <w:sz w:val="20"/>
        </w:rPr>
      </w:pPr>
      <w:r>
        <w:rPr>
          <w:rFonts w:ascii="Times New Roman;serif" w:hAnsi="Times New Roman;serif"/>
          <w:b/>
          <w:i/>
          <w:sz w:val="20"/>
        </w:rPr>
        <w:br/>
      </w:r>
      <w:r>
        <w:rPr>
          <w:rFonts w:ascii="Times New Roman" w:hAnsi="Times New Roman"/>
          <w:sz w:val="20"/>
        </w:rPr>
        <w:t> </w:t>
      </w:r>
    </w:p>
    <w:p>
      <w:pPr>
        <w:pStyle w:val="TextBody"/>
        <w:spacing w:before="240" w:after="0"/>
        <w:jc w:val="left"/>
        <w:rPr>
          <w:rFonts w:ascii="Times New Roman" w:hAnsi="Times New Roman"/>
          <w:sz w:val="20"/>
        </w:rPr>
      </w:pPr>
      <w:bookmarkStart w:id="16" w:name="item_2_unregistered_sales_equity_securit"/>
      <w:bookmarkEnd w:id="16"/>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left"/>
        <w:rPr>
          <w:rFonts w:ascii="Times New Roman;serif" w:hAnsi="Times New Roman;serif"/>
          <w:b/>
          <w:sz w:val="20"/>
        </w:rPr>
      </w:pPr>
      <w:bookmarkStart w:id="17" w:name="item_3_defaults_upon_senior_securities"/>
      <w:bookmarkEnd w:id="17"/>
      <w:r>
        <w:rPr>
          <w:rFonts w:ascii="Times New Roman;serif" w:hAnsi="Times New Roman;serif"/>
          <w:b/>
          <w:sz w:val="20"/>
        </w:rPr>
        <w:t>Item 3. Defaults Upon Senior Securities.</w:t>
      </w:r>
    </w:p>
    <w:p>
      <w:pPr>
        <w:pStyle w:val="TextBody"/>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spacing w:before="240" w:after="0"/>
        <w:jc w:val="left"/>
        <w:rPr>
          <w:rFonts w:ascii="Times New Roman;serif" w:hAnsi="Times New Roman;serif"/>
          <w:b/>
          <w:sz w:val="20"/>
        </w:rPr>
      </w:pPr>
      <w:bookmarkStart w:id="18" w:name="item_4_mine_safety_disclosures"/>
      <w:bookmarkEnd w:id="18"/>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left"/>
        <w:rPr>
          <w:rFonts w:ascii="Times New Roman" w:hAnsi="Times New Roman"/>
          <w:sz w:val="20"/>
        </w:rPr>
      </w:pPr>
      <w:bookmarkStart w:id="19" w:name="item_5_or_information"/>
      <w:bookmarkEnd w:id="19"/>
      <w:r>
        <w:rPr>
          <w:rFonts w:ascii="Times New Roman;serif" w:hAnsi="Times New Roman;serif"/>
          <w:b/>
          <w:sz w:val="20"/>
        </w:rPr>
        <w:t>Item 5. Other</w:t>
      </w:r>
      <w:r>
        <w:rPr>
          <w:rFonts w:ascii="Times New Roman" w:hAnsi="Times New Roman"/>
          <w:sz w:val="20"/>
        </w:rPr>
        <w:t xml:space="preserve"> </w:t>
      </w:r>
      <w:r>
        <w:rPr>
          <w:rFonts w:ascii="Times New Roman;serif" w:hAnsi="Times New Roman;serif"/>
          <w:b/>
          <w:sz w:val="20"/>
        </w:rPr>
        <w:t>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center"/>
        <w:rPr/>
      </w:pPr>
      <w:r>
        <w:rPr/>
        <w:t> </w:t>
      </w:r>
    </w:p>
    <w:p>
      <w:pPr>
        <w:pStyle w:val="TextBody"/>
        <w:spacing w:before="0" w:after="0"/>
        <w:jc w:val="left"/>
        <w:rPr>
          <w:rFonts w:ascii="Times New Roman;serif" w:hAnsi="Times New Roman;serif"/>
          <w:b/>
          <w:sz w:val="20"/>
        </w:rPr>
      </w:pPr>
      <w:bookmarkStart w:id="20" w:name="item_6_exhibits"/>
      <w:bookmarkEnd w:id="20"/>
      <w:r>
        <w:rPr>
          <w:rFonts w:ascii="Times New Roman;serif" w:hAnsi="Times New Roman;serif"/>
          <w:b/>
          <w:sz w:val="20"/>
        </w:rPr>
        <w:t>Item 6. Exhibits.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85"/>
        <w:gridCol w:w="146"/>
        <w:gridCol w:w="5480"/>
        <w:gridCol w:w="146"/>
        <w:gridCol w:w="528"/>
        <w:gridCol w:w="146"/>
        <w:gridCol w:w="847"/>
        <w:gridCol w:w="146"/>
        <w:gridCol w:w="631"/>
        <w:gridCol w:w="146"/>
        <w:gridCol w:w="1204"/>
      </w:tblGrid>
      <w:tr>
        <w:trPr/>
        <w:tc>
          <w:tcPr>
            <w:tcW w:w="7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648"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Incorporation by Reference</w:t>
            </w:r>
            <w:r>
              <w:rPr>
                <w:rFonts w:ascii="Times New Roman" w:hAnsi="Times New Roman"/>
                <w:sz w:val="16"/>
              </w:rPr>
              <w:t xml:space="preserve">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146" w:type="dxa"/>
            <w:tcBorders/>
            <w:shd w:fill="auto" w:val="clear"/>
            <w:vAlign w:val="center"/>
          </w:tcPr>
          <w:p>
            <w:pPr>
              <w:pStyle w:val="TableContents"/>
              <w:spacing w:before="0" w:after="0"/>
              <w:ind w:left="0" w:right="0" w:hanging="0"/>
              <w:jc w:val="center"/>
              <w:rPr/>
            </w:pPr>
            <w:r>
              <w:rPr/>
              <w:t> </w:t>
            </w:r>
          </w:p>
        </w:tc>
        <w:tc>
          <w:tcPr>
            <w:tcW w:w="528"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shd w:fill="auto" w:val="clear"/>
            <w:vAlign w:val="center"/>
          </w:tcPr>
          <w:p>
            <w:pPr>
              <w:pStyle w:val="TableContents"/>
              <w:spacing w:before="0" w:after="0"/>
              <w:ind w:left="0" w:right="0" w:hanging="0"/>
              <w:jc w:val="center"/>
              <w:rPr/>
            </w:pPr>
            <w:r>
              <w:rPr/>
              <w:t> </w:t>
            </w:r>
          </w:p>
        </w:tc>
        <w:tc>
          <w:tcPr>
            <w:tcW w:w="847"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File No.</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tc>
        <w:tc>
          <w:tcPr>
            <w:tcW w:w="146" w:type="dxa"/>
            <w:tcBorders/>
            <w:shd w:fill="auto" w:val="clear"/>
            <w:vAlign w:val="center"/>
          </w:tcPr>
          <w:p>
            <w:pPr>
              <w:pStyle w:val="TableContents"/>
              <w:spacing w:before="0" w:after="0"/>
              <w:ind w:left="0" w:right="0" w:hanging="0"/>
              <w:jc w:val="center"/>
              <w:rPr/>
            </w:pPr>
            <w:r>
              <w:rPr/>
              <w:t> </w:t>
            </w:r>
          </w:p>
        </w:tc>
        <w:tc>
          <w:tcPr>
            <w:tcW w:w="1204"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Filing Date</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4" w:type="dxa"/>
            <w:tcBorders/>
            <w:shd w:fill="auto" w:val="clear"/>
            <w:vAlign w:val="center"/>
          </w:tcPr>
          <w:p>
            <w:pPr>
              <w:pStyle w:val="TableContents"/>
              <w:spacing w:before="0" w:after="0"/>
              <w:ind w:left="0" w:right="0" w:hanging="0"/>
              <w:jc w:val="center"/>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Form of Amended and Restated Certificate of Incorporation of Outset Medical, Inc.</w:t>
              </w:r>
            </w:hyperlink>
          </w:p>
        </w:tc>
        <w:tc>
          <w:tcPr>
            <w:tcW w:w="146" w:type="dxa"/>
            <w:tcBorders/>
            <w:shd w:fill="auto" w:val="clear"/>
            <w:vAlign w:val="center"/>
          </w:tcPr>
          <w:p>
            <w:pPr>
              <w:pStyle w:val="TableContents"/>
              <w:spacing w:before="0" w:after="0"/>
              <w:ind w:left="0" w:right="0" w:hanging="0"/>
              <w:jc w:val="center"/>
              <w:rPr/>
            </w:pPr>
            <w:r>
              <w:rPr/>
              <w:t> </w:t>
            </w:r>
          </w:p>
        </w:tc>
        <w:tc>
          <w:tcPr>
            <w:tcW w:w="5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46" w:type="dxa"/>
            <w:tcBorders/>
            <w:shd w:fill="auto" w:val="clear"/>
            <w:vAlign w:val="center"/>
          </w:tcPr>
          <w:p>
            <w:pPr>
              <w:pStyle w:val="TableContents"/>
              <w:spacing w:before="0" w:after="0"/>
              <w:ind w:left="0" w:right="0" w:hanging="0"/>
              <w:jc w:val="center"/>
              <w:rPr/>
            </w:pPr>
            <w:r>
              <w:rPr/>
              <w:t> </w:t>
            </w:r>
          </w:p>
        </w:tc>
        <w:tc>
          <w:tcPr>
            <w:tcW w:w="847"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333-248225</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center"/>
              <w:rPr/>
            </w:pPr>
            <w:r>
              <w:rPr/>
              <w:t> </w:t>
            </w:r>
          </w:p>
        </w:tc>
        <w:tc>
          <w:tcPr>
            <w:tcW w:w="120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September 9, 2020</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4" w:type="dxa"/>
            <w:tcBorders/>
            <w:shd w:fill="auto" w:val="clear"/>
            <w:vAlign w:val="center"/>
          </w:tcPr>
          <w:p>
            <w:pPr>
              <w:pStyle w:val="TableContents"/>
              <w:spacing w:before="0" w:after="0"/>
              <w:ind w:left="0" w:right="0" w:hanging="0"/>
              <w:jc w:val="center"/>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Form of Amended and Restated Bylaws of Outset Medical, Inc.</w:t>
              </w:r>
            </w:hyperlink>
          </w:p>
        </w:tc>
        <w:tc>
          <w:tcPr>
            <w:tcW w:w="146" w:type="dxa"/>
            <w:tcBorders/>
            <w:shd w:fill="auto" w:val="clear"/>
            <w:vAlign w:val="center"/>
          </w:tcPr>
          <w:p>
            <w:pPr>
              <w:pStyle w:val="TableContents"/>
              <w:spacing w:before="0" w:after="0"/>
              <w:ind w:left="0" w:right="0" w:hanging="0"/>
              <w:jc w:val="center"/>
              <w:rPr/>
            </w:pPr>
            <w:r>
              <w:rPr/>
              <w:t> </w:t>
            </w:r>
          </w:p>
        </w:tc>
        <w:tc>
          <w:tcPr>
            <w:tcW w:w="5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46" w:type="dxa"/>
            <w:tcBorders/>
            <w:shd w:fill="auto" w:val="clear"/>
            <w:vAlign w:val="center"/>
          </w:tcPr>
          <w:p>
            <w:pPr>
              <w:pStyle w:val="TableContents"/>
              <w:spacing w:before="0" w:after="0"/>
              <w:ind w:left="0" w:right="0" w:hanging="0"/>
              <w:jc w:val="center"/>
              <w:rPr/>
            </w:pPr>
            <w:r>
              <w:rPr/>
              <w:t> </w:t>
            </w:r>
          </w:p>
        </w:tc>
        <w:tc>
          <w:tcPr>
            <w:tcW w:w="847"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333-248225</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center"/>
              <w:rPr/>
            </w:pPr>
            <w:r>
              <w:rPr/>
              <w:t> </w:t>
            </w:r>
          </w:p>
        </w:tc>
        <w:tc>
          <w:tcPr>
            <w:tcW w:w="120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September 9, 2020</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4" w:type="dxa"/>
            <w:tcBorders/>
            <w:shd w:fill="auto" w:val="clear"/>
            <w:vAlign w:val="center"/>
          </w:tcPr>
          <w:p>
            <w:pPr>
              <w:pStyle w:val="TableContents"/>
              <w:spacing w:before="0" w:after="0"/>
              <w:ind w:left="0" w:right="0" w:hanging="0"/>
              <w:jc w:val="center"/>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Form of Common Stock Certificate</w:t>
              </w:r>
            </w:hyperlink>
          </w:p>
        </w:tc>
        <w:tc>
          <w:tcPr>
            <w:tcW w:w="146" w:type="dxa"/>
            <w:tcBorders/>
            <w:shd w:fill="auto" w:val="clear"/>
            <w:vAlign w:val="center"/>
          </w:tcPr>
          <w:p>
            <w:pPr>
              <w:pStyle w:val="TableContents"/>
              <w:spacing w:before="0" w:after="0"/>
              <w:ind w:left="0" w:right="0" w:hanging="0"/>
              <w:jc w:val="center"/>
              <w:rPr/>
            </w:pPr>
            <w:r>
              <w:rPr/>
              <w:t> </w:t>
            </w:r>
          </w:p>
        </w:tc>
        <w:tc>
          <w:tcPr>
            <w:tcW w:w="5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46" w:type="dxa"/>
            <w:tcBorders/>
            <w:shd w:fill="auto" w:val="clear"/>
            <w:vAlign w:val="center"/>
          </w:tcPr>
          <w:p>
            <w:pPr>
              <w:pStyle w:val="TableContents"/>
              <w:spacing w:before="0" w:after="0"/>
              <w:ind w:left="0" w:right="0" w:hanging="0"/>
              <w:jc w:val="center"/>
              <w:rPr/>
            </w:pPr>
            <w:r>
              <w:rPr/>
              <w:t> </w:t>
            </w:r>
          </w:p>
        </w:tc>
        <w:tc>
          <w:tcPr>
            <w:tcW w:w="847"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333-248225</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vAlign w:val="center"/>
          </w:tcPr>
          <w:p>
            <w:pPr>
              <w:pStyle w:val="TableContents"/>
              <w:spacing w:before="0" w:after="0"/>
              <w:ind w:left="0" w:right="0" w:hanging="0"/>
              <w:jc w:val="center"/>
              <w:rPr/>
            </w:pPr>
            <w:r>
              <w:rPr/>
              <w:t> </w:t>
            </w:r>
          </w:p>
        </w:tc>
        <w:tc>
          <w:tcPr>
            <w:tcW w:w="120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September 9, 2020</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4" w:type="dxa"/>
            <w:tcBorders/>
            <w:shd w:fill="auto" w:val="clear"/>
            <w:vAlign w:val="center"/>
          </w:tcPr>
          <w:p>
            <w:pPr>
              <w:pStyle w:val="TableContents"/>
              <w:spacing w:before="0" w:after="0"/>
              <w:ind w:left="0" w:right="0" w:hanging="0"/>
              <w:jc w:val="center"/>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Amended and Restated Registration Rights Agreement</w:t>
              </w:r>
            </w:hyperlink>
          </w:p>
        </w:tc>
        <w:tc>
          <w:tcPr>
            <w:tcW w:w="146" w:type="dxa"/>
            <w:tcBorders/>
            <w:shd w:fill="auto" w:val="clear"/>
            <w:vAlign w:val="center"/>
          </w:tcPr>
          <w:p>
            <w:pPr>
              <w:pStyle w:val="TableContents"/>
              <w:spacing w:before="0" w:after="0"/>
              <w:ind w:left="0" w:right="0" w:hanging="0"/>
              <w:jc w:val="center"/>
              <w:rPr/>
            </w:pPr>
            <w:r>
              <w:rPr/>
              <w:t> </w:t>
            </w:r>
          </w:p>
        </w:tc>
        <w:tc>
          <w:tcPr>
            <w:tcW w:w="5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146" w:type="dxa"/>
            <w:tcBorders/>
            <w:shd w:fill="auto" w:val="clear"/>
            <w:vAlign w:val="center"/>
          </w:tcPr>
          <w:p>
            <w:pPr>
              <w:pStyle w:val="TableContents"/>
              <w:spacing w:before="0" w:after="0"/>
              <w:ind w:left="0" w:right="0" w:hanging="0"/>
              <w:jc w:val="center"/>
              <w:rPr/>
            </w:pPr>
            <w:r>
              <w:rPr/>
              <w:t> </w:t>
            </w:r>
          </w:p>
        </w:tc>
        <w:tc>
          <w:tcPr>
            <w:tcW w:w="847"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333-248225</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vAlign w:val="center"/>
          </w:tcPr>
          <w:p>
            <w:pPr>
              <w:pStyle w:val="TableContents"/>
              <w:spacing w:before="0" w:after="0"/>
              <w:ind w:left="0" w:right="0" w:hanging="0"/>
              <w:jc w:val="center"/>
              <w:rPr/>
            </w:pPr>
            <w:r>
              <w:rPr/>
              <w:t> </w:t>
            </w:r>
          </w:p>
        </w:tc>
        <w:tc>
          <w:tcPr>
            <w:tcW w:w="120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August 21, 2020</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4" w:type="dxa"/>
            <w:tcBorders/>
            <w:shd w:fill="auto" w:val="clear"/>
            <w:vAlign w:val="center"/>
          </w:tcPr>
          <w:p>
            <w:pPr>
              <w:pStyle w:val="TableContents"/>
              <w:spacing w:before="0" w:after="0"/>
              <w:ind w:left="0" w:right="0" w:hanging="0"/>
              <w:jc w:val="center"/>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6">
              <w:r>
                <w:rPr>
                  <w:rStyle w:val="InternetLink"/>
                  <w:rFonts w:ascii="Times New Roman;serif" w:hAnsi="Times New Roman;serif"/>
                  <w:b w:val="false"/>
                  <w:sz w:val="20"/>
                  <w:u w:val="single"/>
                </w:rPr>
                <w:t>Form of Series A Warrant Agreement #1</w:t>
              </w:r>
            </w:hyperlink>
          </w:p>
        </w:tc>
        <w:tc>
          <w:tcPr>
            <w:tcW w:w="146" w:type="dxa"/>
            <w:tcBorders/>
            <w:shd w:fill="auto" w:val="clear"/>
            <w:vAlign w:val="center"/>
          </w:tcPr>
          <w:p>
            <w:pPr>
              <w:pStyle w:val="TableContents"/>
              <w:spacing w:before="0" w:after="0"/>
              <w:ind w:left="0" w:right="0" w:hanging="0"/>
              <w:jc w:val="center"/>
              <w:rPr/>
            </w:pPr>
            <w:r>
              <w:rPr/>
              <w:t> </w:t>
            </w:r>
          </w:p>
        </w:tc>
        <w:tc>
          <w:tcPr>
            <w:tcW w:w="5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146" w:type="dxa"/>
            <w:tcBorders/>
            <w:shd w:fill="auto" w:val="clear"/>
            <w:vAlign w:val="center"/>
          </w:tcPr>
          <w:p>
            <w:pPr>
              <w:pStyle w:val="TableContents"/>
              <w:spacing w:before="0" w:after="0"/>
              <w:ind w:left="0" w:right="0" w:hanging="0"/>
              <w:jc w:val="center"/>
              <w:rPr/>
            </w:pPr>
            <w:r>
              <w:rPr/>
              <w:t> </w:t>
            </w:r>
          </w:p>
        </w:tc>
        <w:tc>
          <w:tcPr>
            <w:tcW w:w="847"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333-248225</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146" w:type="dxa"/>
            <w:tcBorders/>
            <w:shd w:fill="auto" w:val="clear"/>
            <w:vAlign w:val="center"/>
          </w:tcPr>
          <w:p>
            <w:pPr>
              <w:pStyle w:val="TableContents"/>
              <w:spacing w:before="0" w:after="0"/>
              <w:ind w:left="0" w:right="0" w:hanging="0"/>
              <w:jc w:val="center"/>
              <w:rPr/>
            </w:pPr>
            <w:r>
              <w:rPr/>
              <w:t> </w:t>
            </w:r>
          </w:p>
        </w:tc>
        <w:tc>
          <w:tcPr>
            <w:tcW w:w="120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August 21, 2020</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4" w:type="dxa"/>
            <w:tcBorders/>
            <w:shd w:fill="auto" w:val="clear"/>
            <w:vAlign w:val="center"/>
          </w:tcPr>
          <w:p>
            <w:pPr>
              <w:pStyle w:val="TableContents"/>
              <w:spacing w:before="0" w:after="0"/>
              <w:ind w:left="0" w:right="0" w:hanging="0"/>
              <w:jc w:val="center"/>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7">
              <w:r>
                <w:rPr>
                  <w:rStyle w:val="InternetLink"/>
                  <w:rFonts w:ascii="Times New Roman;serif" w:hAnsi="Times New Roman;serif"/>
                  <w:b w:val="false"/>
                  <w:sz w:val="20"/>
                  <w:u w:val="single"/>
                </w:rPr>
                <w:t>Form of Series A Warrant Agreement #2</w:t>
              </w:r>
            </w:hyperlink>
          </w:p>
        </w:tc>
        <w:tc>
          <w:tcPr>
            <w:tcW w:w="146" w:type="dxa"/>
            <w:tcBorders/>
            <w:shd w:fill="auto" w:val="clear"/>
            <w:vAlign w:val="center"/>
          </w:tcPr>
          <w:p>
            <w:pPr>
              <w:pStyle w:val="TableContents"/>
              <w:spacing w:before="0" w:after="0"/>
              <w:ind w:left="0" w:right="0" w:hanging="0"/>
              <w:jc w:val="center"/>
              <w:rPr/>
            </w:pPr>
            <w:r>
              <w:rPr/>
              <w:t> </w:t>
            </w:r>
          </w:p>
        </w:tc>
        <w:tc>
          <w:tcPr>
            <w:tcW w:w="52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S-1</w:t>
            </w:r>
          </w:p>
        </w:tc>
        <w:tc>
          <w:tcPr>
            <w:tcW w:w="146" w:type="dxa"/>
            <w:tcBorders/>
            <w:shd w:fill="auto" w:val="clear"/>
            <w:vAlign w:val="center"/>
          </w:tcPr>
          <w:p>
            <w:pPr>
              <w:pStyle w:val="TableContents"/>
              <w:spacing w:before="0" w:after="0"/>
              <w:ind w:left="0" w:right="0" w:hanging="0"/>
              <w:jc w:val="center"/>
              <w:rPr/>
            </w:pPr>
            <w:r>
              <w:rPr/>
              <w:t> </w:t>
            </w:r>
          </w:p>
        </w:tc>
        <w:tc>
          <w:tcPr>
            <w:tcW w:w="847"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333-248225</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c>
          <w:tcPr>
            <w:tcW w:w="146" w:type="dxa"/>
            <w:tcBorders/>
            <w:shd w:fill="auto" w:val="clear"/>
            <w:vAlign w:val="center"/>
          </w:tcPr>
          <w:p>
            <w:pPr>
              <w:pStyle w:val="TableContents"/>
              <w:spacing w:before="0" w:after="0"/>
              <w:ind w:left="0" w:right="0" w:hanging="0"/>
              <w:jc w:val="center"/>
              <w:rPr/>
            </w:pPr>
            <w:r>
              <w:rPr/>
              <w:t> </w:t>
            </w:r>
          </w:p>
        </w:tc>
        <w:tc>
          <w:tcPr>
            <w:tcW w:w="120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August 21, 2020</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4" w:type="dxa"/>
            <w:tcBorders/>
            <w:shd w:fill="auto" w:val="clear"/>
            <w:vAlign w:val="center"/>
          </w:tcPr>
          <w:p>
            <w:pPr>
              <w:pStyle w:val="TableContents"/>
              <w:spacing w:before="0" w:after="0"/>
              <w:ind w:left="0" w:right="0" w:hanging="0"/>
              <w:jc w:val="center"/>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om-ex31_1.htm">
              <w:r>
                <w:rPr>
                  <w:rStyle w:val="InternetLink"/>
                  <w:rFonts w:ascii="Times New Roman;serif" w:hAnsi="Times New Roman;serif"/>
                  <w:b w:val="false"/>
                  <w:sz w:val="20"/>
                  <w:u w:val="single"/>
                </w:rPr>
                <w:t>Certification of Principal Executive Officer Pursuant to Rules 13a-14(a) and 15d-14(a) of the Exchange Act of 1934, as adopted pursuant to Section 302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4" w:type="dxa"/>
            <w:tcBorders/>
            <w:shd w:fill="auto" w:val="clear"/>
            <w:vAlign w:val="center"/>
          </w:tcPr>
          <w:p>
            <w:pPr>
              <w:pStyle w:val="TableContents"/>
              <w:spacing w:before="0" w:after="0"/>
              <w:ind w:left="0" w:right="0" w:hanging="0"/>
              <w:jc w:val="left"/>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4" w:type="dxa"/>
            <w:tcBorders/>
            <w:shd w:fill="auto" w:val="clear"/>
            <w:vAlign w:val="center"/>
          </w:tcPr>
          <w:p>
            <w:pPr>
              <w:pStyle w:val="TableContents"/>
              <w:spacing w:before="0" w:after="0"/>
              <w:ind w:left="0" w:right="0" w:hanging="0"/>
              <w:jc w:val="left"/>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om-ex31_2.htm">
              <w:r>
                <w:rPr>
                  <w:rStyle w:val="InternetLink"/>
                  <w:rFonts w:ascii="Times New Roman;serif" w:hAnsi="Times New Roman;serif"/>
                  <w:b w:val="false"/>
                  <w:sz w:val="20"/>
                  <w:u w:val="single"/>
                </w:rPr>
                <w:t>Certification of Principal Financial Officer Pursuant to Rules 13a-14(a) and 15d-14(a) of the Exchange Act of 1934, as adopted pursuant to Section 302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4" w:type="dxa"/>
            <w:tcBorders/>
            <w:shd w:fill="auto" w:val="clear"/>
            <w:vAlign w:val="center"/>
          </w:tcPr>
          <w:p>
            <w:pPr>
              <w:pStyle w:val="TableContents"/>
              <w:spacing w:before="0" w:after="0"/>
              <w:ind w:left="0" w:right="0" w:hanging="0"/>
              <w:jc w:val="left"/>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4" w:type="dxa"/>
            <w:tcBorders/>
            <w:shd w:fill="auto" w:val="clear"/>
            <w:vAlign w:val="center"/>
          </w:tcPr>
          <w:p>
            <w:pPr>
              <w:pStyle w:val="TableContents"/>
              <w:spacing w:before="0" w:after="0"/>
              <w:ind w:left="0" w:right="0" w:hanging="0"/>
              <w:jc w:val="left"/>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om-ex32_1.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w:t>
              </w:r>
            </w:hyperlink>
          </w:p>
        </w:tc>
        <w:tc>
          <w:tcPr>
            <w:tcW w:w="146" w:type="dxa"/>
            <w:tcBorders/>
            <w:shd w:fill="auto" w:val="clear"/>
            <w:vAlign w:val="center"/>
          </w:tcPr>
          <w:p>
            <w:pPr>
              <w:pStyle w:val="TableContents"/>
              <w:spacing w:before="0" w:after="0"/>
              <w:ind w:left="0" w:right="0" w:hanging="0"/>
              <w:jc w:val="lef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4" w:type="dxa"/>
            <w:tcBorders/>
            <w:shd w:fill="auto" w:val="clear"/>
            <w:vAlign w:val="center"/>
          </w:tcPr>
          <w:p>
            <w:pPr>
              <w:pStyle w:val="TableContents"/>
              <w:spacing w:before="0" w:after="0"/>
              <w:ind w:left="0" w:right="0" w:hanging="0"/>
              <w:jc w:val="left"/>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4" w:type="dxa"/>
            <w:tcBorders/>
            <w:shd w:fill="auto" w:val="clear"/>
            <w:vAlign w:val="center"/>
          </w:tcPr>
          <w:p>
            <w:pPr>
              <w:pStyle w:val="TableContents"/>
              <w:spacing w:before="0" w:after="0"/>
              <w:ind w:left="0" w:right="0" w:hanging="0"/>
              <w:jc w:val="left"/>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c>
          <w:tcPr>
            <w:tcW w:w="146" w:type="dxa"/>
            <w:tcBorders/>
            <w:shd w:fill="auto" w:val="clear"/>
            <w:vAlign w:val="center"/>
          </w:tcPr>
          <w:p>
            <w:pPr>
              <w:pStyle w:val="TableContents"/>
              <w:spacing w:before="0" w:after="0"/>
              <w:ind w:left="0" w:right="0" w:hanging="0"/>
              <w:jc w:val="lef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4" w:type="dxa"/>
            <w:tcBorders/>
            <w:shd w:fill="auto" w:val="clear"/>
            <w:vAlign w:val="center"/>
          </w:tcPr>
          <w:p>
            <w:pPr>
              <w:pStyle w:val="TableContents"/>
              <w:spacing w:before="0" w:after="0"/>
              <w:ind w:left="0" w:right="0" w:hanging="0"/>
              <w:jc w:val="left"/>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shd w:fill="auto" w:val="clear"/>
            <w:vAlign w:val="center"/>
          </w:tcPr>
          <w:p>
            <w:pPr>
              <w:pStyle w:val="TableContents"/>
              <w:spacing w:before="0" w:after="0"/>
              <w:ind w:left="0" w:right="0" w:hanging="0"/>
              <w:jc w:val="lef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4" w:type="dxa"/>
            <w:tcBorders/>
            <w:shd w:fill="auto" w:val="clear"/>
            <w:vAlign w:val="center"/>
          </w:tcPr>
          <w:p>
            <w:pPr>
              <w:pStyle w:val="TableContents"/>
              <w:spacing w:before="0" w:after="0"/>
              <w:ind w:left="0" w:right="0" w:hanging="0"/>
              <w:jc w:val="left"/>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4" w:type="dxa"/>
            <w:tcBorders/>
            <w:shd w:fill="auto" w:val="clear"/>
            <w:vAlign w:val="center"/>
          </w:tcPr>
          <w:p>
            <w:pPr>
              <w:pStyle w:val="TableContents"/>
              <w:spacing w:before="0" w:after="0"/>
              <w:ind w:left="0" w:right="0" w:hanging="0"/>
              <w:jc w:val="left"/>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4" w:type="dxa"/>
            <w:tcBorders/>
            <w:shd w:fill="auto" w:val="clear"/>
            <w:vAlign w:val="center"/>
          </w:tcPr>
          <w:p>
            <w:pPr>
              <w:pStyle w:val="TableContents"/>
              <w:spacing w:before="0" w:after="0"/>
              <w:ind w:left="0" w:right="0" w:hanging="0"/>
              <w:jc w:val="left"/>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shd w:fill="auto" w:val="clear"/>
            <w:vAlign w:val="center"/>
          </w:tcPr>
          <w:p>
            <w:pPr>
              <w:pStyle w:val="TableContents"/>
              <w:spacing w:before="0" w:after="0"/>
              <w:ind w:left="0" w:right="0" w:hanging="0"/>
              <w:jc w:val="lef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4" w:type="dxa"/>
            <w:tcBorders/>
            <w:shd w:fill="auto" w:val="clear"/>
            <w:vAlign w:val="center"/>
          </w:tcPr>
          <w:p>
            <w:pPr>
              <w:pStyle w:val="TableContents"/>
              <w:spacing w:before="0" w:after="0"/>
              <w:ind w:left="0" w:right="0" w:hanging="0"/>
              <w:jc w:val="left"/>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shd w:fill="auto" w:val="clear"/>
            <w:vAlign w:val="center"/>
          </w:tcPr>
          <w:p>
            <w:pPr>
              <w:pStyle w:val="TableContents"/>
              <w:spacing w:before="0" w:after="0"/>
              <w:ind w:left="0" w:right="0" w:hanging="0"/>
              <w:jc w:val="lef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4" w:type="dxa"/>
            <w:tcBorders/>
            <w:shd w:fill="auto" w:val="clear"/>
            <w:vAlign w:val="center"/>
          </w:tcPr>
          <w:p>
            <w:pPr>
              <w:pStyle w:val="TableContents"/>
              <w:spacing w:before="0" w:after="0"/>
              <w:ind w:left="0" w:right="0" w:hanging="0"/>
              <w:jc w:val="left"/>
              <w:rPr/>
            </w:pPr>
            <w:r>
              <w:rPr/>
              <w:t> </w:t>
            </w:r>
          </w:p>
        </w:tc>
      </w:tr>
      <w:tr>
        <w:trPr/>
        <w:tc>
          <w:tcPr>
            <w:tcW w:w="78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48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Cover Page Interactive Data File (formatted as inline XBRL with applicable taxonomy extension information contained in Exhibits 101)</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52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4"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Portions of the exhibit have been or will be excluded because it is both not material and is the type of information that the registrant treats as private or confidential.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center"/>
        <w:rPr/>
      </w:pPr>
      <w:r>
        <w:rPr/>
        <w:t> </w:t>
      </w:r>
    </w:p>
    <w:p>
      <w:pPr>
        <w:pStyle w:val="TextBody"/>
        <w:spacing w:before="0" w:after="0"/>
        <w:jc w:val="center"/>
        <w:rPr>
          <w:rFonts w:ascii="Times New Roman;serif" w:hAnsi="Times New Roman;serif"/>
          <w:b/>
          <w:sz w:val="20"/>
        </w:rPr>
      </w:pPr>
      <w:bookmarkStart w:id="21" w:name="signatures"/>
      <w:bookmarkEnd w:id="21"/>
      <w:r>
        <w:rPr>
          <w:rFonts w:ascii="Times New Roman;serif" w:hAnsi="Times New Roman;serif"/>
          <w:b/>
          <w:sz w:val="20"/>
        </w:rPr>
        <w:t>SIGNATURES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6022" w:type="dxa"/>
        <w:jc w:val="left"/>
        <w:tblInd w:w="0" w:type="dxa"/>
        <w:tblCellMar>
          <w:top w:w="28" w:type="dxa"/>
          <w:left w:w="28" w:type="dxa"/>
          <w:bottom w:w="28" w:type="dxa"/>
          <w:right w:w="28" w:type="dxa"/>
        </w:tblCellMar>
      </w:tblPr>
      <w:tblGrid>
        <w:gridCol w:w="1636"/>
        <w:gridCol w:w="109"/>
        <w:gridCol w:w="406"/>
        <w:gridCol w:w="387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87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27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Outset Medical, Inc.</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87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3,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7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Leslie Trigg</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87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Leslie Trigg</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87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Principal Executive Officer</w:t>
            </w:r>
            <w:r>
              <w:rPr>
                <w:rFonts w:ascii="Times New Roman;serif" w:hAnsi="Times New Roman;serif"/>
                <w:b w:val="false"/>
                <w:sz w:val="20"/>
              </w:rPr>
              <w:t>)</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87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3,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87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Nabeel Ahmed</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87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Nabeel Ahmed</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87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Principal Financial and Accounting Officer</w:t>
            </w: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r>
        <w:br w:type="page"/>
      </w:r>
    </w:p>
    <w:p>
      <w:pPr>
        <w:pStyle w:val="TextBody"/>
        <w:spacing w:before="0" w:after="240"/>
        <w:jc w:val="right"/>
        <w:rPr>
          <w:rFonts w:ascii="Times New Roman;serif" w:hAnsi="Times New Roman;serif"/>
          <w:b/>
          <w:sz w:val="20"/>
        </w:rPr>
      </w:pPr>
      <w:bookmarkStart w:id="22" w:name="om-ex31_1.htm"/>
      <w:bookmarkStart w:id="23" w:name="ksomex31_1"/>
      <w:bookmarkEnd w:id="22"/>
      <w:bookmarkEnd w:id="23"/>
      <w:r>
        <w:rPr>
          <w:rFonts w:ascii="Times New Roman;serif" w:hAnsi="Times New Roman;serif"/>
          <w:b/>
          <w:sz w:val="20"/>
        </w:rPr>
        <w:t>Exhibit 31.1</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I, Leslie Trigg, certify that:</w:t>
      </w:r>
    </w:p>
    <w:p>
      <w:pPr>
        <w:pStyle w:val="TextBody"/>
        <w:spacing w:before="0" w:after="200"/>
        <w:jc w:val="both"/>
        <w:rPr>
          <w:rFonts w:ascii="Times New Roman" w:hAnsi="Times New Roman"/>
          <w:b w:val="false"/>
          <w:sz w:val="20"/>
        </w:rPr>
      </w:pPr>
      <w:r>
        <w:rPr>
          <w:rFonts w:ascii="Times New Roman" w:hAnsi="Times New Roman"/>
          <w:b w:val="false"/>
          <w:sz w:val="20"/>
        </w:rPr>
        <w:t>1.</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I have reviewed this Quarterly Report on Form 10-Q of Outset Medical, Inc.;</w:t>
      </w:r>
    </w:p>
    <w:p>
      <w:pPr>
        <w:pStyle w:val="TextBody"/>
        <w:spacing w:before="0" w:after="200"/>
        <w:jc w:val="both"/>
        <w:rPr>
          <w:rFonts w:ascii="Times New Roman" w:hAnsi="Times New Roman"/>
          <w:b w:val="false"/>
          <w:sz w:val="20"/>
        </w:rPr>
      </w:pPr>
      <w:r>
        <w:rPr>
          <w:rFonts w:ascii="Times New Roman" w:hAnsi="Times New Roman"/>
          <w:b w:val="false"/>
          <w:sz w:val="20"/>
        </w:rPr>
        <w:t>2.</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200"/>
        <w:jc w:val="both"/>
        <w:rPr>
          <w:rFonts w:ascii="Times New Roman" w:hAnsi="Times New Roman"/>
          <w:b w:val="false"/>
          <w:sz w:val="20"/>
        </w:rPr>
      </w:pPr>
      <w:r>
        <w:rPr>
          <w:rFonts w:ascii="Times New Roman" w:hAnsi="Times New Roman"/>
          <w:b w:val="false"/>
          <w:sz w:val="20"/>
        </w:rPr>
        <w:t>3.</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200"/>
        <w:jc w:val="both"/>
        <w:rPr>
          <w:rFonts w:ascii="Times New Roman" w:hAnsi="Times New Roman"/>
          <w:b w:val="false"/>
          <w:sz w:val="20"/>
        </w:rPr>
      </w:pPr>
      <w:r>
        <w:rPr>
          <w:rFonts w:ascii="Times New Roman" w:hAnsi="Times New Roman"/>
          <w:b w:val="false"/>
          <w:sz w:val="20"/>
        </w:rPr>
        <w:t>4.</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200"/>
        <w:jc w:val="both"/>
        <w:rPr>
          <w:rFonts w:ascii="Times New Roman" w:hAnsi="Times New Roman"/>
          <w:b w:val="false"/>
          <w:sz w:val="20"/>
        </w:rPr>
      </w:pPr>
      <w:r>
        <w:rPr>
          <w:rFonts w:ascii="Times New Roman" w:hAnsi="Times New Roman"/>
          <w:b w:val="false"/>
          <w:sz w:val="20"/>
        </w:rPr>
        <w:t>(a)</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200"/>
        <w:jc w:val="both"/>
        <w:rPr>
          <w:rFonts w:ascii="Times New Roman" w:hAnsi="Times New Roman"/>
          <w:b w:val="false"/>
          <w:sz w:val="20"/>
        </w:rPr>
      </w:pPr>
      <w:r>
        <w:rPr>
          <w:rFonts w:ascii="Times New Roman" w:hAnsi="Times New Roman"/>
          <w:b w:val="false"/>
          <w:sz w:val="20"/>
        </w:rPr>
        <w:t>(b)</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200"/>
        <w:jc w:val="both"/>
        <w:rPr>
          <w:rFonts w:ascii="Times New Roman" w:hAnsi="Times New Roman"/>
          <w:b w:val="false"/>
          <w:sz w:val="20"/>
        </w:rPr>
      </w:pPr>
      <w:r>
        <w:rPr>
          <w:rFonts w:ascii="Times New Roman" w:hAnsi="Times New Roman"/>
          <w:b w:val="false"/>
          <w:sz w:val="20"/>
        </w:rPr>
        <w:t>(c)</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200"/>
        <w:jc w:val="both"/>
        <w:rPr>
          <w:rFonts w:ascii="Times New Roman" w:hAnsi="Times New Roman"/>
          <w:b w:val="false"/>
          <w:sz w:val="20"/>
        </w:rPr>
      </w:pPr>
      <w:r>
        <w:rPr>
          <w:rFonts w:ascii="Times New Roman" w:hAnsi="Times New Roman"/>
          <w:b w:val="false"/>
          <w:sz w:val="20"/>
        </w:rPr>
        <w:t>(d)</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200"/>
        <w:jc w:val="both"/>
        <w:rPr>
          <w:rFonts w:ascii="Times New Roman" w:hAnsi="Times New Roman"/>
          <w:b w:val="false"/>
          <w:sz w:val="20"/>
        </w:rPr>
      </w:pPr>
      <w:r>
        <w:rPr>
          <w:rFonts w:ascii="Times New Roman" w:hAnsi="Times New Roman"/>
          <w:b w:val="false"/>
          <w:sz w:val="20"/>
        </w:rPr>
        <w:t>5.</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200"/>
        <w:jc w:val="both"/>
        <w:rPr>
          <w:rFonts w:ascii="Times New Roman" w:hAnsi="Times New Roman"/>
          <w:b w:val="false"/>
          <w:sz w:val="20"/>
        </w:rPr>
      </w:pPr>
      <w:r>
        <w:rPr>
          <w:rFonts w:ascii="Times New Roman" w:hAnsi="Times New Roman"/>
          <w:b w:val="false"/>
          <w:sz w:val="20"/>
        </w:rPr>
        <w:t>(a)</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rFonts w:ascii="Times New Roman" w:hAnsi="Times New Roman"/>
          <w:b w:val="false"/>
          <w:sz w:val="20"/>
        </w:rPr>
      </w:pPr>
      <w:r>
        <w:rPr>
          <w:rFonts w:ascii="Times New Roman" w:hAnsi="Times New Roman"/>
          <w:b w:val="false"/>
          <w:sz w:val="20"/>
        </w:rPr>
        <w:t>(b)</w:t>
      </w:r>
    </w:p>
    <w:p>
      <w:pPr>
        <w:pStyle w:val="TextBody"/>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both"/>
        <w:rPr/>
      </w:pPr>
      <w:r>
        <w:rPr/>
        <w:t> </w:t>
      </w:r>
    </w:p>
    <w:tbl>
      <w:tblPr>
        <w:tblW w:w="4548" w:type="dxa"/>
        <w:jc w:val="left"/>
        <w:tblInd w:w="0" w:type="dxa"/>
        <w:tblCellMar>
          <w:top w:w="28" w:type="dxa"/>
          <w:left w:w="28" w:type="dxa"/>
          <w:bottom w:w="28" w:type="dxa"/>
          <w:right w:w="28" w:type="dxa"/>
        </w:tblCellMar>
      </w:tblPr>
      <w:tblGrid>
        <w:gridCol w:w="1636"/>
        <w:gridCol w:w="406"/>
        <w:gridCol w:w="2506"/>
      </w:tblGrid>
      <w:tr>
        <w:trPr/>
        <w:tc>
          <w:tcPr>
            <w:tcW w:w="163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Date: May 3, 2023</w:t>
            </w:r>
          </w:p>
        </w:tc>
        <w:tc>
          <w:tcPr>
            <w:tcW w:w="40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Leslie Trigg</w:t>
            </w:r>
          </w:p>
        </w:tc>
      </w:tr>
      <w:tr>
        <w:trPr/>
        <w:tc>
          <w:tcPr>
            <w:tcW w:w="1636"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25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Leslie Trigg</w:t>
            </w:r>
          </w:p>
        </w:tc>
      </w:tr>
      <w:tr>
        <w:trPr/>
        <w:tc>
          <w:tcPr>
            <w:tcW w:w="1636"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250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Executive Officer</w:t>
            </w:r>
          </w:p>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Principal Executive Officer</w:t>
            </w: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left"/>
        <w:rPr/>
      </w:pPr>
      <w:r>
        <w:rPr/>
        <w:t> </w:t>
      </w:r>
    </w:p>
    <w:p>
      <w:pPr>
        <w:pStyle w:val="HorizontalLine"/>
        <w:rPr/>
      </w:pPr>
      <w:r>
        <w:rPr/>
      </w:r>
      <w:r>
        <w:br w:type="page"/>
      </w:r>
    </w:p>
    <w:p>
      <w:pPr>
        <w:pStyle w:val="TextBody"/>
        <w:spacing w:before="0" w:after="240"/>
        <w:jc w:val="right"/>
        <w:rPr>
          <w:rFonts w:ascii="Times New Roman;serif" w:hAnsi="Times New Roman;serif"/>
          <w:b/>
          <w:sz w:val="20"/>
        </w:rPr>
      </w:pPr>
      <w:bookmarkStart w:id="24" w:name="om-ex31_2.htm"/>
      <w:bookmarkStart w:id="25" w:name="ksomex31_2"/>
      <w:bookmarkEnd w:id="24"/>
      <w:bookmarkEnd w:id="25"/>
      <w:r>
        <w:rPr>
          <w:rFonts w:ascii="Times New Roman;serif" w:hAnsi="Times New Roman;serif"/>
          <w:b/>
          <w:sz w:val="20"/>
        </w:rPr>
        <w:t>Exhibit 31.2</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00" w:after="200"/>
        <w:jc w:val="both"/>
        <w:rPr>
          <w:rFonts w:ascii="Times New Roman;serif" w:hAnsi="Times New Roman;serif"/>
          <w:b w:val="false"/>
          <w:sz w:val="20"/>
        </w:rPr>
      </w:pPr>
      <w:r>
        <w:rPr>
          <w:rFonts w:ascii="Times New Roman;serif" w:hAnsi="Times New Roman;serif"/>
          <w:b w:val="false"/>
          <w:sz w:val="20"/>
        </w:rPr>
        <w:t>I, Nabeel Ahmed, certify that:</w:t>
      </w:r>
    </w:p>
    <w:p>
      <w:pPr>
        <w:pStyle w:val="TextBody"/>
        <w:spacing w:before="0" w:after="200"/>
        <w:jc w:val="both"/>
        <w:rPr>
          <w:rFonts w:ascii="Times New Roman" w:hAnsi="Times New Roman"/>
          <w:b w:val="false"/>
          <w:sz w:val="20"/>
        </w:rPr>
      </w:pPr>
      <w:r>
        <w:rPr>
          <w:rFonts w:ascii="Times New Roman" w:hAnsi="Times New Roman"/>
          <w:b w:val="false"/>
          <w:sz w:val="20"/>
        </w:rPr>
        <w:t>1.</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I have reviewed this Quarterly Report on Form 10-Q of Outset Medical, Inc.;</w:t>
      </w:r>
    </w:p>
    <w:p>
      <w:pPr>
        <w:pStyle w:val="TextBody"/>
        <w:spacing w:before="0" w:after="200"/>
        <w:jc w:val="both"/>
        <w:rPr>
          <w:rFonts w:ascii="Times New Roman" w:hAnsi="Times New Roman"/>
          <w:b w:val="false"/>
          <w:sz w:val="20"/>
        </w:rPr>
      </w:pPr>
      <w:r>
        <w:rPr>
          <w:rFonts w:ascii="Times New Roman" w:hAnsi="Times New Roman"/>
          <w:b w:val="false"/>
          <w:sz w:val="20"/>
        </w:rPr>
        <w:t>2.</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200"/>
        <w:jc w:val="both"/>
        <w:rPr>
          <w:rFonts w:ascii="Times New Roman" w:hAnsi="Times New Roman"/>
          <w:b w:val="false"/>
          <w:sz w:val="20"/>
        </w:rPr>
      </w:pPr>
      <w:r>
        <w:rPr>
          <w:rFonts w:ascii="Times New Roman" w:hAnsi="Times New Roman"/>
          <w:b w:val="false"/>
          <w:sz w:val="20"/>
        </w:rPr>
        <w:t>3.</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200"/>
        <w:jc w:val="both"/>
        <w:rPr>
          <w:rFonts w:ascii="Times New Roman" w:hAnsi="Times New Roman"/>
          <w:b w:val="false"/>
          <w:sz w:val="20"/>
        </w:rPr>
      </w:pPr>
      <w:r>
        <w:rPr>
          <w:rFonts w:ascii="Times New Roman" w:hAnsi="Times New Roman"/>
          <w:b w:val="false"/>
          <w:sz w:val="20"/>
        </w:rPr>
        <w:t>4.</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200"/>
        <w:jc w:val="both"/>
        <w:rPr>
          <w:rFonts w:ascii="Times New Roman" w:hAnsi="Times New Roman"/>
          <w:b w:val="false"/>
          <w:sz w:val="20"/>
        </w:rPr>
      </w:pPr>
      <w:r>
        <w:rPr>
          <w:rFonts w:ascii="Times New Roman" w:hAnsi="Times New Roman"/>
          <w:b w:val="false"/>
          <w:sz w:val="20"/>
        </w:rPr>
        <w:t>(a)</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200"/>
        <w:jc w:val="both"/>
        <w:rPr>
          <w:rFonts w:ascii="Times New Roman" w:hAnsi="Times New Roman"/>
          <w:b w:val="false"/>
          <w:sz w:val="20"/>
        </w:rPr>
      </w:pPr>
      <w:r>
        <w:rPr>
          <w:rFonts w:ascii="Times New Roman" w:hAnsi="Times New Roman"/>
          <w:b w:val="false"/>
          <w:sz w:val="20"/>
        </w:rPr>
        <w:t>(b)</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200"/>
        <w:jc w:val="both"/>
        <w:rPr>
          <w:rFonts w:ascii="Times New Roman" w:hAnsi="Times New Roman"/>
          <w:b w:val="false"/>
          <w:sz w:val="20"/>
        </w:rPr>
      </w:pPr>
      <w:r>
        <w:rPr>
          <w:rFonts w:ascii="Times New Roman" w:hAnsi="Times New Roman"/>
          <w:b w:val="false"/>
          <w:sz w:val="20"/>
        </w:rPr>
        <w:t>(c)</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200"/>
        <w:jc w:val="both"/>
        <w:rPr>
          <w:rFonts w:ascii="Times New Roman" w:hAnsi="Times New Roman"/>
          <w:b w:val="false"/>
          <w:sz w:val="20"/>
        </w:rPr>
      </w:pPr>
      <w:r>
        <w:rPr>
          <w:rFonts w:ascii="Times New Roman" w:hAnsi="Times New Roman"/>
          <w:b w:val="false"/>
          <w:sz w:val="20"/>
        </w:rPr>
        <w:t>(d)</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200"/>
        <w:jc w:val="both"/>
        <w:rPr>
          <w:rFonts w:ascii="Times New Roman" w:hAnsi="Times New Roman"/>
          <w:b w:val="false"/>
          <w:sz w:val="20"/>
        </w:rPr>
      </w:pPr>
      <w:r>
        <w:rPr>
          <w:rFonts w:ascii="Times New Roman" w:hAnsi="Times New Roman"/>
          <w:b w:val="false"/>
          <w:sz w:val="20"/>
        </w:rPr>
        <w:t>5.</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200"/>
        <w:jc w:val="both"/>
        <w:rPr>
          <w:rFonts w:ascii="Times New Roman" w:hAnsi="Times New Roman"/>
          <w:b w:val="false"/>
          <w:sz w:val="20"/>
        </w:rPr>
      </w:pPr>
      <w:r>
        <w:rPr>
          <w:rFonts w:ascii="Times New Roman" w:hAnsi="Times New Roman"/>
          <w:b w:val="false"/>
          <w:sz w:val="20"/>
        </w:rPr>
        <w:t>(a)</w:t>
      </w:r>
    </w:p>
    <w:p>
      <w:pPr>
        <w:pStyle w:val="TextBody"/>
        <w:spacing w:before="0" w:after="200"/>
        <w:jc w:val="both"/>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rFonts w:ascii="Times New Roman" w:hAnsi="Times New Roman"/>
          <w:b w:val="false"/>
          <w:sz w:val="20"/>
        </w:rPr>
      </w:pPr>
      <w:r>
        <w:rPr>
          <w:rFonts w:ascii="Times New Roman" w:hAnsi="Times New Roman"/>
          <w:b w:val="false"/>
          <w:sz w:val="20"/>
        </w:rPr>
        <w:t>(b)</w:t>
      </w:r>
    </w:p>
    <w:p>
      <w:pPr>
        <w:pStyle w:val="TextBody"/>
        <w:jc w:val="both"/>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both"/>
        <w:rPr/>
      </w:pPr>
      <w:r>
        <w:rPr/>
        <w:t> </w:t>
      </w:r>
    </w:p>
    <w:tbl>
      <w:tblPr>
        <w:tblW w:w="4563" w:type="dxa"/>
        <w:jc w:val="left"/>
        <w:tblInd w:w="0" w:type="dxa"/>
        <w:tblCellMar>
          <w:top w:w="28" w:type="dxa"/>
          <w:left w:w="28" w:type="dxa"/>
          <w:bottom w:w="28" w:type="dxa"/>
          <w:right w:w="28" w:type="dxa"/>
        </w:tblCellMar>
      </w:tblPr>
      <w:tblGrid>
        <w:gridCol w:w="1636"/>
        <w:gridCol w:w="406"/>
        <w:gridCol w:w="2521"/>
      </w:tblGrid>
      <w:tr>
        <w:trPr/>
        <w:tc>
          <w:tcPr>
            <w:tcW w:w="163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Date: May 3, 2023</w:t>
            </w:r>
          </w:p>
        </w:tc>
        <w:tc>
          <w:tcPr>
            <w:tcW w:w="406" w:type="dxa"/>
            <w:tcBorders/>
            <w:shd w:fill="auto" w:val="cle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By:</w:t>
            </w:r>
          </w:p>
        </w:tc>
        <w:tc>
          <w:tcPr>
            <w:tcW w:w="2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Nabeel Ahmed</w:t>
            </w:r>
          </w:p>
        </w:tc>
      </w:tr>
      <w:tr>
        <w:trPr/>
        <w:tc>
          <w:tcPr>
            <w:tcW w:w="1636"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25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Nabeel Ahmed</w:t>
            </w:r>
          </w:p>
        </w:tc>
      </w:tr>
      <w:tr>
        <w:trPr/>
        <w:tc>
          <w:tcPr>
            <w:tcW w:w="1636" w:type="dxa"/>
            <w:tcBorders/>
            <w:shd w:fill="auto" w:val="clear"/>
            <w:vAlign w:val="center"/>
          </w:tcPr>
          <w:p>
            <w:pPr>
              <w:pStyle w:val="TableContents"/>
              <w:spacing w:before="0" w:after="0"/>
              <w:ind w:left="0" w:right="0" w:hanging="0"/>
              <w:jc w:val="both"/>
              <w:rPr/>
            </w:pPr>
            <w:r>
              <w:rPr/>
              <w:t> </w:t>
            </w:r>
          </w:p>
        </w:tc>
        <w:tc>
          <w:tcPr>
            <w:tcW w:w="406" w:type="dxa"/>
            <w:tcBorders/>
            <w:shd w:fill="auto" w:val="clear"/>
            <w:vAlign w:val="center"/>
          </w:tcPr>
          <w:p>
            <w:pPr>
              <w:pStyle w:val="TableContents"/>
              <w:spacing w:before="0" w:after="0"/>
              <w:ind w:left="0" w:right="0" w:hanging="0"/>
              <w:jc w:val="both"/>
              <w:rPr/>
            </w:pPr>
            <w:r>
              <w:rPr/>
              <w:t> </w:t>
            </w:r>
          </w:p>
        </w:tc>
        <w:tc>
          <w:tcPr>
            <w:tcW w:w="252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Chief Financial Officer</w:t>
            </w:r>
          </w:p>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Principal Financial Officer</w:t>
            </w: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left"/>
        <w:rPr/>
      </w:pPr>
      <w:r>
        <w:rPr/>
        <w:t> </w:t>
      </w:r>
    </w:p>
    <w:p>
      <w:pPr>
        <w:pStyle w:val="HorizontalLine"/>
        <w:rPr/>
      </w:pPr>
      <w:r>
        <w:rPr/>
      </w:r>
      <w:r>
        <w:br w:type="page"/>
      </w:r>
    </w:p>
    <w:p>
      <w:pPr>
        <w:pStyle w:val="TextBody"/>
        <w:spacing w:before="0" w:after="240"/>
        <w:jc w:val="right"/>
        <w:rPr>
          <w:rFonts w:ascii="Times New Roman;serif" w:hAnsi="Times New Roman;serif"/>
          <w:b/>
          <w:sz w:val="22"/>
        </w:rPr>
      </w:pPr>
      <w:bookmarkStart w:id="26" w:name="om-ex32_1.htm"/>
      <w:bookmarkStart w:id="27" w:name="ksomex32_1"/>
      <w:bookmarkEnd w:id="26"/>
      <w:bookmarkEnd w:id="27"/>
      <w:r>
        <w:rPr>
          <w:rFonts w:ascii="Times New Roman;serif" w:hAnsi="Times New Roman;serif"/>
          <w:b/>
          <w:sz w:val="22"/>
        </w:rPr>
        <w:t>Exhibit 32.1</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 connection with the Quarterly Report of Outset Medical, Inc. (the “Company”) on Form 10-Q for the period ending March 31, 2023, as filed with the Securities and Exchange Commission on the date hereof (the “Report”), each of the undersigned certifies, pursuant to 18 U.S.C. §1350, as adopted pursuant to §906 of the Sarbanes-Oxley Act of 2002, that, to her/his knowledge:</w:t>
      </w:r>
      <w:r>
        <w:rPr>
          <w:rFonts w:ascii="Times New Roman" w:hAnsi="Times New Roman"/>
          <w:sz w:val="20"/>
        </w:rPr>
        <w:t xml:space="preserve"> </w:t>
      </w:r>
    </w:p>
    <w:p>
      <w:pPr>
        <w:pStyle w:val="TextBody"/>
        <w:spacing w:before="200" w:after="0"/>
        <w:jc w:val="left"/>
        <w:rPr>
          <w:rFonts w:ascii="Times New Roman" w:hAnsi="Times New Roman"/>
          <w:b w:val="false"/>
          <w:sz w:val="20"/>
        </w:rPr>
      </w:pPr>
      <w:r>
        <w:rPr>
          <w:rFonts w:ascii="Times New Roman" w:hAnsi="Times New Roman"/>
          <w:b w:val="false"/>
          <w:sz w:val="20"/>
        </w:rPr>
        <w:t>1.</w:t>
      </w:r>
    </w:p>
    <w:p>
      <w:pPr>
        <w:pStyle w:val="TextBody"/>
        <w:spacing w:before="200" w:after="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Section 15(d) of the Securities Exchange Act of 1934, as amended; and</w:t>
      </w:r>
    </w:p>
    <w:p>
      <w:pPr>
        <w:pStyle w:val="TextBody"/>
        <w:spacing w:before="200" w:after="0"/>
        <w:jc w:val="left"/>
        <w:rPr>
          <w:rFonts w:ascii="Times New Roman" w:hAnsi="Times New Roman"/>
          <w:b w:val="false"/>
          <w:sz w:val="20"/>
        </w:rPr>
      </w:pPr>
      <w:r>
        <w:rPr>
          <w:rFonts w:ascii="Times New Roman" w:hAnsi="Times New Roman"/>
          <w:b w:val="false"/>
          <w:sz w:val="20"/>
        </w:rPr>
        <w:t>2.</w:t>
      </w:r>
    </w:p>
    <w:p>
      <w:pPr>
        <w:pStyle w:val="TextBody"/>
        <w:spacing w:before="200" w:after="283"/>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the Company.</w:t>
      </w:r>
    </w:p>
    <w:p>
      <w:pPr>
        <w:pStyle w:val="TextBody"/>
        <w:spacing w:before="0" w:after="0"/>
        <w:jc w:val="left"/>
        <w:rPr/>
      </w:pPr>
      <w:r>
        <w:rPr/>
        <w:t> </w:t>
      </w:r>
    </w:p>
    <w:tbl>
      <w:tblPr>
        <w:tblW w:w="4067" w:type="dxa"/>
        <w:jc w:val="left"/>
        <w:tblInd w:w="0" w:type="dxa"/>
        <w:tblCellMar>
          <w:top w:w="28" w:type="dxa"/>
          <w:left w:w="28" w:type="dxa"/>
          <w:bottom w:w="28" w:type="dxa"/>
          <w:right w:w="28" w:type="dxa"/>
        </w:tblCellMar>
      </w:tblPr>
      <w:tblGrid>
        <w:gridCol w:w="687"/>
        <w:gridCol w:w="468"/>
        <w:gridCol w:w="406"/>
        <w:gridCol w:w="2506"/>
      </w:tblGrid>
      <w:tr>
        <w:trPr/>
        <w:tc>
          <w:tcPr>
            <w:tcW w:w="687"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06" w:type="dxa"/>
            <w:tcBorders/>
            <w:shd w:fill="auto" w:val="clear"/>
            <w:vAlign w:val="center"/>
          </w:tcPr>
          <w:p>
            <w:pPr>
              <w:pStyle w:val="TableContents"/>
              <w:spacing w:before="0" w:after="283"/>
              <w:rPr>
                <w:sz w:val="4"/>
                <w:szCs w:val="4"/>
              </w:rPr>
            </w:pPr>
            <w:r>
              <w:rPr>
                <w:sz w:val="4"/>
                <w:szCs w:val="4"/>
              </w:rPr>
            </w:r>
          </w:p>
        </w:tc>
      </w:tr>
      <w:tr>
        <w:trPr/>
        <w:tc>
          <w:tcPr>
            <w:tcW w:w="1155"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3,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Leslie Trigg</w:t>
            </w:r>
          </w:p>
        </w:tc>
      </w:tr>
      <w:tr>
        <w:trPr/>
        <w:tc>
          <w:tcPr>
            <w:tcW w:w="687" w:type="dxa"/>
            <w:tcBorders/>
            <w:shd w:fill="auto" w:val="clear"/>
            <w:vAlign w:val="center"/>
          </w:tcPr>
          <w:p>
            <w:pPr>
              <w:pStyle w:val="TableContents"/>
              <w:spacing w:before="0" w:after="0"/>
              <w:ind w:left="0" w:right="0" w:hanging="0"/>
              <w:jc w:val="left"/>
              <w:rPr/>
            </w:pPr>
            <w:r>
              <w:rPr/>
              <w:t> </w:t>
            </w:r>
          </w:p>
        </w:tc>
        <w:tc>
          <w:tcPr>
            <w:tcW w:w="874" w:type="dxa"/>
            <w:gridSpan w:val="2"/>
            <w:tcBorders/>
            <w:shd w:fill="auto" w:val="clear"/>
            <w:vAlign w:val="center"/>
          </w:tcPr>
          <w:p>
            <w:pPr>
              <w:pStyle w:val="TableContents"/>
              <w:spacing w:before="0" w:after="0"/>
              <w:ind w:left="0" w:right="0" w:hanging="0"/>
              <w:jc w:val="left"/>
              <w:rPr/>
            </w:pPr>
            <w:r>
              <w:rPr/>
              <w:t> </w:t>
            </w:r>
          </w:p>
        </w:tc>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Leslie Trigg</w:t>
            </w:r>
          </w:p>
        </w:tc>
      </w:tr>
      <w:tr>
        <w:trPr/>
        <w:tc>
          <w:tcPr>
            <w:tcW w:w="687" w:type="dxa"/>
            <w:tcBorders/>
            <w:shd w:fill="auto" w:val="clear"/>
            <w:vAlign w:val="center"/>
          </w:tcPr>
          <w:p>
            <w:pPr>
              <w:pStyle w:val="TableContents"/>
              <w:spacing w:before="0" w:after="0"/>
              <w:ind w:left="0" w:right="0" w:hanging="0"/>
              <w:jc w:val="left"/>
              <w:rPr/>
            </w:pPr>
            <w:r>
              <w:rPr/>
              <w:t> </w:t>
            </w:r>
          </w:p>
        </w:tc>
        <w:tc>
          <w:tcPr>
            <w:tcW w:w="874" w:type="dxa"/>
            <w:gridSpan w:val="2"/>
            <w:tcBorders/>
            <w:shd w:fill="auto" w:val="clear"/>
            <w:vAlign w:val="center"/>
          </w:tcPr>
          <w:p>
            <w:pPr>
              <w:pStyle w:val="TableContents"/>
              <w:spacing w:before="0" w:after="0"/>
              <w:ind w:left="0" w:right="0" w:hanging="0"/>
              <w:jc w:val="left"/>
              <w:rPr/>
            </w:pPr>
            <w:r>
              <w:rPr/>
              <w:t> </w:t>
            </w:r>
          </w:p>
        </w:tc>
        <w:tc>
          <w:tcPr>
            <w:tcW w:w="25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687" w:type="dxa"/>
            <w:tcBorders/>
            <w:shd w:fill="auto" w:val="clear"/>
            <w:vAlign w:val="center"/>
          </w:tcPr>
          <w:p>
            <w:pPr>
              <w:pStyle w:val="TableContents"/>
              <w:spacing w:before="0" w:after="0"/>
              <w:ind w:left="0" w:right="0" w:hanging="0"/>
              <w:jc w:val="left"/>
              <w:rPr/>
            </w:pPr>
            <w:r>
              <w:rPr/>
              <w:t> </w:t>
            </w:r>
          </w:p>
        </w:tc>
        <w:tc>
          <w:tcPr>
            <w:tcW w:w="874" w:type="dxa"/>
            <w:gridSpan w:val="2"/>
            <w:tcBorders/>
            <w:shd w:fill="auto" w:val="clear"/>
            <w:vAlign w:val="center"/>
          </w:tcPr>
          <w:p>
            <w:pPr>
              <w:pStyle w:val="TableContents"/>
              <w:spacing w:before="0" w:after="0"/>
              <w:ind w:left="0" w:right="0" w:hanging="0"/>
              <w:jc w:val="left"/>
              <w:rPr/>
            </w:pPr>
            <w:r>
              <w:rPr/>
              <w:t> </w:t>
            </w:r>
          </w:p>
        </w:tc>
        <w:tc>
          <w:tcPr>
            <w:tcW w:w="250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Principal Executive Officer</w:t>
            </w:r>
            <w:r>
              <w:rPr>
                <w:rFonts w:ascii="Times New Roman;serif" w:hAnsi="Times New Roman;serif"/>
                <w:b w:val="false"/>
                <w:sz w:val="20"/>
              </w:rPr>
              <w:t>)</w:t>
            </w:r>
          </w:p>
        </w:tc>
      </w:tr>
    </w:tbl>
    <w:p>
      <w:pPr>
        <w:pStyle w:val="TextBody"/>
        <w:spacing w:before="0" w:after="0"/>
        <w:jc w:val="left"/>
        <w:rPr/>
      </w:pPr>
      <w:r>
        <w:rPr/>
        <w:t> </w:t>
      </w:r>
    </w:p>
    <w:tbl>
      <w:tblPr>
        <w:tblW w:w="4082" w:type="dxa"/>
        <w:jc w:val="left"/>
        <w:tblInd w:w="0" w:type="dxa"/>
        <w:tblCellMar>
          <w:top w:w="28" w:type="dxa"/>
          <w:left w:w="28" w:type="dxa"/>
          <w:bottom w:w="28" w:type="dxa"/>
          <w:right w:w="28" w:type="dxa"/>
        </w:tblCellMar>
      </w:tblPr>
      <w:tblGrid>
        <w:gridCol w:w="687"/>
        <w:gridCol w:w="468"/>
        <w:gridCol w:w="406"/>
        <w:gridCol w:w="2521"/>
      </w:tblGrid>
      <w:tr>
        <w:trPr/>
        <w:tc>
          <w:tcPr>
            <w:tcW w:w="687"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r>
      <w:tr>
        <w:trPr/>
        <w:tc>
          <w:tcPr>
            <w:tcW w:w="1155" w:type="dxa"/>
            <w:gridSpan w:val="2"/>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3, 2023</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Nabeel Ahmed</w:t>
            </w:r>
          </w:p>
        </w:tc>
      </w:tr>
      <w:tr>
        <w:trPr/>
        <w:tc>
          <w:tcPr>
            <w:tcW w:w="687" w:type="dxa"/>
            <w:tcBorders/>
            <w:shd w:fill="auto" w:val="clear"/>
            <w:vAlign w:val="center"/>
          </w:tcPr>
          <w:p>
            <w:pPr>
              <w:pStyle w:val="TableContents"/>
              <w:spacing w:before="0" w:after="0"/>
              <w:ind w:left="0" w:right="0" w:hanging="0"/>
              <w:jc w:val="left"/>
              <w:rPr/>
            </w:pPr>
            <w:r>
              <w:rPr/>
              <w:t> </w:t>
            </w:r>
          </w:p>
        </w:tc>
        <w:tc>
          <w:tcPr>
            <w:tcW w:w="874" w:type="dxa"/>
            <w:gridSpan w:val="2"/>
            <w:tcBorders/>
            <w:shd w:fill="auto" w:val="clear"/>
            <w:vAlign w:val="center"/>
          </w:tcPr>
          <w:p>
            <w:pPr>
              <w:pStyle w:val="TableContents"/>
              <w:spacing w:before="0" w:after="0"/>
              <w:ind w:left="0" w:right="0" w:hanging="0"/>
              <w:jc w:val="left"/>
              <w:rPr/>
            </w:pPr>
            <w:r>
              <w:rPr/>
              <w:t> </w:t>
            </w:r>
          </w:p>
        </w:tc>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Nabeel Ahmed</w:t>
            </w:r>
          </w:p>
        </w:tc>
      </w:tr>
      <w:tr>
        <w:trPr/>
        <w:tc>
          <w:tcPr>
            <w:tcW w:w="687" w:type="dxa"/>
            <w:tcBorders/>
            <w:shd w:fill="auto" w:val="clear"/>
            <w:vAlign w:val="center"/>
          </w:tcPr>
          <w:p>
            <w:pPr>
              <w:pStyle w:val="TableContents"/>
              <w:spacing w:before="0" w:after="0"/>
              <w:ind w:left="0" w:right="0" w:hanging="0"/>
              <w:jc w:val="left"/>
              <w:rPr/>
            </w:pPr>
            <w:r>
              <w:rPr/>
              <w:t> </w:t>
            </w:r>
          </w:p>
        </w:tc>
        <w:tc>
          <w:tcPr>
            <w:tcW w:w="874" w:type="dxa"/>
            <w:gridSpan w:val="2"/>
            <w:tcBorders/>
            <w:shd w:fill="auto" w:val="clear"/>
            <w:vAlign w:val="center"/>
          </w:tcPr>
          <w:p>
            <w:pPr>
              <w:pStyle w:val="TableContents"/>
              <w:spacing w:before="0" w:after="0"/>
              <w:ind w:left="0" w:right="0" w:hanging="0"/>
              <w:jc w:val="left"/>
              <w:rPr/>
            </w:pPr>
            <w:r>
              <w:rPr/>
              <w:t> </w:t>
            </w:r>
          </w:p>
        </w:tc>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687" w:type="dxa"/>
            <w:tcBorders/>
            <w:shd w:fill="auto" w:val="clear"/>
            <w:vAlign w:val="center"/>
          </w:tcPr>
          <w:p>
            <w:pPr>
              <w:pStyle w:val="TableContents"/>
              <w:spacing w:before="0" w:after="0"/>
              <w:ind w:left="0" w:right="0" w:hanging="0"/>
              <w:jc w:val="left"/>
              <w:rPr/>
            </w:pPr>
            <w:r>
              <w:rPr/>
              <w:t> </w:t>
            </w:r>
          </w:p>
        </w:tc>
        <w:tc>
          <w:tcPr>
            <w:tcW w:w="874" w:type="dxa"/>
            <w:gridSpan w:val="2"/>
            <w:tcBorders/>
            <w:shd w:fill="auto" w:val="clear"/>
            <w:vAlign w:val="center"/>
          </w:tcPr>
          <w:p>
            <w:pPr>
              <w:pStyle w:val="TableContents"/>
              <w:spacing w:before="0" w:after="0"/>
              <w:ind w:left="0" w:right="0" w:hanging="0"/>
              <w:jc w:val="left"/>
              <w:rPr/>
            </w:pPr>
            <w:r>
              <w:rPr/>
              <w:t> </w:t>
            </w:r>
          </w:p>
        </w:tc>
        <w:tc>
          <w:tcPr>
            <w:tcW w:w="25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t>
            </w:r>
            <w:r>
              <w:rPr>
                <w:rFonts w:ascii="Times New Roman;serif" w:hAnsi="Times New Roman;serif"/>
                <w:b w:val="false"/>
                <w:i/>
                <w:sz w:val="20"/>
              </w:rPr>
              <w:t>Principal Financial Officer</w:t>
            </w: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84612/000119312520241516/d941853dex31.htm" TargetMode="External"/><Relationship Id="rId3" Type="http://schemas.openxmlformats.org/officeDocument/2006/relationships/hyperlink" Target="https://www.sec.gov/Archives/edgar/data/1484612/000119312520241516/d941853dex32.htm" TargetMode="External"/><Relationship Id="rId4" Type="http://schemas.openxmlformats.org/officeDocument/2006/relationships/hyperlink" Target="https://www.sec.gov/Archives/edgar/data/1484612/000119312520241516/d941853dex41.htm" TargetMode="External"/><Relationship Id="rId5" Type="http://schemas.openxmlformats.org/officeDocument/2006/relationships/hyperlink" Target="https://www.sec.gov/Archives/edgar/data/1484612/000119312520226746/d941853dex42.htm" TargetMode="External"/><Relationship Id="rId6" Type="http://schemas.openxmlformats.org/officeDocument/2006/relationships/hyperlink" Target="https://www.sec.gov/Archives/edgar/data/1484612/000119312520226746/d941853dex43.htm" TargetMode="External"/><Relationship Id="rId7" Type="http://schemas.openxmlformats.org/officeDocument/2006/relationships/hyperlink" Target="https://www.sec.gov/Archives/edgar/data/1484612/000119312520226746/d941853dex44.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13735</Words>
  <CharactersWithSpaces>89701</CharactersWithSpaces>
  <Paragraphs>3902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