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500" w:hanging="3859"/>
        <w:spacing w:after="0" w:line="373" w:lineRule="auto"/>
        <w:tabs>
          <w:tab w:leader="none" w:pos="58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0" w:lineRule="exact"/>
        <w:rPr>
          <w:sz w:val="24"/>
          <w:szCs w:val="24"/>
          <w:color w:val="auto"/>
        </w:rPr>
      </w:pPr>
    </w:p>
    <w:p>
      <w:pPr>
        <w:ind w:left="21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San Jose, California</w:t>
      </w:r>
      <w:r>
        <w:rPr>
          <w:sz w:val="20"/>
          <w:szCs w:val="20"/>
          <w:color w:val="auto"/>
        </w:rPr>
        <w:tab/>
      </w:r>
      <w:r>
        <w:rPr>
          <w:rFonts w:ascii="Times New Roman" w:cs="Times New Roman" w:eastAsia="Times New Roman" w:hAnsi="Times New Roman"/>
          <w:sz w:val="14"/>
          <w:szCs w:val="14"/>
          <w:b w:val="1"/>
          <w:bCs w:val="1"/>
          <w:color w:val="auto"/>
        </w:rPr>
        <w:t>95134</w:t>
      </w:r>
    </w:p>
    <w:p>
      <w:pPr>
        <w:spacing w:after="0" w:line="2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87" w:lineRule="exact"/>
        <w:rPr>
          <w:sz w:val="24"/>
          <w:szCs w:val="24"/>
          <w:color w:val="auto"/>
        </w:rPr>
      </w:pPr>
    </w:p>
    <w:p>
      <w:pPr>
        <w:jc w:val="both"/>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8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July 31, 2024, the registrant had 52,089,795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3"/>
            <w:vMerge w:val="continue"/>
          </w:tcPr>
          <w:p>
            <w:pPr>
              <w:spacing w:after="0"/>
              <w:rPr>
                <w:sz w:val="14"/>
                <w:szCs w:val="14"/>
                <w:color w:val="auto"/>
              </w:rPr>
            </w:pPr>
          </w:p>
        </w:tc>
        <w:tc>
          <w:tcPr>
            <w:tcW w:w="9440" w:type="dxa"/>
            <w:vAlign w:val="bottom"/>
            <w:gridSpan w:val="18"/>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rPr>
              <w:t>Condensed Balance Sheets</w:t>
            </w:r>
          </w:p>
        </w:tc>
        <w:tc>
          <w:tcPr>
            <w:tcW w:w="702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w w:val="99"/>
              </w:rPr>
              <w:t>Condensed Statements of Operations</w:t>
            </w:r>
          </w:p>
        </w:tc>
        <w:tc>
          <w:tcPr>
            <w:tcW w:w="6760" w:type="dxa"/>
            <w:vAlign w:val="bottom"/>
            <w:gridSpan w:val="7"/>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Condensed Statements of Comprehensive Loss</w:t>
            </w:r>
          </w:p>
        </w:tc>
        <w:tc>
          <w:tcPr>
            <w:tcW w:w="60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Stockholders’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Notes to Unaudited Condensed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1460" w:type="dxa"/>
            <w:vAlign w:val="bottom"/>
            <w:gridSpan w:val="5"/>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6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4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9"/>
              </w:rPr>
              <w:t>OTHER INFORMATION</w:t>
            </w:r>
          </w:p>
        </w:tc>
        <w:tc>
          <w:tcPr>
            <w:tcW w:w="7500" w:type="dxa"/>
            <w:vAlign w:val="bottom"/>
            <w:gridSpan w:val="11"/>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420" w:type="dxa"/>
            <w:vAlign w:val="bottom"/>
            <w:tcBorders>
              <w:top w:val="single" w:sz="8" w:color="0563C1"/>
            </w:tcBorders>
            <w:gridSpan w:val="2"/>
          </w:tcPr>
          <w:p>
            <w:pPr>
              <w:spacing w:after="0"/>
              <w:rPr>
                <w:sz w:val="18"/>
                <w:szCs w:val="18"/>
                <w:color w:val="auto"/>
              </w:rPr>
            </w:pPr>
          </w:p>
        </w:tc>
        <w:tc>
          <w:tcPr>
            <w:tcW w:w="810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50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Defaults Upon Senior Securities</w:t>
            </w:r>
          </w:p>
        </w:tc>
        <w:tc>
          <w:tcPr>
            <w:tcW w:w="710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7660" w:type="dxa"/>
            <w:vAlign w:val="bottom"/>
            <w:gridSpan w:val="1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rPr>
              <w:t>Exhibits</w:t>
            </w:r>
          </w:p>
        </w:tc>
        <w:tc>
          <w:tcPr>
            <w:tcW w:w="812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44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314,534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196,994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245,935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 shares authorized, and no shares issued and outstanding as of</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30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300,000 shares authorized as of June 30, 2024 and December 31,</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52,084 and 50,317 shares issued and outstanding as of June 30, 2024 and December 31, 2023,</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(302 )</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(1,036,145 )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(961,747 )</w:t>
            </w: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314,534</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-4996815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-4053840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-4036695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gridSpan w:val="4"/>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4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5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57,109</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69,507</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43,029</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55,376</w:t>
            </w:r>
          </w:p>
        </w:tc>
        <w:tc>
          <w:tcPr>
            <w:tcW w:w="100" w:type="dxa"/>
            <w:vAlign w:val="bottom"/>
          </w:tcPr>
          <w:p>
            <w:pPr>
              <w:spacing w:after="0"/>
              <w:rPr>
                <w:sz w:val="20"/>
                <w:szCs w:val="20"/>
                <w:color w:val="auto"/>
              </w:rPr>
            </w:pPr>
          </w:p>
        </w:tc>
      </w:tr>
      <w:tr>
        <w:trPr>
          <w:trHeight w:val="241"/>
        </w:trPr>
        <w:tc>
          <w:tcPr>
            <w:tcW w:w="5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100" w:type="dxa"/>
            <w:vAlign w:val="bottom"/>
            <w:shd w:val="clear" w:color="auto" w:fill="CFF0FC"/>
          </w:tcPr>
          <w:p>
            <w:pPr>
              <w:spacing w:after="0"/>
              <w:rPr>
                <w:sz w:val="20"/>
                <w:szCs w:val="20"/>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100" w:type="dxa"/>
            <w:vAlign w:val="bottom"/>
            <w:shd w:val="clear" w:color="auto" w:fill="CFF0FC"/>
          </w:tcPr>
          <w:p>
            <w:pPr>
              <w:spacing w:after="0"/>
              <w:rPr>
                <w:sz w:val="21"/>
                <w:szCs w:val="21"/>
                <w:color w:val="auto"/>
              </w:rPr>
            </w:pP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101,094</w:t>
            </w:r>
          </w:p>
        </w:tc>
        <w:tc>
          <w:tcPr>
            <w:tcW w:w="100" w:type="dxa"/>
            <w:vAlign w:val="bottom"/>
          </w:tcPr>
          <w:p>
            <w:pPr>
              <w:spacing w:after="0"/>
              <w:rPr>
                <w:sz w:val="20"/>
                <w:szCs w:val="20"/>
                <w:color w:val="auto"/>
              </w:rPr>
            </w:pPr>
          </w:p>
        </w:tc>
      </w:tr>
      <w:tr>
        <w:trPr>
          <w:trHeight w:val="241"/>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(30,764 )</w:t>
            </w: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(43,478 )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(67,676 )</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(86,963 )</w:t>
            </w:r>
          </w:p>
        </w:tc>
      </w:tr>
      <w:tr>
        <w:trPr>
          <w:trHeight w:val="239"/>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(6,010 )</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(3,103 )</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(11,978 )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(6,045 )</w:t>
            </w:r>
          </w:p>
        </w:tc>
      </w:tr>
      <w:tr>
        <w:trPr>
          <w:trHeight w:val="232"/>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(43,913</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(74,085</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3"/>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(34,454 )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(44,046 )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(74,398 )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(88,017 )</w:t>
            </w:r>
          </w:p>
        </w:tc>
      </w:tr>
      <w:tr>
        <w:trPr>
          <w:trHeight w:val="20"/>
        </w:trPr>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(0.66 )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(0.90 )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3"/>
        </w:trPr>
        <w:tc>
          <w:tcPr>
            <w:tcW w:w="5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51,880</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48,951</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51,391</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00" w:type="dxa"/>
            <w:vAlign w:val="bottom"/>
            <w:tcBorders>
              <w:top w:val="single" w:sz="8" w:color="CFF0FC"/>
            </w:tcBorders>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-3222625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-3222625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-3222625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-2596515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-2596515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-2596515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-1653540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-1653540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-1653540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-702310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-702310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-702310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-205105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-205105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-205105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5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(44,046 )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(74,398 )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(88,017 )</w:t>
            </w: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(280 )</w:t>
            </w: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(370 )</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21"/>
                <w:szCs w:val="2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(34,498 )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(44,326 )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(74,768 )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(87,846 )</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0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204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6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w:t>
            </w: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104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1,084,515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(961,747 )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 stock</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(326 )</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(39,944 )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(39,944 )</w:t>
            </w:r>
          </w:p>
        </w:tc>
        <w:tc>
          <w:tcPr>
            <w:tcW w:w="0" w:type="dxa"/>
            <w:vAlign w:val="bottom"/>
          </w:tcPr>
          <w:p>
            <w:pPr>
              <w:spacing w:after="0"/>
              <w:rPr>
                <w:sz w:val="1"/>
                <w:szCs w:val="1"/>
                <w:color w:val="auto"/>
              </w:rPr>
            </w:pPr>
          </w:p>
        </w:tc>
      </w:tr>
      <w:tr>
        <w:trPr>
          <w:trHeight w:val="23"/>
        </w:trPr>
        <w:tc>
          <w:tcPr>
            <w:tcW w:w="41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51,702</w:t>
            </w:r>
          </w:p>
        </w:tc>
        <w:tc>
          <w:tcPr>
            <w:tcW w:w="260" w:type="dxa"/>
            <w:vAlign w:val="bottom"/>
          </w:tcPr>
          <w:p>
            <w:pPr>
              <w:spacing w:after="0"/>
              <w:rPr>
                <w:sz w:val="19"/>
                <w:szCs w:val="19"/>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1,095,097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(1,001,691 )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(34,454 )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(34,454 )</w:t>
            </w:r>
          </w:p>
        </w:tc>
        <w:tc>
          <w:tcPr>
            <w:tcW w:w="0" w:type="dxa"/>
            <w:vAlign w:val="bottom"/>
          </w:tcPr>
          <w:p>
            <w:pPr>
              <w:spacing w:after="0"/>
              <w:rPr>
                <w:sz w:val="1"/>
                <w:szCs w:val="1"/>
                <w:color w:val="auto"/>
              </w:rPr>
            </w:pPr>
          </w:p>
        </w:tc>
      </w:tr>
      <w:tr>
        <w:trPr>
          <w:trHeight w:val="23"/>
        </w:trPr>
        <w:tc>
          <w:tcPr>
            <w:tcW w:w="41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52,084</w:t>
            </w:r>
          </w:p>
        </w:tc>
        <w:tc>
          <w:tcPr>
            <w:tcW w:w="260" w:type="dxa"/>
            <w:vAlign w:val="bottom"/>
          </w:tcPr>
          <w:p>
            <w:pPr>
              <w:spacing w:after="0"/>
              <w:rPr>
                <w:sz w:val="19"/>
                <w:szCs w:val="19"/>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1,104,994</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(1,036,145 )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-1062355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-1062355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-1062355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-1062355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-1062355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-179705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-179705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-179705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-179705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-179705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6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204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6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w:t>
            </w: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48,465</w:t>
            </w:r>
          </w:p>
        </w:tc>
        <w:tc>
          <w:tcPr>
            <w:tcW w:w="104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1,035,456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(788,950 )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 stock</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(43,971 )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(43,971 )</w:t>
            </w:r>
          </w:p>
        </w:tc>
        <w:tc>
          <w:tcPr>
            <w:tcW w:w="0" w:type="dxa"/>
            <w:vAlign w:val="bottom"/>
          </w:tcPr>
          <w:p>
            <w:pPr>
              <w:spacing w:after="0"/>
              <w:rPr>
                <w:sz w:val="1"/>
                <w:szCs w:val="1"/>
                <w:color w:val="auto"/>
              </w:rPr>
            </w:pPr>
          </w:p>
        </w:tc>
      </w:tr>
      <w:tr>
        <w:trPr>
          <w:trHeight w:val="23"/>
        </w:trPr>
        <w:tc>
          <w:tcPr>
            <w:tcW w:w="41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49,216</w:t>
            </w:r>
          </w:p>
        </w:tc>
        <w:tc>
          <w:tcPr>
            <w:tcW w:w="260" w:type="dxa"/>
            <w:vAlign w:val="bottom"/>
          </w:tcPr>
          <w:p>
            <w:pPr>
              <w:spacing w:after="0"/>
              <w:rPr>
                <w:sz w:val="19"/>
                <w:szCs w:val="19"/>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1,049,271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(832,921 )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(280 )</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(44,046 )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(44,046 )</w:t>
            </w:r>
          </w:p>
        </w:tc>
        <w:tc>
          <w:tcPr>
            <w:tcW w:w="0" w:type="dxa"/>
            <w:vAlign w:val="bottom"/>
          </w:tcPr>
          <w:p>
            <w:pPr>
              <w:spacing w:after="0"/>
              <w:rPr>
                <w:sz w:val="1"/>
                <w:szCs w:val="1"/>
                <w:color w:val="auto"/>
              </w:rPr>
            </w:pPr>
          </w:p>
        </w:tc>
      </w:tr>
      <w:tr>
        <w:trPr>
          <w:trHeight w:val="23"/>
        </w:trPr>
        <w:tc>
          <w:tcPr>
            <w:tcW w:w="41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49,629</w:t>
            </w:r>
          </w:p>
        </w:tc>
        <w:tc>
          <w:tcPr>
            <w:tcW w:w="260" w:type="dxa"/>
            <w:vAlign w:val="bottom"/>
          </w:tcPr>
          <w:p>
            <w:pPr>
              <w:spacing w:after="0"/>
              <w:rPr>
                <w:sz w:val="19"/>
                <w:szCs w:val="19"/>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1,060,418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(876,967 )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-1062355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-1062355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-1062355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-1062355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-1062355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-179705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-179705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-179705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-179705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-179705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(74,398 )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(88,017 )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premium on investments, net</w:t>
            </w:r>
          </w:p>
        </w:tc>
        <w:tc>
          <w:tcPr>
            <w:tcW w:w="36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(2,928 )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(3,353 )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inventories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(2,953 )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(13,214 )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(544 )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(7,279 )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(3,695 )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(3,720 )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(1,513 )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(766 )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(474 )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(1,605 )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(128,445 )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(97,849 )</w:t>
            </w:r>
          </w:p>
        </w:tc>
        <w:tc>
          <w:tcPr>
            <w:tcW w:w="0" w:type="dxa"/>
            <w:vAlign w:val="bottom"/>
          </w:tcPr>
          <w:p>
            <w:pPr>
              <w:spacing w:after="0"/>
              <w:rPr>
                <w:sz w:val="1"/>
                <w:szCs w:val="1"/>
                <w:color w:val="auto"/>
              </w:rPr>
            </w:pPr>
          </w:p>
        </w:tc>
      </w:tr>
      <w:tr>
        <w:trPr>
          <w:trHeight w:val="239"/>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Maturities of investment securities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108,829</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term loans, net of issuance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(30,650 )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(36,816 )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 of inventories to property and equipment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-3801110</wp:posOffset>
            </wp:positionV>
            <wp:extent cx="9398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-3801110</wp:posOffset>
            </wp:positionV>
            <wp:extent cx="93980"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-3012440</wp:posOffset>
            </wp:positionV>
            <wp:extent cx="9398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-3012440</wp:posOffset>
            </wp:positionV>
            <wp:extent cx="93980"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-2378075</wp:posOffset>
            </wp:positionV>
            <wp:extent cx="9398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-2378075</wp:posOffset>
            </wp:positionV>
            <wp:extent cx="9398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-1885315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-1036320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Outset Medical, Inc. (the Company) is a medical technology company pioneering a first-of-its-kind technology to reduce the cost and complexity of dialysis.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six months ended June 30, 2024 and 2023, the Company incurred a net loss of $74.4 million and $88.0 million, respectively. As of June 30, 2024, the Company had an accumulated deficit of $1.0 billion.</w:t>
      </w:r>
    </w:p>
    <w:p>
      <w:pPr>
        <w:spacing w:after="0" w:line="68"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cash, cash equivalents, restricted cash and short-term investments of $198.2 million. The Company is subject to certain covenants limiting or restricting its ability to take specific actions, such as incurring additional debt, making capital expenditures or declaring dividends.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from the debt financing described in Note 7, will be sufficient to meet its anticipated needs for at least the next 12 months from the issuance date of the accompanying condensed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six-month periods are also unaudited. The results of operations for the three and six months ended June 30, 2024 are not necessarily indicative of the results of operations to be anticipated for any other future annual or interim period. The condensed balance sheet as of December 31, 2023 included herein was derived from the audited financial statements as of that date.</w:t>
      </w:r>
    </w:p>
    <w:p>
      <w:pPr>
        <w:spacing w:after="0" w:line="81" w:lineRule="exact"/>
        <w:rPr>
          <w:sz w:val="20"/>
          <w:szCs w:val="20"/>
          <w:color w:val="auto"/>
        </w:rPr>
      </w:pPr>
    </w:p>
    <w:p>
      <w:pPr>
        <w:jc w:val="both"/>
        <w:ind w:right="10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2023, which are included in the Annual Report on Form 10-K for the fiscal year ended December 31, 2023 filed with the Securities and Exchange Commission (SEC) on February 21, 2024 (2023 Annual Report).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80" w:firstLine="562"/>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(ASU 2023-07), which requires that an entity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This ASU guidance is effective for our Annual Report on Form 10-K for the year ended December 31, 2024, and subsequent interim periods, with early adoption permitted. The Company is currently evaluating the impact of the adoption of ASU 2023-07 on its financial statements and disclosures.</w:t>
      </w:r>
    </w:p>
    <w:p>
      <w:pPr>
        <w:spacing w:after="0" w:line="74" w:lineRule="exact"/>
        <w:rPr>
          <w:sz w:val="20"/>
          <w:szCs w:val="20"/>
          <w:color w:val="auto"/>
        </w:rPr>
      </w:pPr>
    </w:p>
    <w:p>
      <w:pPr>
        <w:ind w:right="160" w:firstLine="562"/>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this ASU requires certain disclosures of state versus federal income tax expense and taxes paid. This ASU is effective for our Annual Report on Form 10-K for the year ended December 31, 2025, with early adoption permitted. The Company does not expect the adoption of ASU 2023-09 to have a material impact on its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firstLine="562"/>
        <w:spacing w:after="0" w:line="272" w:lineRule="auto"/>
        <w:rPr>
          <w:sz w:val="20"/>
          <w:szCs w:val="20"/>
          <w:color w:val="auto"/>
        </w:rPr>
      </w:pPr>
      <w:r>
        <w:rPr>
          <w:rFonts w:ascii="Times New Roman" w:cs="Times New Roman" w:eastAsia="Times New Roman" w:hAnsi="Times New Roman"/>
          <w:sz w:val="17"/>
          <w:szCs w:val="17"/>
          <w:color w:val="auto"/>
        </w:rPr>
        <w:t>In March 2024, the SEC adopted rules intended to enhance and standardize climate-related disclosures in registration statements and annual reports. The new rules will require disclosure of material climate-related risks, including the material impacts of these risks to the Company, the quantification of material impacts to the Company as a result of severe weather events and other natural conditions and Board of Directors' oversight and risk management activities. The new rules follow a compliance phase-in timeline based on a company's filing status. Large accelerated filers and accelerated filers (other than smaller reporting companies) are required to first incorporate such disclosures for fiscal years 2025 and 2026, respectively, followed by greenhouse gas-related disclosures, if material, for fiscal years 2026 and 2027, respectively. Smaller reporting companies are required to first incorporate such disclosures for fiscal year 2027 and are not required to report greenhouse gas emissions data. In April 2024, the SEC determined to voluntarily stay the final rules pending certain legal challenges. The Company is currently evaluating the impact of these new rules on its financial statements and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40" w:firstLine="562"/>
        <w:spacing w:after="0" w:line="282" w:lineRule="auto"/>
        <w:rPr>
          <w:sz w:val="20"/>
          <w:szCs w:val="20"/>
          <w:color w:val="auto"/>
        </w:rPr>
      </w:pPr>
      <w:r>
        <w:rPr>
          <w:rFonts w:ascii="Times New Roman" w:cs="Times New Roman" w:eastAsia="Times New Roman" w:hAnsi="Times New Roman"/>
          <w:sz w:val="18"/>
          <w:szCs w:val="18"/>
          <w:color w:val="auto"/>
        </w:rPr>
        <w:t>There have been no new or material changes to the Company’s significant accounting policies as described in its 2023 Annual Report that have had a material impact on the Company’s condensed financial statements and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5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57,109</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allocated to the remaining performance obligations related to customer service contracts that are unsatisfied or partially unsatisfied was $13.2 million, which is recorded as deferred revenue on the Company’s condensed balance sheets. Of that amount, $13.1 million will be recognized as revenue during the next 12 months and $0.1 million thereafter.</w:t>
      </w:r>
    </w:p>
    <w:p>
      <w:pPr>
        <w:spacing w:after="0" w:line="68"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and six months ended June 30, 2024, the Company recognized $3.3 million and $8.8 million of previously deferred revenue, respectively.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2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90,329</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48,089</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w w:val="99"/>
              </w:rPr>
              <w:t>Total cash equivalents and</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175,846</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(312 )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53,790</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260" w:type="dxa"/>
            <w:vAlign w:val="bottom"/>
            <w:tcBorders>
              <w:right w:val="single" w:sz="8" w:color="CFF0FC"/>
            </w:tcBorders>
            <w:gridSpan w:val="3"/>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w w:val="99"/>
              </w:rPr>
              <w:t>Total cash equivalents and</w:t>
            </w: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179,629</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FF0FC"/>
          </w:tcPr>
          <w:p>
            <w:pPr>
              <w:jc w:val="center"/>
              <w:ind w:right="210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-2571115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-2553970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-2571115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-2553970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-2571115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-2553970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June 30, 2024, the remaining contractual maturities for available-for-sale securities were one month to sixteen months.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present the breakdown of the available-for-sale debt securities with unrealized losses as of June 30,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00" w:type="dxa"/>
            <w:vAlign w:val="bottom"/>
          </w:tcPr>
          <w:p>
            <w:pPr>
              <w:spacing w:after="0"/>
              <w:rPr>
                <w:sz w:val="18"/>
                <w:szCs w:val="18"/>
                <w:color w:val="auto"/>
              </w:rPr>
            </w:pPr>
          </w:p>
        </w:tc>
        <w:tc>
          <w:tcPr>
            <w:tcW w:w="23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340" w:type="dxa"/>
            <w:vAlign w:val="bottom"/>
          </w:tcPr>
          <w:p>
            <w:pPr>
              <w:spacing w:after="0"/>
              <w:rPr>
                <w:sz w:val="21"/>
                <w:szCs w:val="21"/>
                <w:color w:val="auto"/>
              </w:rPr>
            </w:pPr>
          </w:p>
        </w:tc>
        <w:tc>
          <w:tcPr>
            <w:tcW w:w="16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4100" w:type="dxa"/>
            <w:vAlign w:val="bottom"/>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r>
      <w:tr>
        <w:trPr>
          <w:trHeight w:val="24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(253 )</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(253 )</w:t>
            </w:r>
          </w:p>
        </w:tc>
      </w:tr>
      <w:tr>
        <w:trPr>
          <w:trHeight w:val="211"/>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50"/>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3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126,163</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9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130,134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r>
      <w:tr>
        <w:trPr>
          <w:trHeight w:val="628"/>
        </w:trPr>
        <w:tc>
          <w:tcPr>
            <w:tcW w:w="4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0"/>
        </w:trPr>
        <w:tc>
          <w:tcPr>
            <w:tcW w:w="4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-925195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-908050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-925195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-908050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-925195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-908050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-925195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-908050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-925195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-908050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r>
      <w:tr>
        <w:trPr>
          <w:trHeight w:val="243"/>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6"/>
              </w:rPr>
              <w:t>(16 )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9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11"/>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(22 )</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(16 )</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r>
      <w:tr>
        <w:trPr>
          <w:trHeight w:val="245"/>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24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(42 )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-187960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-187960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June 30, 2024,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and six months ended June 30, 2024 and 2023, the Company did not recognize credit loss related to available-for-sales debt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40" w:firstLine="56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restricted cash balance of $3.3 million, was related to collateral for the Company’s building leases in San Jose, CA and Tijuana, Mexico.</w:t>
      </w:r>
    </w:p>
    <w:p>
      <w:pPr>
        <w:spacing w:after="0" w:line="54" w:lineRule="exact"/>
        <w:rPr>
          <w:sz w:val="20"/>
          <w:szCs w:val="20"/>
          <w:color w:val="auto"/>
        </w:rPr>
      </w:pPr>
    </w:p>
    <w:p>
      <w:pPr>
        <w:ind w:right="6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63"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36,388</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tcPr>
          <w:p>
            <w:pPr>
              <w:spacing w:after="0"/>
              <w:rPr>
                <w:sz w:val="20"/>
                <w:szCs w:val="20"/>
                <w:color w:val="auto"/>
              </w:rPr>
            </w:pPr>
          </w:p>
        </w:tc>
      </w:tr>
      <w:tr>
        <w:trPr>
          <w:trHeight w:val="276"/>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Accounts receivable are recorded at invoice value, net of any allowance for credit losses. The allowance for credit losses is based on the Company’s assessment of its best estimate of the amount of credit losses in customer accounts. The Company regularly reviews the allowance by considering factors such as existing contractual payment terms, historical collection experience, the financial position of the customer and information provided by credit rating services, the age of the accounts receivable balances, and current economic conditions that may affect a customer’s ability to pay.</w:t>
      </w:r>
    </w:p>
    <w:p>
      <w:pPr>
        <w:spacing w:after="0" w:line="164"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writes off accounts receivable when the Company has exhausted collection efforts without success, and payments subsequently received on such receivables are credited to the allowance in the period the payment is received. Credit losses from continuing operations have consistently been within management’s expectations.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allowance for credit losses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7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allowance</w:t>
            </w:r>
          </w:p>
        </w:tc>
        <w:tc>
          <w:tcPr>
            <w:tcW w:w="4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w:t>
            </w:r>
          </w:p>
        </w:tc>
        <w:tc>
          <w:tcPr>
            <w:tcW w:w="4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424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40" w:type="dxa"/>
            <w:vAlign w:val="bottom"/>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-1087755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-2014220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-2014220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360" w:firstLine="56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Term loan consists of the following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7"/>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133,476</w:t>
            </w: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(3,006 )</w:t>
            </w: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(3,363 )</w:t>
            </w:r>
          </w:p>
        </w:tc>
      </w:tr>
      <w:tr>
        <w:trPr>
          <w:trHeight w:val="276"/>
        </w:trPr>
        <w:tc>
          <w:tcPr>
            <w:tcW w:w="114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Term loans, noncurrent</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196,994</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Credit Facilities</w:t>
      </w:r>
    </w:p>
    <w:p>
      <w:pPr>
        <w:spacing w:after="0" w:line="121"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On November 3, 2022 (the Closing Date),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right="300"/>
        <w:spacing w:after="0" w:line="282" w:lineRule="auto"/>
        <w:rPr>
          <w:sz w:val="20"/>
          <w:szCs w:val="20"/>
          <w:color w:val="auto"/>
        </w:rPr>
      </w:pPr>
      <w:r>
        <w:rPr>
          <w:rFonts w:ascii="Times New Roman" w:cs="Times New Roman" w:eastAsia="Times New Roman" w:hAnsi="Times New Roman"/>
          <w:sz w:val="18"/>
          <w:szCs w:val="18"/>
          <w:color w:val="auto"/>
        </w:rPr>
        <w:t>Credit Facility Agreements) among Gemino Healthcare Finance, LLC d/b/a SLR Healthcare ABL, as lender (ABL Lender), and the Company (the SLR Revolver, together with the SLR Term Loan Facility, the SLR Credit Facilities).</w:t>
      </w:r>
    </w:p>
    <w:p>
      <w:pPr>
        <w:spacing w:after="0" w:line="54"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The maximum amount the Company is permitted to borrow under the SLR Credit Facilities is subject to certain overall borrowing limitations that are tied to achieving certain specified revenue milestones and limit the maximum principal amount outstanding under the SLR Credit Facilities. As of June 30, 2024, the Company borrowed an aggregate principal amount of $200.0 million under the SLR Term Loan Facility, the full amount available under the borrowing limitations.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SLR Term Loan Facility</w:t>
      </w:r>
    </w:p>
    <w:p>
      <w:pPr>
        <w:spacing w:after="0" w:line="119"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Under the SLR Loan Agreement, as subsequently amended on December 11, 2023, the Term Loan Lenders agreed to extend term loans to the Company in an aggregate principal amount of up to $250.0 million, comprised of (i) a term loan of $100.0 million (the Term A Loan), (ii) term loans in an aggregate principal amount of up to $100.0 million that was provided for in two increments, one of $33.5 million (the Term B-1 Loan) and one of $66.5 million (the Term B-2 Loan) and (iii) one or more term loans in an aggregate principal amount of up to $50.0 million (Term C Loans). Each Term A Loan, Term B Loan and Term C Loan is referred to single as a Term Loan and are referred to collectively as the Term Loans. The Term C Loans are subject to compliance with the borrowing limitations, Term Loan Lenders’ credit approval and the achievement of a specified net revenue milestone on or before June 30, 2025 and if available, would remain available for funding until one business day prior to November 1, 2027.</w:t>
      </w:r>
    </w:p>
    <w:p>
      <w:pPr>
        <w:spacing w:after="0" w:line="81" w:lineRule="exact"/>
        <w:rPr>
          <w:sz w:val="20"/>
          <w:szCs w:val="20"/>
          <w:color w:val="auto"/>
        </w:rPr>
      </w:pPr>
    </w:p>
    <w:p>
      <w:pPr>
        <w:ind w:right="100" w:firstLine="569"/>
        <w:spacing w:after="0" w:line="253" w:lineRule="auto"/>
        <w:rPr>
          <w:sz w:val="20"/>
          <w:szCs w:val="20"/>
          <w:color w:val="auto"/>
        </w:rPr>
      </w:pPr>
      <w:r>
        <w:rPr>
          <w:rFonts w:ascii="Times New Roman" w:cs="Times New Roman" w:eastAsia="Times New Roman" w:hAnsi="Times New Roman"/>
          <w:sz w:val="18"/>
          <w:szCs w:val="18"/>
          <w:color w:val="auto"/>
        </w:rPr>
        <w:t>Any principal amount outstanding under the Term Loans will accrue interest at a rate per annum equal to one-month term Secured Overnight Financing Rate (term SOFR) (subject to a 2.75% floor), plus 5.15% (10.48% as of June 30, 2024), payable monthly in arrears. The Company is permitted to make interest-only payments on the Term Loans through November 30, 2026. Any principal amounts outstanding under the Term Loans, if not repaid sooner, are due and payable on November 1, 2027 (the Maturity Date). The Company is obligated to pay Agent (i) a non-refundable facility fee in the amount of $750,000 in respect of the Term A Loan, (ii) a non-refundable facility fees in the aggregate amount of $750,000 in respect of the Term B-1 and B-2 Loans and (iii) a non-refundable facility fee in the amount of $375,000 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SLR Revolver</w:t>
      </w:r>
    </w:p>
    <w:p>
      <w:pPr>
        <w:spacing w:after="0" w:line="119" w:lineRule="exact"/>
        <w:rPr>
          <w:sz w:val="20"/>
          <w:szCs w:val="20"/>
          <w:color w:val="auto"/>
        </w:rPr>
      </w:pPr>
    </w:p>
    <w:p>
      <w:pPr>
        <w:jc w:val="both"/>
        <w:ind w:right="40" w:firstLine="569"/>
        <w:spacing w:after="0" w:line="270" w:lineRule="auto"/>
        <w:rPr>
          <w:sz w:val="20"/>
          <w:szCs w:val="20"/>
          <w:color w:val="auto"/>
        </w:rPr>
      </w:pPr>
      <w:r>
        <w:rPr>
          <w:rFonts w:ascii="Times New Roman" w:cs="Times New Roman" w:eastAsia="Times New Roman" w:hAnsi="Times New Roman"/>
          <w:sz w:val="17"/>
          <w:szCs w:val="17"/>
          <w:color w:val="auto"/>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w:t>
      </w:r>
    </w:p>
    <w:p>
      <w:pPr>
        <w:spacing w:after="0" w:line="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eligible accounts receivable, plus (b) 25% of eligible inventory (not to exceed the lesser of 50% of the Borrowing Base and $5.0 million), minus</w:t>
      </w:r>
    </w:p>
    <w:p>
      <w:pPr>
        <w:spacing w:after="0" w:line="9" w:lineRule="exact"/>
        <w:rPr>
          <w:rFonts w:ascii="Times New Roman" w:cs="Times New Roman" w:eastAsia="Times New Roman" w:hAnsi="Times New Roman"/>
          <w:sz w:val="18"/>
          <w:szCs w:val="18"/>
          <w:color w:val="auto"/>
        </w:rPr>
      </w:pPr>
    </w:p>
    <w:p>
      <w:pPr>
        <w:ind w:right="360" w:firstLine="8"/>
        <w:spacing w:after="0" w:line="255"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reserves, minus (d) unposted cash. As of June 30, 2024, no amounts were outstanding under the SLR Revolver. As a result of the overall borrowing limitations set forth in the SLR Credit Facilities, amounts under the SLR Revolver are not currently available. As of June 30, 2024, the Company has not requested or received ABL Lender’s approval of the Additional Tranche.</w:t>
      </w:r>
    </w:p>
    <w:p>
      <w:pPr>
        <w:spacing w:after="0" w:line="78"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spacing w:after="0" w:line="84" w:lineRule="exact"/>
        <w:rPr>
          <w:sz w:val="20"/>
          <w:szCs w:val="20"/>
          <w:color w:val="auto"/>
        </w:rPr>
      </w:pPr>
    </w:p>
    <w:p>
      <w:pPr>
        <w:ind w:right="200" w:firstLine="569"/>
        <w:spacing w:after="0" w:line="282" w:lineRule="auto"/>
        <w:rPr>
          <w:sz w:val="20"/>
          <w:szCs w:val="20"/>
          <w:color w:val="auto"/>
        </w:rPr>
      </w:pPr>
      <w:r>
        <w:rPr>
          <w:rFonts w:ascii="Times New Roman" w:cs="Times New Roman" w:eastAsia="Times New Roman" w:hAnsi="Times New Roman"/>
          <w:sz w:val="18"/>
          <w:szCs w:val="18"/>
          <w:color w:val="auto"/>
        </w:rPr>
        <w:t>Subject to customary exceptions and restrictions, the Company may borrow, repay and reborrow varying amounts under the SLR Revolver at any time subject to the overall borrowing limitations. If at any time the outstanding amount under the SLR Revolver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280"/>
        <w:spacing w:after="0" w:line="282" w:lineRule="auto"/>
        <w:rPr>
          <w:sz w:val="20"/>
          <w:szCs w:val="20"/>
          <w:color w:val="auto"/>
        </w:rPr>
      </w:pPr>
      <w:r>
        <w:rPr>
          <w:rFonts w:ascii="Times New Roman" w:cs="Times New Roman" w:eastAsia="Times New Roman" w:hAnsi="Times New Roman"/>
          <w:sz w:val="18"/>
          <w:szCs w:val="18"/>
          <w:color w:val="auto"/>
        </w:rPr>
        <w:t>exceeds the lesser of (i) the aggregate revolving commitments then in effect and (ii) the Borrowing Base then in effect, the Company will be required to prepay outstanding amounts under the SLR Revolver.</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SLR Revolver shall expire on November 1, 2027.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the SLR Credit Facilities</w:t>
      </w:r>
    </w:p>
    <w:p>
      <w:pPr>
        <w:spacing w:after="0" w:line="119" w:lineRule="exact"/>
        <w:rPr>
          <w:sz w:val="20"/>
          <w:szCs w:val="20"/>
          <w:color w:val="auto"/>
        </w:rPr>
      </w:pPr>
    </w:p>
    <w:p>
      <w:pPr>
        <w:jc w:val="both"/>
        <w:ind w:right="320" w:firstLine="569"/>
        <w:spacing w:after="0" w:line="312" w:lineRule="auto"/>
        <w:rPr>
          <w:sz w:val="20"/>
          <w:szCs w:val="20"/>
          <w:color w:val="auto"/>
        </w:rPr>
      </w:pPr>
      <w:r>
        <w:rPr>
          <w:rFonts w:ascii="Times New Roman" w:cs="Times New Roman" w:eastAsia="Times New Roman" w:hAnsi="Times New Roman"/>
          <w:sz w:val="17"/>
          <w:szCs w:val="17"/>
          <w:color w:val="auto"/>
        </w:rPr>
        <w:t>As security for its obligations under the SLR Credit Facilities, the Company granted Agent, for the benefit of the Term Loan Lenders, and ABL Lender a security interest in substantially all of the assets of the Company, including the Company’s intellectual property, subject to certain exceptions.</w:t>
      </w:r>
    </w:p>
    <w:p>
      <w:pPr>
        <w:spacing w:after="0" w:line="32"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The agreements also include a financial covenant that,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w:t>
      </w:r>
    </w:p>
    <w:p>
      <w:pPr>
        <w:spacing w:after="0" w:line="80"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spacing w:after="0" w:line="80" w:lineRule="exact"/>
        <w:rPr>
          <w:sz w:val="20"/>
          <w:szCs w:val="20"/>
          <w:color w:val="auto"/>
        </w:rPr>
      </w:pPr>
    </w:p>
    <w:p>
      <w:pPr>
        <w:jc w:val="both"/>
        <w:ind w:right="60" w:firstLine="569"/>
        <w:spacing w:after="0" w:line="261" w:lineRule="auto"/>
        <w:rPr>
          <w:sz w:val="20"/>
          <w:szCs w:val="20"/>
          <w:color w:val="auto"/>
        </w:rPr>
      </w:pPr>
      <w:r>
        <w:rPr>
          <w:rFonts w:ascii="Times New Roman" w:cs="Times New Roman" w:eastAsia="Times New Roman" w:hAnsi="Times New Roman"/>
          <w:sz w:val="18"/>
          <w:szCs w:val="18"/>
          <w:color w:val="auto"/>
        </w:rPr>
        <w:t>The debt issuance costs and the facility fees related to the Term A and B Loans were recorded as a direct deduction from the term loans balance on the balance sheets and are being recognized as non-cash interest expense over the term of the loans using the effective interest method, along with the final payment fee. The facility fees related to the Initial Revolver Commitment were recorded as deferred financing costs and are being recognized as non-cash interest expense over their respective commitment period using straight-line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June 30, 2024, 3,247,000 shares were reserved for future issuance under the 2020 Equity Incentive Plan (2020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As of June 30, 2024, 931,000 shares of common stock were reserved for issuance in connection with the current and future offering periods under the ESPP.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68"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Annual RSUs granted to non-executive employees in 2024 vest over a two-year period at a rate of 50% on the first anniversary of the original vesting date, with the balance vesting quarterly over the remaining one year. Prior to February 2022, RSUs with a service-based vesting condition granted to a grantee generally vest at a rate of 25% on the first anniversary of the original vesting date, with the balance vesting quarterly over the remaining three years.</w:t>
      </w:r>
    </w:p>
    <w:p>
      <w:pPr>
        <w:spacing w:after="0" w:line="79"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 PSUs are earned and vest based on achievement against two metrics:</w:t>
      </w:r>
    </w:p>
    <w:p>
      <w:pPr>
        <w:spacing w:after="0" w:line="54" w:lineRule="exact"/>
        <w:rPr>
          <w:sz w:val="20"/>
          <w:szCs w:val="20"/>
          <w:color w:val="auto"/>
        </w:rPr>
      </w:pPr>
    </w:p>
    <w:p>
      <w:pPr>
        <w:ind w:left="1020" w:right="100" w:hanging="503"/>
        <w:spacing w:after="0" w:line="289"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“Home PSUs”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(performance-based vesting conditions).</w:t>
      </w:r>
    </w:p>
    <w:p>
      <w:pPr>
        <w:spacing w:after="0" w:line="49" w:lineRule="exact"/>
        <w:rPr>
          <w:rFonts w:ascii="Times New Roman" w:cs="Times New Roman" w:eastAsia="Times New Roman" w:hAnsi="Times New Roman"/>
          <w:sz w:val="17"/>
          <w:szCs w:val="17"/>
          <w:color w:val="auto"/>
        </w:rPr>
      </w:pPr>
    </w:p>
    <w:p>
      <w:pPr>
        <w:ind w:left="1020" w:right="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PSUs” are earned based on the Company's relative total stockholder return (relative TSR) at the end of a two-year or three-year performance period as compared to companies in a pre-determined index of medical device companies, in each case, with 100% of earned units vesting on, or after certification of achievement following, the third anniversary of the grant date (market-based vesting conditions).</w:t>
      </w:r>
    </w:p>
    <w:p>
      <w:pPr>
        <w:spacing w:after="0" w:line="72" w:lineRule="exact"/>
        <w:rPr>
          <w:sz w:val="20"/>
          <w:szCs w:val="20"/>
          <w:color w:val="auto"/>
        </w:rPr>
      </w:pPr>
    </w:p>
    <w:p>
      <w:pPr>
        <w:jc w:val="both"/>
        <w:ind w:right="18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granted, (ii) from 75% to 150% (250% for the CEO) of the target number of Relative TSR PSUs granted in 2022 and 2023 and (iii) from 0% to 200% (250% for the CEO) of the target number of Relative TSR PSUS granted in 2024.</w:t>
      </w:r>
    </w:p>
    <w:p>
      <w:pPr>
        <w:spacing w:after="0" w:line="68" w:lineRule="exact"/>
        <w:rPr>
          <w:sz w:val="20"/>
          <w:szCs w:val="20"/>
          <w:color w:val="auto"/>
        </w:rPr>
      </w:pPr>
    </w:p>
    <w:p>
      <w:pPr>
        <w:ind w:right="200" w:firstLine="569"/>
        <w:spacing w:after="0" w:line="261" w:lineRule="auto"/>
        <w:rPr>
          <w:sz w:val="20"/>
          <w:szCs w:val="20"/>
          <w:color w:val="auto"/>
        </w:rPr>
      </w:pPr>
      <w:r>
        <w:rPr>
          <w:rFonts w:ascii="Times New Roman" w:cs="Times New Roman" w:eastAsia="Times New Roman" w:hAnsi="Times New Roman"/>
          <w:sz w:val="18"/>
          <w:szCs w:val="18"/>
          <w:color w:val="auto"/>
        </w:rPr>
        <w:t>The grant date for the Home PSUs is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 for the Home PSUs has been established, the related stock-based compensation expense is recorded based on the forecasted performance, which is reassessed each reporting period based on the probability of achieving the performance conditions.</w:t>
      </w:r>
    </w:p>
    <w:p>
      <w:pPr>
        <w:spacing w:after="0" w:line="72"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of PSU award to executive officers and certain other senior leaders which is earned and vests based on appreciation of the Company’s stock price above pre-determined stock price triggers or achievement of specified operating income targets over a performance period of up to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 included in the accompanying condensed statements of operations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4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20"/>
                <w:szCs w:val="20"/>
                <w:color w:val="auto"/>
              </w:rPr>
            </w:pPr>
          </w:p>
        </w:tc>
      </w:tr>
      <w:tr>
        <w:trPr>
          <w:trHeight w:val="27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18,023</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shd w:val="clear" w:color="auto" w:fill="CFF0FC"/>
          </w:tcPr>
          <w:p>
            <w:pPr>
              <w:spacing w:after="0"/>
              <w:rPr>
                <w:sz w:val="24"/>
                <w:szCs w:val="24"/>
                <w:color w:val="auto"/>
              </w:rPr>
            </w:pPr>
          </w:p>
        </w:tc>
      </w:tr>
      <w:tr>
        <w:trPr>
          <w:trHeight w:val="633"/>
        </w:trPr>
        <w:tc>
          <w:tcPr>
            <w:tcW w:w="434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-933450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-916305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-933450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-916305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For each of the three and six months ended June 30, 2024 and 2023,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6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Three and Six Months Ended</w:t>
      </w:r>
    </w:p>
    <w:p>
      <w:pPr>
        <w:spacing w:after="0" w:line="3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6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FF0FC"/>
          </w:tcPr>
          <w:p>
            <w:pPr>
              <w:spacing w:after="0"/>
              <w:rPr>
                <w:sz w:val="20"/>
                <w:szCs w:val="20"/>
                <w:color w:val="auto"/>
              </w:rPr>
            </w:pPr>
          </w:p>
        </w:tc>
      </w:tr>
      <w:tr>
        <w:trPr>
          <w:trHeight w:val="23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20"/>
                <w:szCs w:val="20"/>
                <w:color w:val="auto"/>
              </w:rPr>
            </w:pPr>
          </w:p>
        </w:tc>
      </w:tr>
      <w:tr>
        <w:trPr>
          <w:trHeight w:val="247"/>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r>
      <w:tr>
        <w:trPr>
          <w:trHeight w:val="23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r>
      <w:tr>
        <w:trPr>
          <w:trHeight w:val="24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to purchase common stock</w:t>
            </w:r>
          </w:p>
        </w:tc>
        <w:tc>
          <w:tcPr>
            <w:tcW w:w="11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In order to improve operational efficiencies, reduce operating expenses and streamline its overall organizational structure, the Company recently implemented two organizational restructurings. At the beginning of the fourth quarter of 2023, the Company began a workforce reduction which was substantially completed by the end of 2023, incurring restructuring charges of $2.5 million in the fourth quarter of 2023 for employee severance and other termination benefits. In May 2024, the Company implemented an additional workforce reduction plan (the May 2024 workforce reduction plan) that was estimable and probable as of March 31, 2024 and, as a result, recognized restructuring charges of $2.7 million in the first quarter of 2024 for employee severance and other termination benefits.</w:t>
      </w:r>
    </w:p>
    <w:p>
      <w:pPr>
        <w:spacing w:after="0" w:line="79" w:lineRule="exact"/>
        <w:rPr>
          <w:sz w:val="20"/>
          <w:szCs w:val="20"/>
          <w:color w:val="auto"/>
        </w:rPr>
      </w:pPr>
    </w:p>
    <w:p>
      <w:pPr>
        <w:ind w:right="100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severance and related benefits charges related to the May 2024 workforce reduction plan included in the accompanying condensed statements of operations (in thousands):</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1508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-127635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1,099</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-127635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508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-120650</wp:posOffset>
            </wp:positionV>
            <wp:extent cx="7132320"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8040" w:space="720"/>
            <w:col w:w="2480"/>
          </w:cols>
          <w:pgMar w:left="320" w:top="1157" w:right="339" w:bottom="1440" w:gutter="0" w:footer="0" w:header="0"/>
          <w:type w:val="continuous"/>
        </w:sect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The changes in liabilities resulting from the restructuring accruals, which were recorded in accrued compensation and related benefits on the accompanying condensed balance sheet,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9"/>
        </w:trPr>
        <w:tc>
          <w:tcPr>
            <w:tcW w:w="9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Charges</w:t>
            </w:r>
          </w:p>
        </w:tc>
        <w:tc>
          <w:tcPr>
            <w:tcW w:w="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and other adjustments</w:t>
            </w:r>
          </w:p>
        </w:tc>
        <w:tc>
          <w:tcPr>
            <w:tcW w:w="7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(2,889 )</w:t>
            </w:r>
          </w:p>
        </w:tc>
      </w:tr>
      <w:tr>
        <w:trPr>
          <w:trHeight w:val="237"/>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121" w:lineRule="exact"/>
        <w:rPr>
          <w:sz w:val="20"/>
          <w:szCs w:val="20"/>
          <w:color w:val="auto"/>
        </w:rPr>
      </w:pPr>
    </w:p>
    <w:p>
      <w:pPr>
        <w:ind w:right="320" w:firstLine="569"/>
        <w:spacing w:after="0" w:line="261" w:lineRule="auto"/>
        <w:rPr>
          <w:sz w:val="20"/>
          <w:szCs w:val="20"/>
          <w:color w:val="auto"/>
        </w:rPr>
      </w:pPr>
      <w:r>
        <w:rPr>
          <w:rFonts w:ascii="Times New Roman" w:cs="Times New Roman" w:eastAsia="Times New Roman" w:hAnsi="Times New Roman"/>
          <w:sz w:val="18"/>
          <w:szCs w:val="18"/>
          <w:color w:val="auto"/>
        </w:rPr>
        <w:t>In connection with steps the Company is taking to help optimize its commercial organization, and to help improve operational efficiencies and reduce operating expenses to align with anticipated revenue growth, in August 2024, the Company initiated an additional restructuring plan primarily impacting its commercial organization (the August 2024 restructuring plan). The Company expects to incur approximately $1.3 million of restructuring charges in the third quarter of 2024 for employee severance and other termination benefits.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2023 Annual Report. As used in this Quarterly Report, references to the “Company,” “we,” “us,” “our,” or similar terms refer to Outset Medical, Inc.</w:t>
      </w:r>
    </w:p>
    <w:p>
      <w:pPr>
        <w:spacing w:after="0" w:line="7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2023 Annual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(FSEs).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right="18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transitional care units (TCUs) as a bridge to home-based therapy.</w:t>
      </w:r>
    </w:p>
    <w:p>
      <w:pPr>
        <w:spacing w:after="0" w:line="7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cartridges, and services, which generates significant total revenue over the life of Tablo console. Our total revenues were $27.4 million and $36.0 million for the three months ended June 30, 2024 and 2023, respectively, and $55.6 million and $69.5 million for the six months ended June 30, 2024 and 2023, respectively.</w:t>
      </w:r>
    </w:p>
    <w:p>
      <w:pPr>
        <w:spacing w:after="0" w:line="72"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52% of our total full-time employees as of June 30, 2024.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80" w:firstLine="569"/>
        <w:spacing w:after="0" w:line="253" w:lineRule="auto"/>
        <w:rPr>
          <w:sz w:val="20"/>
          <w:szCs w:val="20"/>
          <w:color w:val="auto"/>
        </w:rPr>
      </w:pPr>
      <w:r>
        <w:rPr>
          <w:rFonts w:ascii="Times New Roman" w:cs="Times New Roman" w:eastAsia="Times New Roman" w:hAnsi="Times New Roman"/>
          <w:sz w:val="18"/>
          <w:szCs w:val="18"/>
          <w:color w:val="auto"/>
        </w:rPr>
        <w:t>In July 2023, we received a warning letter (the Warning Letter) from the FDA that raised two observations. The first observation asserted that certain content reviewed by the FDA and found on our website promoted CRRT, a modality outside of the current indications for Tablo. The second observation asserted that TabloCart with Prefiltration requires prior 510(k) clearance for marketing authorization. TabloCart with Prefiltration is an accessory to Tablo launched in the third quarter of 2022. 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also been effectively addressed. Although we evaluated TabloCart with Prefiltration prior to marketing and distributing the product and concluded that no marketing authorization was necessary, we paused distribution of TabloCart with Prefiltration pending the FDA’s review and clearance of a 510(k) application that we submitted in September 2023. In early May 2024, we received 510(k) clearance from the FDA for TabloCart with Prefiltration, and we have resumed distribution of TabloCart with Prefiltration. We believe we have now taken appropriate measures to fully address the matters raised in the Warning Letter.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as we resume distribution of TabloCart with Prefiltration, as well as the success of our initiatives to optimize our commercial organization, infrastructure and sales processes to support the growth of our business in the acute care market as we focus more heavily on enterprise selling and transition beyond earlier stage adoption of Tablo.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220"/>
        <w:spacing w:after="0" w:line="282" w:lineRule="auto"/>
        <w:rPr>
          <w:sz w:val="20"/>
          <w:szCs w:val="20"/>
          <w:color w:val="auto"/>
        </w:rPr>
      </w:pPr>
      <w:r>
        <w:rPr>
          <w:rFonts w:ascii="Times New Roman" w:cs="Times New Roman" w:eastAsia="Times New Roman" w:hAnsi="Times New Roman"/>
          <w:sz w:val="18"/>
          <w:szCs w:val="18"/>
          <w:color w:val="auto"/>
        </w:rPr>
        <w:t>home-based dialysis on the timeline that we anticipate will depend on several factors. These factors include the success of our initiatives to optimize and further evolve our commercial organization, infrastructure and sales processes as we scale our business in the home market.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Expansion</w:t>
      </w:r>
    </w:p>
    <w:p>
      <w:pPr>
        <w:spacing w:after="0" w:line="121" w:lineRule="exact"/>
        <w:rPr>
          <w:sz w:val="20"/>
          <w:szCs w:val="20"/>
          <w:color w:val="auto"/>
        </w:rPr>
      </w:pPr>
    </w:p>
    <w:p>
      <w:pPr>
        <w:ind w:right="60" w:firstLine="569"/>
        <w:spacing w:after="0" w:line="270" w:lineRule="auto"/>
        <w:rPr>
          <w:sz w:val="20"/>
          <w:szCs w:val="20"/>
          <w:color w:val="auto"/>
        </w:rPr>
      </w:pPr>
      <w:r>
        <w:rPr>
          <w:rFonts w:ascii="Times New Roman" w:cs="Times New Roman" w:eastAsia="Times New Roman" w:hAnsi="Times New Roman"/>
          <w:sz w:val="17"/>
          <w:szCs w:val="17"/>
          <w:color w:val="auto"/>
        </w:rPr>
        <w:t>Our ability to expand our gross margins depends on: first, our ability to reduce the cost of Tablo consoles; second, our ability to continue to sell Tablo cartridges, services, and accessories for Tablo consoles; and third, our ability to reduce the cost of service. Over the past several years, we have moved the production of Tablo consoles and a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Further, we will continue to utilize our cloud-based data system, as well as enhanced product performance, to better support our field service team and drive down service costs per console. In addition, our ability to expand gross margins will depend in part on our ability to control the average selling prices of our products and services, including by selling higher-margin accessories, consumables and services. Our ability to expand gross margins depends on our ability to successfully execute these strategies.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Profitability Initiatives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Our ability to achieve and sustain profitability depends on several key factors: first, our ability to grow our revenue while expanding gross margins, as discussed above; second, our ability to optimize operating expenses; and third, our ability to optimize working capital. We have undertaken various initiatives designed to improve operational efficiencies, reduce operating expenses to align with anticipated levels of revenue growth and streamline our overall cost structure, including two organizational restructurings implemented in the fourth quarter of 2023 and second quarter of 2024. In connection with steps we are taking to help optimize our commercial organization, in August 2024, we initiated an additional restructuring plan primarily impacting our commercial organization. We are also taking steps to improve our ability to efficiently manage working capital, including inventory. Our ability to transition to profitability will depend on the success of our efforts to optimize spending and working capital, including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Global macroeconomic conditions, including inflationary pressures, rising interest rates,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2" w:lineRule="exact"/>
        <w:rPr>
          <w:sz w:val="20"/>
          <w:szCs w:val="20"/>
          <w:color w:val="auto"/>
        </w:rPr>
      </w:pPr>
    </w:p>
    <w:p>
      <w:pPr>
        <w:ind w:right="20" w:firstLine="569"/>
        <w:spacing w:after="0" w:line="252"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we expect these negative impacts to continue through at least the remainder of 2024. 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 We have generally seen some stabilization in these challenging labor market dynamics for healthcare providers during 2023 and thereafter as compared to 2022. Moreover, we believe Tablo offers automation and ease-of-use benefits over traditional machines that can enhance our existing and potential customers’ ability to support their patient populations despite staffing shortages. However, if our customers continue to face prolonged periods of rising interest rates, capital budget constraints, volatility, uncertainty, staffing shortages, cash flow challenges, rising costs and other financial pressures, whether due to general macroeconomic conditions, cybersecurity events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87"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However, our pilot clinical and administrative services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160"/>
        <w:spacing w:after="0" w:line="266" w:lineRule="auto"/>
        <w:rPr>
          <w:sz w:val="20"/>
          <w:szCs w:val="20"/>
          <w:color w:val="auto"/>
        </w:rPr>
      </w:pPr>
      <w:r>
        <w:rPr>
          <w:rFonts w:ascii="Times New Roman" w:cs="Times New Roman" w:eastAsia="Times New Roman" w:hAnsi="Times New Roman"/>
          <w:sz w:val="18"/>
          <w:szCs w:val="18"/>
          <w:color w:val="auto"/>
        </w:rPr>
        <w:t>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spacing w:after="0" w:line="68" w:lineRule="exact"/>
        <w:rPr>
          <w:sz w:val="20"/>
          <w:szCs w:val="20"/>
          <w:color w:val="auto"/>
        </w:rPr>
      </w:pPr>
    </w:p>
    <w:p>
      <w:pPr>
        <w:ind w:right="100" w:firstLine="569"/>
        <w:spacing w:after="0" w:line="254"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majority of Tablo cartridges in Mexico (to our Mexico-based contract manufacturer and, more recently,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11"/>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24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55,556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12,347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FF0FC"/>
          </w:tcPr>
          <w:p>
            <w:pPr>
              <w:spacing w:after="0"/>
              <w:rPr>
                <w:sz w:val="20"/>
                <w:szCs w:val="20"/>
                <w:color w:val="auto"/>
              </w:rPr>
            </w:pPr>
          </w:p>
        </w:tc>
        <w:tc>
          <w:tcPr>
            <w:tcW w:w="360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14,131</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28,699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23,077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(30,764 )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(43,478 )</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(67,676 )</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5,569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(3,103 )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(11,978 )</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(74,085</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(34,454 )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(44,046 )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(74,398 )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(88,017 )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gridSpan w:val="9"/>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5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460" w:type="dxa"/>
            <w:vAlign w:val="bottom"/>
            <w:tcBorders>
              <w:top w:val="single" w:sz="8" w:color="auto"/>
            </w:tcBorders>
            <w:gridSpan w:val="2"/>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29,330</w:t>
            </w:r>
          </w:p>
        </w:tc>
        <w:tc>
          <w:tcPr>
            <w:tcW w:w="26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  (10,092 )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(34 )%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39,666</w:t>
            </w:r>
          </w:p>
        </w:tc>
        <w:tc>
          <w:tcPr>
            <w:tcW w:w="2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57,109</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(17,443 )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2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15,890</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12,398</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4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36,040</w:t>
            </w:r>
          </w:p>
        </w:tc>
        <w:tc>
          <w:tcPr>
            <w:tcW w:w="260" w:type="dxa"/>
            <w:vAlign w:val="bottom"/>
          </w:tcPr>
          <w:p>
            <w:pPr>
              <w:spacing w:after="0"/>
              <w:rPr>
                <w:sz w:val="19"/>
                <w:szCs w:val="19"/>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(8,652 )</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4"/>
          </w:tcPr>
          <w:p>
            <w:pPr>
              <w:jc w:val="right"/>
              <w:spacing w:after="0" w:line="226" w:lineRule="exact"/>
              <w:rPr>
                <w:sz w:val="20"/>
                <w:szCs w:val="20"/>
                <w:color w:val="auto"/>
              </w:rPr>
            </w:pPr>
            <w:r>
              <w:rPr>
                <w:rFonts w:ascii="Times New Roman" w:cs="Times New Roman" w:eastAsia="Times New Roman" w:hAnsi="Times New Roman"/>
                <w:sz w:val="14"/>
                <w:szCs w:val="14"/>
                <w:color w:val="auto"/>
              </w:rPr>
              <w:t xml:space="preserve">(24 )% </w:t>
            </w:r>
            <w:r>
              <w:rPr>
                <w:rFonts w:ascii="Times New Roman" w:cs="Times New Roman" w:eastAsia="Times New Roman" w:hAnsi="Times New Roman"/>
                <w:sz w:val="26"/>
                <w:szCs w:val="26"/>
                <w:color w:val="auto"/>
                <w:vertAlign w:val="superscript"/>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55,556</w:t>
            </w:r>
          </w:p>
        </w:tc>
        <w:tc>
          <w:tcPr>
            <w:tcW w:w="2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69,507</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(13,951 )</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-4242435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-4242435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-4242435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-3616960</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-3616960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-3616960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-2673985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-2673985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-2673985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-1722120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-1722120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-1722120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ind w:right="220" w:firstLine="569"/>
        <w:spacing w:after="0" w:line="266" w:lineRule="auto"/>
        <w:rPr>
          <w:sz w:val="20"/>
          <w:szCs w:val="20"/>
          <w:color w:val="auto"/>
        </w:rPr>
      </w:pPr>
      <w:r>
        <w:rPr>
          <w:rFonts w:ascii="Times New Roman" w:cs="Times New Roman" w:eastAsia="Times New Roman" w:hAnsi="Times New Roman"/>
          <w:sz w:val="18"/>
          <w:szCs w:val="18"/>
          <w:color w:val="auto"/>
        </w:rPr>
        <w:t>Product revenue decreased by $10.1 million or 34% for the three months ended June 30, 2024 as compared to the same period in the prior year. This decrease was driven by a $12.5 million decrease in console revenue due to fewer consoles being sold in in the current year, which was partially offset by a $2.4 million increase in consumable revenue due to growth in our console installed base.</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21" w:name="page22"/>
    <w:bookmarkEnd w:id="21"/>
    <w:p>
      <w:pPr>
        <w:jc w:val="both"/>
        <w:ind w:right="140" w:firstLine="569"/>
        <w:spacing w:after="0" w:line="266" w:lineRule="auto"/>
        <w:rPr>
          <w:sz w:val="20"/>
          <w:szCs w:val="20"/>
          <w:color w:val="auto"/>
        </w:rPr>
      </w:pPr>
      <w:r>
        <w:rPr>
          <w:rFonts w:ascii="Times New Roman" w:cs="Times New Roman" w:eastAsia="Times New Roman" w:hAnsi="Times New Roman"/>
          <w:sz w:val="18"/>
          <w:szCs w:val="18"/>
          <w:color w:val="auto"/>
        </w:rPr>
        <w:t>Product revenue decreased by $17.4 million, or 31% for the six months ended June 30, 2024 as compared to the same period in the prior year. This decrease was driven by a $22.2 million decrease in console revenue due to fewer consoles being sold in the current year, which was offset by a $4.7 million increase in consumable revenue attributable to growth in our console installed base.</w:t>
      </w:r>
    </w:p>
    <w:p>
      <w:pPr>
        <w:spacing w:after="0" w:line="68" w:lineRule="exact"/>
        <w:rPr>
          <w:sz w:val="20"/>
          <w:szCs w:val="20"/>
          <w:color w:val="auto"/>
        </w:rPr>
      </w:pPr>
    </w:p>
    <w:p>
      <w:pPr>
        <w:ind w:right="640" w:firstLine="569"/>
        <w:spacing w:after="0" w:line="282" w:lineRule="auto"/>
        <w:rPr>
          <w:sz w:val="20"/>
          <w:szCs w:val="20"/>
          <w:color w:val="auto"/>
        </w:rPr>
      </w:pPr>
      <w:r>
        <w:rPr>
          <w:rFonts w:ascii="Times New Roman" w:cs="Times New Roman" w:eastAsia="Times New Roman" w:hAnsi="Times New Roman"/>
          <w:sz w:val="18"/>
          <w:szCs w:val="18"/>
          <w:color w:val="auto"/>
        </w:rPr>
        <w:t>Service and other revenue increased for the three and six months ended June 30, 2024 as compared to the same periods in the prior year. The increase was primarily due to services associated with the growth in our console installed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4"/>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56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27 %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3,866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9"/>
        </w:trPr>
        <w:tc>
          <w:tcPr>
            <w:tcW w:w="2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35.7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21.4</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32.4</w:t>
            </w: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20.3</w:t>
            </w:r>
          </w:p>
        </w:tc>
        <w:tc>
          <w:tcPr>
            <w:tcW w:w="88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90" w:lineRule="exact"/>
        <w:rPr>
          <w:sz w:val="20"/>
          <w:szCs w:val="20"/>
          <w:color w:val="auto"/>
        </w:rPr>
      </w:pPr>
    </w:p>
    <w:p>
      <w:pPr>
        <w:ind w:right="220" w:firstLine="569"/>
        <w:spacing w:after="0" w:line="277" w:lineRule="auto"/>
        <w:rPr>
          <w:sz w:val="20"/>
          <w:szCs w:val="20"/>
          <w:color w:val="auto"/>
        </w:rPr>
      </w:pPr>
      <w:r>
        <w:rPr>
          <w:rFonts w:ascii="Times New Roman" w:cs="Times New Roman" w:eastAsia="Times New Roman" w:hAnsi="Times New Roman"/>
          <w:sz w:val="17"/>
          <w:szCs w:val="17"/>
          <w:color w:val="auto"/>
        </w:rPr>
        <w:t>Gross profit increased for the three and six months ended June 30, 2024 as compared to the same periods in the prior year. Gross margin improved by 14.3 percentage points for the three months ended June 30, 2024 and 12.1 percentage points for the six months ended June 30, 2024 as compared to the same periods in the prior year. These improvements in gross profit and gross margin were primarily driven by a higher mix of consumable and service and other revenue than consoles in the current year as compared to the prior year. Consumables had a higher gross margin than consoles and had improved gross margin year over year. The higher consumable gross margin resulted from lower cost per unit and a higher average selling price for consumables.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14,906</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(5,172 )</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22,369</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28,699</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(6,330 )</w:t>
            </w: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9"/>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24,985</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(6,857 )</w:t>
            </w:r>
          </w:p>
        </w:tc>
        <w:tc>
          <w:tcPr>
            <w:tcW w:w="2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49,318</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(10,142 )</w:t>
            </w:r>
          </w:p>
        </w:tc>
        <w:tc>
          <w:tcPr>
            <w:tcW w:w="2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46"/>
        </w:trPr>
        <w:tc>
          <w:tcPr>
            <w:tcW w:w="20" w:type="dxa"/>
            <w:vAlign w:val="bottom"/>
          </w:tcPr>
          <w:p>
            <w:pPr>
              <w:spacing w:after="0"/>
              <w:rPr>
                <w:sz w:val="21"/>
                <w:szCs w:val="21"/>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12 %</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r>
      <w:tr>
        <w:trPr>
          <w:trHeight w:val="22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51,181</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(10,635 )</w:t>
            </w:r>
          </w:p>
        </w:tc>
        <w:tc>
          <w:tcPr>
            <w:tcW w:w="260" w:type="dxa"/>
            <w:vAlign w:val="bottom"/>
          </w:tcPr>
          <w:p>
            <w:pPr>
              <w:spacing w:after="0"/>
              <w:rPr>
                <w:sz w:val="19"/>
                <w:szCs w:val="19"/>
                <w:color w:val="auto"/>
              </w:rPr>
            </w:pPr>
          </w:p>
        </w:tc>
        <w:tc>
          <w:tcPr>
            <w:tcW w:w="94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14"/>
                <w:szCs w:val="14"/>
                <w:color w:val="auto"/>
              </w:rPr>
              <w:t xml:space="preserve">(21 )% </w:t>
            </w:r>
            <w:r>
              <w:rPr>
                <w:rFonts w:ascii="Times New Roman" w:cs="Times New Roman" w:eastAsia="Times New Roman" w:hAnsi="Times New Roman"/>
                <w:sz w:val="26"/>
                <w:szCs w:val="26"/>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85,673</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101,094</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(15,421 )</w:t>
            </w:r>
          </w:p>
        </w:tc>
        <w:tc>
          <w:tcPr>
            <w:tcW w:w="2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for the three and six months ended June 30, 2024 as compared to the same periods in the prior year. The decrease was primarily due to an overall decrease in compensation-related and stock-based compensation expense, consulting expense, and infrastructure costs resulting from our cost reduction efforts implemented in the fourth quarter of 2023 and the second quarter of 2024.</w:t>
      </w:r>
    </w:p>
    <w:p>
      <w:pPr>
        <w:spacing w:after="0" w:line="68" w:lineRule="exact"/>
        <w:rPr>
          <w:sz w:val="20"/>
          <w:szCs w:val="20"/>
          <w:color w:val="auto"/>
        </w:rPr>
      </w:pPr>
    </w:p>
    <w:p>
      <w:pPr>
        <w:ind w:right="140" w:firstLine="569"/>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for the three and six months ended June 30, 2024 as compared to the same periods in the prior year. The decrease was primarily driven by an overall decrease in compensation-related and stock-based compensation expense, travel, and consulting expenses resulting from our cost reduction efforts implemented in the fourth quarter of 2023 and the second quarter of 2024. These decreases were partially offset by higher freight expenses due to higher volume in consumable sales.</w:t>
      </w:r>
    </w:p>
    <w:p>
      <w:pPr>
        <w:spacing w:after="0" w:line="72" w:lineRule="exact"/>
        <w:rPr>
          <w:sz w:val="20"/>
          <w:szCs w:val="20"/>
          <w:color w:val="auto"/>
        </w:rPr>
      </w:pPr>
    </w:p>
    <w:p>
      <w:pPr>
        <w:ind w:right="200" w:firstLine="56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for the three and six months ended June 30, 2024 as compared to the same periods in the prior year. The increase was primarily due to $1.8 million of allowance for credit losses recorded in the second quarter of 2024 and an increase in stock-based compensation expense. These increases were partially offset by an overall decrease in consulting expenses and compensation-related expense resulting from our cost reduction efforts implemented in the fourth quarter of 2023 and the second quarter of 2024. Our insurance costs also decreased as compared to the prior year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6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6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26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(197 )</w:t>
            </w:r>
          </w:p>
        </w:tc>
        <w:tc>
          <w:tcPr>
            <w:tcW w:w="2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46"/>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(6,010 )</w:t>
            </w: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(3,103 )</w:t>
            </w:r>
          </w:p>
        </w:tc>
        <w:tc>
          <w:tcPr>
            <w:tcW w:w="1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(2,907 )</w:t>
            </w:r>
          </w:p>
        </w:tc>
        <w:tc>
          <w:tcPr>
            <w:tcW w:w="2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(11,978 )</w:t>
            </w:r>
          </w:p>
        </w:tc>
        <w:tc>
          <w:tcPr>
            <w:tcW w:w="1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(6,045 )</w:t>
            </w:r>
          </w:p>
        </w:tc>
        <w:tc>
          <w:tcPr>
            <w:tcW w:w="16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(5,933 )</w:t>
            </w:r>
          </w:p>
        </w:tc>
        <w:tc>
          <w:tcPr>
            <w:tcW w:w="2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(3,539 )</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(435 )</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(3,104 )</w:t>
            </w:r>
          </w:p>
        </w:tc>
        <w:tc>
          <w:tcPr>
            <w:tcW w:w="260" w:type="dxa"/>
            <w:vAlign w:val="bottom"/>
          </w:tcPr>
          <w:p>
            <w:pPr>
              <w:spacing w:after="0"/>
              <w:rPr>
                <w:sz w:val="19"/>
                <w:szCs w:val="19"/>
                <w:color w:val="auto"/>
              </w:rPr>
            </w:pPr>
          </w:p>
        </w:tc>
        <w:tc>
          <w:tcPr>
            <w:tcW w:w="94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14"/>
                <w:szCs w:val="14"/>
                <w:color w:val="auto"/>
              </w:rPr>
              <w:t xml:space="preserve">714 % </w:t>
            </w:r>
            <w:r>
              <w:rPr>
                <w:rFonts w:ascii="Times New Roman" w:cs="Times New Roman" w:eastAsia="Times New Roman" w:hAnsi="Times New Roman"/>
                <w:sz w:val="26"/>
                <w:szCs w:val="26"/>
                <w:color w:val="auto"/>
                <w:vertAlign w:val="superscript"/>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(6,409 )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(729 )</w:t>
            </w:r>
          </w:p>
        </w:tc>
        <w:tc>
          <w:tcPr>
            <w:tcW w:w="1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(5,680 )</w:t>
            </w:r>
          </w:p>
        </w:tc>
        <w:tc>
          <w:tcPr>
            <w:tcW w:w="2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779 %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changes in interest income and other income, net for the three and six months ended June 30, 2024 as compared to the same periods in the prior year were driven by the changes in interest rates.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22" w:name="page23"/>
    <w:bookmarkEnd w:id="22"/>
    <w:p>
      <w:pPr>
        <w:ind w:right="280" w:firstLine="569"/>
        <w:spacing w:after="0" w:line="282" w:lineRule="auto"/>
        <w:rPr>
          <w:sz w:val="20"/>
          <w:szCs w:val="20"/>
          <w:color w:val="auto"/>
        </w:rPr>
      </w:pPr>
      <w:r>
        <w:rPr>
          <w:rFonts w:ascii="Times New Roman" w:cs="Times New Roman" w:eastAsia="Times New Roman" w:hAnsi="Times New Roman"/>
          <w:sz w:val="18"/>
          <w:szCs w:val="18"/>
          <w:color w:val="auto"/>
        </w:rPr>
        <w:t>The increases in interest expense for the three and six months ended June 30, 2024 were primarily due to a higher outstanding balance under the SLR Term Loan Facility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June 30, 2024, we had cash, cash equivalents, restricted cash, and short-term investments of $198.2 million.</w:t>
      </w:r>
    </w:p>
    <w:p>
      <w:pPr>
        <w:spacing w:after="0" w:line="117"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 and proceeds from employee exercise of stock options and ESPP purchases.</w:t>
      </w:r>
    </w:p>
    <w:p>
      <w:pPr>
        <w:spacing w:after="0" w:line="68" w:lineRule="exact"/>
        <w:rPr>
          <w:sz w:val="20"/>
          <w:szCs w:val="20"/>
          <w:color w:val="auto"/>
        </w:rPr>
      </w:pPr>
    </w:p>
    <w:p>
      <w:pPr>
        <w:ind w:right="100" w:firstLine="569"/>
        <w:spacing w:after="0" w:line="270" w:lineRule="auto"/>
        <w:rPr>
          <w:sz w:val="20"/>
          <w:szCs w:val="20"/>
          <w:color w:val="auto"/>
        </w:rPr>
      </w:pPr>
      <w:r>
        <w:rPr>
          <w:rFonts w:ascii="Times New Roman" w:cs="Times New Roman" w:eastAsia="Times New Roman" w:hAnsi="Times New Roman"/>
          <w:sz w:val="17"/>
          <w:szCs w:val="17"/>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which may require refinancing or amending the terms of our existing debt, or other sources. If this financing is not available to us at adequate levels or on acceptable terms, we may need to further 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(including through our existing debt), we will be subject to an increase in our interest expense which may negatively affect our cash flow. We also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from the debt financing described in Note 7 of the accompanying condensed financial statements above, will be sufficient to meet our anticipated needs for at least the next 12 months from the issuance date of this Quarterly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spacing w:after="0"/>
              <w:rPr>
                <w:sz w:val="19"/>
                <w:szCs w:val="19"/>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(79,247 )</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(72,932 )</w:t>
            </w: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(20,090 )</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29,796</w:t>
            </w:r>
          </w:p>
        </w:tc>
        <w:tc>
          <w:tcPr>
            <w:tcW w:w="10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68,687</w:t>
            </w:r>
          </w:p>
        </w:tc>
        <w:tc>
          <w:tcPr>
            <w:tcW w:w="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00" w:type="dxa"/>
            <w:vAlign w:val="bottom"/>
          </w:tcPr>
          <w:p>
            <w:pPr>
              <w:spacing w:after="0"/>
              <w:rPr>
                <w:sz w:val="19"/>
                <w:szCs w:val="19"/>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(30,650 )</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(36,816 )</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569"/>
        <w:spacing w:after="0" w:line="254" w:lineRule="auto"/>
        <w:rPr>
          <w:sz w:val="20"/>
          <w:szCs w:val="20"/>
          <w:color w:val="auto"/>
        </w:rPr>
      </w:pPr>
      <w:r>
        <w:rPr>
          <w:rFonts w:ascii="Times New Roman" w:cs="Times New Roman" w:eastAsia="Times New Roman" w:hAnsi="Times New Roman"/>
          <w:sz w:val="18"/>
          <w:szCs w:val="18"/>
          <w:color w:val="auto"/>
        </w:rPr>
        <w:t>The net cash used in operating activities of $79.2 million for the six months ended June 30, 2024 was due to a net loss of $74.4 million, the amortization of premiums on investments of $2.9 million and a net cash outflow from the change in our operating assets and liabilities of $27.4 million, which were adjusted by stock-based compensation expense of $18.0 million, depreciation and amortization of $2.9 million, allowance for credit losses of $1.8 million, non-cash interest expense of $1.2 million, non-cash lease expense of $0.7 million, and provision for inventories of $0.7 million. The net cash outflow from operating assets and liabilities was primarily driven by an increase in inventories, a decrease in accrued compensation and related benefit, a decrease in accrued expenses and other current liabilities due to timing of vendor payments, an increase in accounts receivable resulting from the timing of collection and a decrease in accrued warranty liability. The net cash outflow from operating assets and liabilities was partially offset by an increase in deferred revenue due to growth in our business and a decrease in prepaid expenses and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net cash used in investing activities of $20.1 million for the six months ended June 30, 2024 was due to the purchases of short-term investment securities of $128.4 million and the purchases of property and equipment of $0.5 million, which was partially offset by the maturities of short-term investment securities of $108.8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net cash provided by financing activities of $68.7 million for the six months ended June 30, 2024 was due to the net proceeds of $66.5 million from borrowings under the SLR Term Loan Facility and the proceeds from employee exercises of stock options and ESPP purchases.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60" w:firstLine="569"/>
        <w:spacing w:after="0" w:line="282" w:lineRule="auto"/>
        <w:rPr>
          <w:sz w:val="20"/>
          <w:szCs w:val="20"/>
          <w:color w:val="auto"/>
        </w:rPr>
      </w:pPr>
      <w:r>
        <w:rPr>
          <w:rFonts w:ascii="Times New Roman" w:cs="Times New Roman" w:eastAsia="Times New Roman" w:hAnsi="Times New Roman"/>
          <w:sz w:val="18"/>
          <w:szCs w:val="18"/>
          <w:color w:val="auto"/>
        </w:rPr>
        <w:t>Our market risks related to interest rate and foreign currency exchange rates are described in Part II Item 7A, “Quantitative and Qualitative Disclosures About Market Risk”, of our 2023 Annual Report. Our exposure to market risks has not changed materially since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Securities Exchange Act of 1934, as amended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2023 Annual Report, as updated by the risk factors discussed in Part II, “Item 1A. Risk Factors” in our Quarterly Report on Form 10-Q for the fiscal quarter ended March 31, 2024 (Q1 2024 Quarterly Report), which could materially affect our business, financial position, or future results of operations. There have been no material changes to the risk factors described in our 2023 Annual Report, as updated by our Q1 2024 Quarterly Report, except as set forth below. The risks described in our 2023 Annual Report and Q1 2024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retain our commercial team and optimize our sales processes, or fail to expand the adoption of Tablo as we focus more heavily on enterprise selling, we may not be able to generate revenue growth.</w:t>
      </w:r>
    </w:p>
    <w:p>
      <w:pPr>
        <w:spacing w:after="0" w:line="15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have relatively limited experience marketing and selling Tablo. We currently rely on our direct sales force to sell Tablo in the United States, and any failure to maintain, leverage and optimize our direct sales force will negatively affect our business, financial condition and results of operations. The members of our direct sales force are highly trained and possess substantial technical expertise, which we believe is critical in increasing adoption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In addition, our services revenue is dependent in part on our FSEs, and any failure to maintain, or adequately train, our team of FSEs could negatively impact our services revenue.</w:t>
      </w:r>
    </w:p>
    <w:p>
      <w:pPr>
        <w:spacing w:after="0" w:line="84"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In order to generate future growth, we plan to leverage and optimize our sales and marketing infrastructure to increase the number of customers that adopt Tablo. In addition,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optimize and train our sales force do not generate a corresponding increase in revenue, and our higher fixed costs may slow our ability to reduce costs in the face of a sudden decline in demand for Tablo. In addition, our ability to generate revenue growth depends on the success of our efforts to further evolve our commercial infrastructure and sales processes to support the growth of our business in the home and acute markets. Any failure to hire, optimize, develop and retain talented sales personnel, to achieve desired productivity levels in a reasonable period of time or timely reduce fixed costs, or to evolve and scale our commercial infrastructure and sales processes, could negatively affect our business, financial condition and results of operations.</w:t>
      </w:r>
    </w:p>
    <w:p>
      <w:pPr>
        <w:spacing w:after="0" w:line="84"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Tablo will depend to a significant extent on the effectiveness of our marketing efforts. We plan to continue dedicating resources to our marketing programs, and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Moreover, we may periodically adjust our sales organization or sales strategies in response to market shifts or opportunities, changes in our current or prospective customers, competitive threats, management changes, sales headcount changes, product and service introductions or enhancements, sales performance, cost reduction initiatives, and other internal and external considerations. Any such changes may result in disruptions in our sales cycle or a reduction of productivity, which could negatively impact our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revenue growth. For example, during the second quarter of 2024, we observed a further elongation of our sales cycle, which contributed to an adverse impact on our revenues for the quarter, and which we believe was due in part to our transition beyond earlier stage adoption of Tablo. We identified a need to evolve our sales strategy to focus more heavily on enterprise selling, which often requires approvals and commitment across a larger base of stakeholders within a health system including clinical, financial and operational executives, and can elongate the sales cycle. We determined that this shift requires additional training, skill-building and optimization of our sales team and sales processes. In connection with steps we are taking to help optimize our commercial organization, and to help improve operational efficiencies and reduce operating expenses to align with anticipated revenue growth, in the third quarter of 2024, we initiated a restructuring plan primarily impacting our commercial organization. These actions could result in short-term or long-term disruption of our sales cycle and may not produce the cost savings, efficiencies and other benefits we anticipate or desire. Our ability to achieve the anticipated cost savings, efficiencies and other benefits from these actions on the timeframe we expect, or at all, is subject to estimates and assumptions, which are subject to uncertainties. If our estimates and assumptions are incorrect, if we are unsuccessful at implementing these changes or if we otherwise encounter deficiencies or inefficiencies in our infrastructure or processes which we did not anticipate, it could harm our business, financial condition, results of operations and, ultimately, our future growth and profitability. In addition, these actions may heighten certain of the risks described above, in particular, our ability to attract and retain talented sales and marketing personnel may be adversely impacted, which could harm our business.</w:t>
      </w:r>
    </w:p>
    <w:p>
      <w:pPr>
        <w:spacing w:after="0" w:line="18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require us to meet certain operating and financial covenants, place restrictions on our operating and financial flexibility and subject us to interest rate risk, and our ability to access additional borrowings is subject to us achieving certain net revenue milestones and obtaining lenders’ credit approval.</w:t>
      </w:r>
    </w:p>
    <w:p>
      <w:pPr>
        <w:spacing w:after="0" w:line="67" w:lineRule="exact"/>
        <w:rPr>
          <w:sz w:val="20"/>
          <w:szCs w:val="20"/>
          <w:color w:val="auto"/>
        </w:rPr>
      </w:pPr>
    </w:p>
    <w:p>
      <w:pPr>
        <w:ind w:right="60" w:firstLine="569"/>
        <w:spacing w:after="0" w:line="257" w:lineRule="auto"/>
        <w:rPr>
          <w:sz w:val="20"/>
          <w:szCs w:val="20"/>
          <w:color w:val="auto"/>
        </w:rPr>
      </w:pPr>
      <w:r>
        <w:rPr>
          <w:rFonts w:ascii="Times New Roman" w:cs="Times New Roman" w:eastAsia="Times New Roman" w:hAnsi="Times New Roman"/>
          <w:sz w:val="18"/>
          <w:szCs w:val="18"/>
          <w:color w:val="auto"/>
        </w:rPr>
        <w:t xml:space="preserve">We entered into the SLR Credit Facilities on November 3, 2022, which provide for (i) up to $250.0 million of term loans pursuant to the SLR Loan Agreement and (ii) up to a $50.0 million asset-based revolving credit facility pursuant to the SLR Revolving Credit Agreement. We have already borrowed $200.0 million of term loans, the full amount available under certain borrowing limitations that limit the maximum principal amount outstanding under the SLR Credit Facilities. In addition, additional borrowings under the SLR Credit Facilities are subject to us achieving certain net revenue milestones and/or obtaining lenders’ credit approval. As a result, we cannot rely on further borrowings under the SLR Credit Facilities to fund our operations. In addition, principal amounts outstanding under each of the SLR Term Loan Facility and the SLR Revolver accrue interest at variable interest rates tied to SOFR. As a result, our borrowings under the facilities are subject to interest rate risk. An adverse change in interest rates for our borrowings would increase our borrowing costs which may restrict our access to capital in the future and, ultimately, could adversely affect our financial condition and results of operations. See the section titled “Management’s Discussion and Analysis of Financial Condition and Results of Operations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Liquidity and Capital Resources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Debt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SLR Debt Financing.”</w:t>
      </w:r>
    </w:p>
    <w:p>
      <w:pPr>
        <w:spacing w:after="0" w:line="50"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The SLR Credit Facility Agreements contain customary representations and warranties and customary affirmative and negative covenants, including, among others, requirements as to financial reporting (including the timely delivery of audited financial statements together with an unqualified report from our independent registered accountants thereon)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or to pay any dividends or other distributions on capital stock. Accordingly, the terms may restrict our current and future operations, particularly our ability to respond to certain changes in our business or industry or take future actions. In addition, the SLR Credit Facility Agreements also include a financial covenant that, beginning with the fiscal quarter ending December 31, 2023, requires us to either (i) maintain certain levels of cash and cash equivalents in accounts subject to control agreements in favor of Agent and ABL Lender of at least the sum of (a) 50% of the outstanding obligations under the SLR Term Loan Facility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 If we fail to comply with any covenants, payments or other terms of either SLR Credit Facility Agreement, our agent or lender, as applicable, could declare an event of default, which would give it the right to declare all borrowings outstanding, together with accrued and unpaid interest and fees, to be immediately due and payable. In addition, our agent or lender, as applicable, would have the right to proceed against the assets we provided as collateral pursuant to the SLR Loan Agreement or SLR Revolving Credit Agreement, as applicable. If the debt under either SLR Credit Facility Agreement was accelerated, we may not have sufficient cash or be able to sell sufficient assets to repay this debt, which would harm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none of the Company’s directors or officers has adopted or terminated a Rule 10b5-1 trading arrangement or a non-Rule 10b5–1 trading arrangement (each as defined in Item 408 of Regulation S-K under the Exchange Act).</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8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8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Amended and Restated Certificate of Incorporation of Outset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Amended and Restated Bylaws of Outset 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Registration Rights Agreement</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Series A Warrant Agreement #1</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180" w:type="dxa"/>
            <w:vAlign w:val="bottom"/>
            <w:gridSpan w:val="11"/>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Series A Warrant Agreement #2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00" w:type="dxa"/>
            <w:vAlign w:val="bottom"/>
            <w:gridSpan w:val="8"/>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gridSpan w:val="4"/>
            <w:shd w:val="clear" w:color="auto" w:fill="0000FF"/>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appear in the Interactive Data File because its XBRL tags are embedded</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bl>
    <w:p>
      <w:pPr>
        <w:ind w:left="1080" w:right="120" w:hanging="1059"/>
        <w:spacing w:after="0" w:line="306" w:lineRule="auto"/>
        <w:tabs>
          <w:tab w:leader="none" w:pos="10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5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16510</wp:posOffset>
            </wp:positionV>
            <wp:extent cx="30600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5"/>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594"/>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2"/>
        </w:trPr>
        <w:tc>
          <w:tcPr>
            <w:tcW w:w="66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5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August 21, 2020</w:t>
            </w:r>
          </w:p>
        </w:tc>
      </w:tr>
    </w:tbl>
    <w:p>
      <w:pPr>
        <w:sectPr>
          <w:pgSz w:w="11900" w:h="16838" w:orient="portrait"/>
          <w:cols w:equalWidth="0" w:num="2">
            <w:col w:w="6280" w:space="320"/>
            <w:col w:w="4500"/>
          </w:cols>
          <w:pgMar w:left="320" w:top="981" w:right="4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4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w w:val="97"/>
              </w:rPr>
              <w:t>Outset Medical, Inc.</w:t>
            </w:r>
          </w:p>
        </w:tc>
        <w:tc>
          <w:tcPr>
            <w:tcW w:w="4340" w:type="dxa"/>
            <w:vAlign w:val="bottom"/>
          </w:tcPr>
          <w:p>
            <w:pPr>
              <w:spacing w:after="0"/>
              <w:rPr>
                <w:sz w:val="20"/>
                <w:szCs w:val="20"/>
                <w:color w:val="auto"/>
              </w:rPr>
            </w:pPr>
          </w:p>
        </w:tc>
      </w:tr>
      <w:tr>
        <w:trPr>
          <w:trHeight w:val="47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7, 2024</w:t>
            </w:r>
          </w:p>
        </w:tc>
        <w:tc>
          <w:tcPr>
            <w:tcW w:w="34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205"/>
        </w:trPr>
        <w:tc>
          <w:tcPr>
            <w:tcW w:w="3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7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7, 2024</w:t>
            </w:r>
          </w:p>
        </w:tc>
        <w:tc>
          <w:tcPr>
            <w:tcW w:w="34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Nabeel Ahmed</w:t>
            </w:r>
          </w:p>
        </w:tc>
      </w:tr>
      <w:tr>
        <w:trPr>
          <w:trHeight w:val="205"/>
        </w:trPr>
        <w:tc>
          <w:tcPr>
            <w:tcW w:w="3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w w:val="99"/>
              </w:rPr>
              <w:t>Nabeel Ahmed</w:t>
            </w:r>
          </w:p>
        </w:tc>
      </w:tr>
      <w:tr>
        <w:trPr>
          <w:trHeight w:val="214"/>
        </w:trPr>
        <w:tc>
          <w:tcPr>
            <w:tcW w:w="3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62"/>
        </w:trPr>
        <w:tc>
          <w:tcPr>
            <w:tcW w:w="3500" w:type="dxa"/>
            <w:vAlign w:val="bottom"/>
          </w:tcPr>
          <w:p>
            <w:pPr>
              <w:spacing w:after="0"/>
              <w:rPr>
                <w:sz w:val="24"/>
                <w:szCs w:val="24"/>
                <w:color w:val="auto"/>
              </w:rPr>
            </w:pP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80" w:val="left"/>
          <w:tab w:leader="none" w:pos="86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Leslie Trigg</w:t>
      </w:r>
    </w:p>
    <w:p>
      <w:pPr>
        <w:spacing w:after="0" w:line="3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Nabeel Ahmed, certify that:</w:t>
      </w:r>
    </w:p>
    <w:p>
      <w:pPr>
        <w:spacing w:after="0" w:line="198" w:lineRule="exact"/>
        <w:rPr>
          <w:sz w:val="20"/>
          <w:szCs w:val="20"/>
          <w:color w:val="auto"/>
        </w:rPr>
      </w:pPr>
    </w:p>
    <w:p>
      <w:pPr>
        <w:ind w:left="760" w:hanging="75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80" w:val="left"/>
          <w:tab w:leader="none" w:pos="85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Nabeel Ahmed</w:t>
      </w:r>
    </w:p>
    <w:p>
      <w:pPr>
        <w:spacing w:after="0" w:line="3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ending June 30, 2024,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39" w:lineRule="exact"/>
        <w:rPr>
          <w:sz w:val="20"/>
          <w:szCs w:val="20"/>
          <w:color w:val="auto"/>
        </w:rPr>
      </w:pPr>
    </w:p>
    <w:p>
      <w:pPr>
        <w:ind w:left="20"/>
        <w:spacing w:after="0"/>
        <w:tabs>
          <w:tab w:leader="none" w:pos="4560" w:val="left"/>
          <w:tab w:leader="none" w:pos="5200" w:val="left"/>
        </w:tabs>
        <w:rPr>
          <w:sz w:val="20"/>
          <w:szCs w:val="20"/>
          <w:color w:val="auto"/>
        </w:rPr>
      </w:pP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26035</wp:posOffset>
            </wp:positionV>
            <wp:extent cx="38315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Leslie Trigg</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20"/>
        <w:spacing w:after="0"/>
        <w:tabs>
          <w:tab w:leader="none" w:pos="4560" w:val="left"/>
          <w:tab w:leader="none" w:pos="5200" w:val="left"/>
        </w:tabs>
        <w:rPr>
          <w:sz w:val="20"/>
          <w:szCs w:val="20"/>
          <w:color w:val="auto"/>
        </w:rPr>
      </w:pP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26035</wp:posOffset>
            </wp:positionV>
            <wp:extent cx="38315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Nabeel Ahmed</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2"/>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23" Type="http://schemas.openxmlformats.org/officeDocument/2006/relationships/hyperlink" Target="https://www.sec.gov/Archives/edgar/data/1484612/000119312520241516/d941853dex31.htm" TargetMode="External"/><Relationship Id="rId224" Type="http://schemas.openxmlformats.org/officeDocument/2006/relationships/hyperlink" Target="https://www.sec.gov/Archives/edgar/data/1484612/000119312520241516/d941853dex32.htm" TargetMode="External"/><Relationship Id="rId225" Type="http://schemas.openxmlformats.org/officeDocument/2006/relationships/hyperlink" Target="https://www.sec.gov/Archives/edgar/data/1484612/000119312520241516/d941853dex41.htm" TargetMode="External"/><Relationship Id="rId226" Type="http://schemas.openxmlformats.org/officeDocument/2006/relationships/hyperlink" Target="https://www.sec.gov/Archives/edgar/data/1484612/000119312520226746/d941853dex42.htm" TargetMode="External"/><Relationship Id="rId227" Type="http://schemas.openxmlformats.org/officeDocument/2006/relationships/hyperlink" Target="https://www.sec.gov/Archives/edgar/data/1484612/000119312520226746/d941853dex43.htm" TargetMode="External"/><Relationship Id="rId228"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2024-08-08T05:35:27Z</dcterms:created>
  <dcterms:modified xsi:type="dcterms:W3CDTF">2024-08-08T05:35:27Z</dcterms:modified>
</cp:coreProperties>
</file>