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480" w:hanging="3812"/>
        <w:spacing w:after="0" w:line="365" w:lineRule="auto"/>
        <w:tabs>
          <w:tab w:leader="none" w:pos="5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3872865</wp:posOffset>
            </wp:positionH>
            <wp:positionV relativeFrom="paragraph">
              <wp:posOffset>-3175</wp:posOffset>
            </wp:positionV>
            <wp:extent cx="308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ectPr>
          <w:pgSz w:w="11900" w:h="16838" w:orient="portrait"/>
          <w:cols w:equalWidth="0" w:num="1">
            <w:col w:w="11240"/>
          </w:cols>
          <w:pgMar w:left="320" w:top="970"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20"/>
        <w:spacing w:after="0" w:line="229"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35"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60"/>
        <w:spacing w:after="0"/>
        <w:rPr>
          <w:sz w:val="20"/>
          <w:szCs w:val="20"/>
          <w:color w:val="auto"/>
        </w:rPr>
      </w:pPr>
      <w:r>
        <w:rPr>
          <w:rFonts w:ascii="Times New Roman" w:cs="Times New Roman" w:eastAsia="Times New Roman" w:hAnsi="Times New Roman"/>
          <w:sz w:val="14"/>
          <w:szCs w:val="14"/>
          <w:b w:val="1"/>
          <w:bCs w:val="1"/>
          <w:color w:val="auto"/>
        </w:rPr>
        <w:t>3052 Orchard Dr.</w:t>
      </w:r>
    </w:p>
    <w:p>
      <w:pPr>
        <w:spacing w:after="0" w:line="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San Jose, California</w:t>
      </w:r>
    </w:p>
    <w:p>
      <w:pPr>
        <w:spacing w:after="0" w:line="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20-0514392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95134</w:t>
      </w:r>
    </w:p>
    <w:p>
      <w:pPr>
        <w:spacing w:after="0" w:line="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5" w:lineRule="exact"/>
        <w:rPr>
          <w:sz w:val="24"/>
          <w:szCs w:val="24"/>
          <w:color w:val="auto"/>
        </w:rPr>
      </w:pPr>
    </w:p>
    <w:p>
      <w:pPr>
        <w:sectPr>
          <w:pgSz w:w="11900" w:h="16838" w:orient="portrait"/>
          <w:cols w:equalWidth="0" w:num="2">
            <w:col w:w="7480" w:space="460"/>
            <w:col w:w="3300"/>
          </w:cols>
          <w:pgMar w:left="320" w:top="97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73"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6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 2026, the registrant had 18,537,241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2"/>
            <w:vMerge w:val="continue"/>
          </w:tcPr>
          <w:p>
            <w:pPr>
              <w:spacing w:after="0"/>
              <w:rPr>
                <w:sz w:val="14"/>
                <w:szCs w:val="14"/>
                <w:color w:val="auto"/>
              </w:rPr>
            </w:pPr>
          </w:p>
        </w:tc>
        <w:tc>
          <w:tcPr>
            <w:tcW w:w="9440" w:type="dxa"/>
            <w:vAlign w:val="bottom"/>
            <w:gridSpan w:val="17"/>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(Unaudited)</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Balance Sheets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Comprehensive Loss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Convertible Preferred Stock and Stockholders’ Equity</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420" w:type="dxa"/>
            <w:vAlign w:val="bottom"/>
            <w:tcBorders>
              <w:left w:val="single" w:sz="8" w:color="0563C1"/>
            </w:tcBorders>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Cash Flows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Notes to Unaudited Condensed Financial Statements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460" w:type="dxa"/>
            <w:vAlign w:val="bottom"/>
            <w:gridSpan w:val="5"/>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2120" w:type="dxa"/>
            <w:vAlign w:val="bottom"/>
            <w:tcBorders>
              <w:left w:val="single" w:sz="8" w:color="0563C1"/>
            </w:tcBorders>
            <w:gridSpan w:val="2"/>
            <w:shd w:val="clear" w:color="auto" w:fill="0563C1"/>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tcBorders>
              <w:left w:val="single" w:sz="8" w:color="0563C1"/>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20" w:type="dxa"/>
            <w:vAlign w:val="bottom"/>
          </w:tcPr>
          <w:p>
            <w:pPr>
              <w:spacing w:after="0"/>
              <w:rPr>
                <w:sz w:val="17"/>
                <w:szCs w:val="17"/>
                <w:color w:val="auto"/>
              </w:rPr>
            </w:pPr>
          </w:p>
        </w:tc>
        <w:tc>
          <w:tcPr>
            <w:tcW w:w="580" w:type="dxa"/>
            <w:vAlign w:val="bottom"/>
            <w:tcBorders>
              <w:top w:val="single" w:sz="8" w:color="0563C1"/>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432"/>
        </w:trPr>
        <w:tc>
          <w:tcPr>
            <w:tcW w:w="760" w:type="dxa"/>
            <w:vAlign w:val="bottom"/>
            <w:tcBorders>
              <w:top w:val="single" w:sz="8" w:color="0563C1"/>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249,454</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264,496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shares authorized, and no shares issued and outstanding as of</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 shares authorized as of March 31, 2026 and December 31,</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 18,529 and 18,169 shares issued and outstanding as of March 31, 2026 and December 31, 2025,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1,298,138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(1,190,354)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(1,171,376)</w:t>
            </w:r>
          </w:p>
        </w:tc>
      </w:tr>
      <w:tr>
        <w:trPr>
          <w:trHeight w:val="210"/>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111,688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249,454</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264,496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-4773930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-3942715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-1696720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20" w:type="dxa"/>
            <w:vAlign w:val="bottom"/>
          </w:tcPr>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9"/>
        </w:trPr>
        <w:tc>
          <w:tcPr>
            <w:tcW w:w="7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 revenue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29,014</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(16,919)</w:t>
            </w: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(16,399)</w:t>
            </w:r>
          </w:p>
        </w:tc>
      </w:tr>
      <w:tr>
        <w:trPr>
          <w:trHeight w:val="216"/>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(3,369)</w:t>
            </w: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(3,560)</w:t>
            </w:r>
          </w:p>
        </w:tc>
      </w:tr>
      <w:tr>
        <w:trPr>
          <w:trHeight w:val="216"/>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(7,685)</w:t>
            </w:r>
          </w:p>
        </w:tc>
      </w:tr>
      <w:tr>
        <w:trPr>
          <w:trHeight w:val="20"/>
        </w:trPr>
        <w:tc>
          <w:tcPr>
            <w:tcW w:w="7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(18,761)</w:t>
            </w: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(25,668)</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(18,978)</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(25,783)</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7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4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18,373</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7,038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-3016885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-2459990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-2459990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-488315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(18,978)</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(25,783)</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FF0FC"/>
          </w:tcPr>
          <w:p>
            <w:pPr>
              <w:spacing w:after="0"/>
              <w:rPr>
                <w:sz w:val="18"/>
                <w:szCs w:val="18"/>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(19,223)</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(25,737)</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Statements of Convertible Preferred Stock and Stockholders’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180"/>
          </w:cols>
          <w:pgMar w:left="320" w:top="98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u w:val="single" w:color="auto"/>
          <w:color w:val="auto"/>
        </w:rPr>
        <w:t>Convertible Preferred Stock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33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ind w:left="4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40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plan</w:t>
            </w:r>
          </w:p>
        </w:tc>
        <w:tc>
          <w:tcPr>
            <w:tcW w:w="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40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6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4"/>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960" w:type="dxa"/>
            <w:vAlign w:val="bottom"/>
            <w:gridSpan w:val="2"/>
            <w:vMerge w:val="continue"/>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18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960" w:type="dxa"/>
            <w:vAlign w:val="bottom"/>
            <w:gridSpan w:val="2"/>
          </w:tcPr>
          <w:p>
            <w:pPr>
              <w:jc w:val="center"/>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3"/>
                <w:szCs w:val="13"/>
                <w:color w:val="auto"/>
              </w:rPr>
            </w:pPr>
          </w:p>
        </w:tc>
        <w:tc>
          <w:tcPr>
            <w:tcW w:w="7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96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18,169</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1,298,138</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 (1,171,376)</w:t>
            </w:r>
          </w:p>
        </w:tc>
        <w:tc>
          <w:tcPr>
            <w:tcW w:w="2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9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71"/>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(18,978)</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(18,978)</w:t>
            </w:r>
          </w:p>
        </w:tc>
        <w:tc>
          <w:tcPr>
            <w:tcW w:w="0" w:type="dxa"/>
            <w:vAlign w:val="bottom"/>
          </w:tcPr>
          <w:p>
            <w:pPr>
              <w:spacing w:after="0"/>
              <w:rPr>
                <w:sz w:val="1"/>
                <w:szCs w:val="1"/>
                <w:color w:val="auto"/>
              </w:rPr>
            </w:pPr>
          </w:p>
        </w:tc>
      </w:tr>
      <w:tr>
        <w:trPr>
          <w:trHeight w:val="142"/>
        </w:trPr>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18,529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1,302,097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(1,190,354</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-788035</wp:posOffset>
            </wp:positionV>
            <wp:extent cx="713232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-505460</wp:posOffset>
            </wp:positionV>
            <wp:extent cx="713232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-316230</wp:posOffset>
            </wp:positionV>
            <wp:extent cx="7132320"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-119380</wp:posOffset>
            </wp:positionV>
            <wp:extent cx="713232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5160" w:space="240"/>
            <w:col w:w="5780"/>
          </w:cols>
          <w:pgMar w:left="320" w:top="981"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02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Convertible Series A</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2020" w:type="dxa"/>
            <w:vAlign w:val="bottom"/>
            <w:gridSpan w:val="6"/>
            <w:vMerge w:val="continue"/>
          </w:tcPr>
          <w:p>
            <w:pPr>
              <w:spacing w:after="0"/>
              <w:rPr>
                <w:sz w:val="12"/>
                <w:szCs w:val="12"/>
                <w:color w:val="auto"/>
              </w:rPr>
            </w:pPr>
          </w:p>
        </w:tc>
        <w:tc>
          <w:tcPr>
            <w:tcW w:w="1800" w:type="dxa"/>
            <w:vAlign w:val="bottom"/>
            <w:gridSpan w:val="4"/>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800" w:type="dxa"/>
            <w:vAlign w:val="bottom"/>
            <w:tcBorders>
              <w:bottom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3,530</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1,116,496</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(1,089,723)</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26,819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Series A convertible preferred 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161,071</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161,071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 stock to common</w:t>
            </w:r>
          </w:p>
        </w:tc>
        <w:tc>
          <w:tcPr>
            <w:tcW w:w="9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(842)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(157,230)</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14,046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157,216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stock</w:t>
            </w: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warrant, net of issuance</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costs</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(25,783)</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(25,783)</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3,841</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17,722</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1,281,427</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(1,115,506)</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-128270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-128270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-128270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-128270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-128270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-128270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-128270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(18,978)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(25,783)</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premium on investments, net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provision for inventories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(2,244)</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(1,980)</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(8,579)</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(1,194)</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(2,695)</w:t>
            </w: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(12,844)</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(25,663)</w:t>
            </w:r>
          </w:p>
        </w:tc>
      </w:tr>
      <w:tr>
        <w:trPr>
          <w:trHeight w:val="210"/>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(22,895)</w:t>
            </w: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(96,331)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3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(78,079)</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ESPP purchases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term loan and extinguishment costs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(204,954)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term loan, net of issuance costs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98,270</w:t>
            </w: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Series A convertible preferred stock,</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of issuance costs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161,932</w:t>
            </w:r>
          </w:p>
        </w:tc>
        <w:tc>
          <w:tcPr>
            <w:tcW w:w="100" w:type="dxa"/>
            <w:vAlign w:val="bottom"/>
          </w:tcPr>
          <w:p>
            <w:pPr>
              <w:spacing w:after="0"/>
              <w:rPr>
                <w:sz w:val="20"/>
                <w:szCs w:val="20"/>
                <w:color w:val="auto"/>
              </w:rPr>
            </w:pPr>
          </w:p>
        </w:tc>
      </w:tr>
      <w:tr>
        <w:trPr>
          <w:trHeight w:val="210"/>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(4,444)</w:t>
            </w: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(48,086)</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as of beginning of period</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as of end of period</w:t>
            </w:r>
          </w:p>
        </w:tc>
        <w:tc>
          <w:tcPr>
            <w:tcW w:w="9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w:t>
            </w:r>
          </w:p>
        </w:tc>
        <w:tc>
          <w:tcPr>
            <w:tcW w:w="3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Summary of cash, cash equivalents and restricted cash reported within the balance sheets: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3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75,928</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34,391</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79,257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-2990850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-2446655</wp:posOffset>
            </wp:positionV>
            <wp:extent cx="10287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-1332230</wp:posOffset>
            </wp:positionV>
            <wp:extent cx="10287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-1332230</wp:posOffset>
            </wp:positionV>
            <wp:extent cx="9398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paid for interest</w:t>
            </w:r>
          </w:p>
        </w:tc>
        <w:tc>
          <w:tcPr>
            <w:tcW w:w="12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2,668</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FF0FC"/>
          </w:tcPr>
          <w:p>
            <w:pPr>
              <w:spacing w:after="0"/>
              <w:rPr>
                <w:sz w:val="18"/>
                <w:szCs w:val="18"/>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6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Transfer of inventories to property and equipment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2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of common stock warrant</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4,367</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Issuance costs included in accrued expenses</w:t>
            </w:r>
          </w:p>
        </w:tc>
        <w:tc>
          <w:tcPr>
            <w:tcW w:w="12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-1113790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-1096645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17"/>
          <w:szCs w:val="17"/>
          <w:color w:val="auto"/>
        </w:rPr>
        <w:t>Outset Medical, Inc. (the Company) is a medical technology company pioneering a first-of-its-kind technology to improve clinical outcomes in dialysis with less cost and complexity.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provide clinical and operational flexibility to customers. With a simple-to-use touchscreen interface, two-way wireless data transmission and a proprietary data analytics platform, Tablo is a new holistic approach to dialysis care. The Company’s headquarters are located in San Jose, 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three months ended March 31, 2026 and 2025, the Company incurred a net loss of $19.0 million and $25.8 million, respectively, and cash outflow from operating activities of $12.8 million and $25.7 million, respectively. As of March 31, 2026, the Company had an accumulated deficit of $1.2 billion.</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2026, the Company had cash, cash equivalents, restricted cash and short-term investments of $160.5 million.</w:t>
      </w:r>
    </w:p>
    <w:p>
      <w:pPr>
        <w:spacing w:after="0" w:line="117"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In addition, in January 2025, the Company entered into a credit agreement and guaranty (the Perceptive Credit Agreement) with Perceptive Credit Holdings IV, LP, as administrative agent (Agent) and the lenders from time to time party thereto, which provided a $100 million 5-year term loan at closing and provides an additional term loan of up to $25 million, which is available for funding until July 14, 2027, subject to the achievement of certain revenue milestone and other customary conditions (the Perceptive Term Loan). The Company is required to comply with certain covenants under the Perceptive Credit Agreement including, among others, requirements as to financial reporting, restrictions on its ability to incur additional indebtedness and to pay any dividends or other distributions on capital stock, maintenance of a minimum cash balance, and achievement of certain specified trailing twelve-month net revenue targets. If the Company fails to comply with any covenants, payments or other terms of the Perceptive Credit Agreement and such failure constitutes an event of default, such event of default would give Agent the right to declare all borrowings outstanding, together with accrued and unpaid interest and fees, to be immediately due and payable. Further details of obligations under the Perceptive Credit Agreement are described in Note 7.</w:t>
      </w:r>
    </w:p>
    <w:p>
      <w:pPr>
        <w:spacing w:after="0" w:line="80" w:lineRule="exact"/>
        <w:rPr>
          <w:sz w:val="20"/>
          <w:szCs w:val="20"/>
          <w:color w:val="auto"/>
        </w:rPr>
      </w:pPr>
    </w:p>
    <w:p>
      <w:pPr>
        <w:ind w:right="420" w:firstLine="569"/>
        <w:spacing w:after="0" w:line="266" w:lineRule="auto"/>
        <w:rPr>
          <w:sz w:val="20"/>
          <w:szCs w:val="20"/>
          <w:color w:val="auto"/>
        </w:rPr>
      </w:pPr>
      <w:r>
        <w:rPr>
          <w:rFonts w:ascii="Times New Roman" w:cs="Times New Roman" w:eastAsia="Times New Roman" w:hAnsi="Times New Roman"/>
          <w:sz w:val="18"/>
          <w:szCs w:val="18"/>
          <w:color w:val="auto"/>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operating losses in the near term while the Company makes investments to support its anticipated growth.</w:t>
      </w:r>
    </w:p>
    <w:p>
      <w:pPr>
        <w:spacing w:after="0" w:line="68"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Company’s existing cash, cash equivalents, short-term investments, and cash generated from sales will be sufficient to meet its anticipated needs for at least the next 12 months from the issuance date of the accompanying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three-month period are also unaudited. The results of operations for the three months ended March 31, 2026 are not necessarily indicative of the results of operations to be anticipated for any other future annual or interim period. The condensed balance sheet as of December 31, 2025 included herein was derived from the audited financial statements as of that date.</w:t>
      </w:r>
    </w:p>
    <w:p>
      <w:pPr>
        <w:spacing w:after="0" w:line="81" w:lineRule="exact"/>
        <w:rPr>
          <w:sz w:val="20"/>
          <w:szCs w:val="20"/>
          <w:color w:val="auto"/>
        </w:rPr>
      </w:pPr>
    </w:p>
    <w:p>
      <w:pPr>
        <w:jc w:val="both"/>
        <w:ind w:right="60" w:firstLine="569"/>
        <w:spacing w:after="0" w:line="266" w:lineRule="auto"/>
        <w:rPr>
          <w:sz w:val="20"/>
          <w:szCs w:val="20"/>
          <w:color w:val="auto"/>
        </w:rPr>
      </w:pPr>
      <w:r>
        <w:rPr>
          <w:rFonts w:ascii="Times New Roman" w:cs="Times New Roman" w:eastAsia="Times New Roman" w:hAnsi="Times New Roman"/>
          <w:sz w:val="18"/>
          <w:szCs w:val="18"/>
          <w:color w:val="auto"/>
        </w:rPr>
        <w:t>These unaudited condensed financial statements should be read in conjunction with the Company’s audited financial statements and related notes for the year ended December 31, 2025, which are included in the Annual Report on Form 10-K for the fiscal year ended December 31, 2025 filed with the Securities and Exchange Commission (SEC) on February 13, 2026 (2025 Annual Report).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320" w:firstLine="562"/>
        <w:spacing w:after="0" w:line="282" w:lineRule="auto"/>
        <w:rPr>
          <w:sz w:val="20"/>
          <w:szCs w:val="20"/>
          <w:color w:val="auto"/>
        </w:rPr>
      </w:pPr>
      <w:r>
        <w:rPr>
          <w:rFonts w:ascii="Times New Roman" w:cs="Times New Roman" w:eastAsia="Times New Roman" w:hAnsi="Times New Roman"/>
          <w:sz w:val="18"/>
          <w:szCs w:val="18"/>
          <w:color w:val="auto"/>
        </w:rPr>
        <w:t>There have been no other new or material changes to the Company’s significant accounting policies as described in its 2025 Annual Report that have had a material impact on the Company’s condensed financial statements and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5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Revenue by source consists of the following (in thousands):</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4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1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188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8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product revenue</w:t>
            </w:r>
          </w:p>
        </w:tc>
        <w:tc>
          <w:tcPr>
            <w:tcW w:w="8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21,294</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8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8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88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80" w:type="dxa"/>
            <w:vAlign w:val="bottom"/>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6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Contract Liabilities</w:t>
      </w:r>
    </w:p>
    <w:p>
      <w:pPr>
        <w:spacing w:after="0" w:line="121" w:lineRule="exact"/>
        <w:rPr>
          <w:sz w:val="20"/>
          <w:szCs w:val="20"/>
          <w:color w:val="auto"/>
        </w:rPr>
      </w:pPr>
    </w:p>
    <w:p>
      <w:pPr>
        <w:jc w:val="both"/>
        <w:ind w:right="40" w:firstLine="569"/>
        <w:spacing w:after="0" w:line="266"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the remaining performance obligations related to customer service contracts that are unsatisfied or partially unsatisfied was $13.0 million, which is recorded as deferred revenue on the Company’s condensed balance sheets. Of that amount, $12.6 million will be recognized as revenue during the next 12 months and $0.4 million thereafter.</w:t>
      </w:r>
    </w:p>
    <w:p>
      <w:pPr>
        <w:spacing w:after="0" w:line="68" w:lineRule="exact"/>
        <w:rPr>
          <w:sz w:val="20"/>
          <w:szCs w:val="20"/>
          <w:color w:val="auto"/>
        </w:rPr>
      </w:pPr>
    </w:p>
    <w:p>
      <w:pPr>
        <w:ind w:right="320" w:firstLine="56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Revenue under these agreements is recognized over the related service period. During the three months ended March 31, 2026, the Company recognized $5.4 million of previously deferred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entity bond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6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cash equivalents and</w:t>
            </w: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144,596</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22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20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466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-916305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-933450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-916305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-916305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entity bond</w:t>
            </w:r>
          </w:p>
        </w:tc>
        <w:tc>
          <w:tcPr>
            <w:tcW w:w="126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cash equivalents and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158,021</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158,193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-282575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-282575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-282575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As of March 31, 2026, the remaining contractual maturities for available-for-sale securities were one month to thirteen months. The unrealized losses for securities in an unrealized loss position for more than 12 months as of March 31, 2026, and December 31, 2025 were immaterial. For the three months ended March 31, 2026 and 2025, the Company did not recognize credit loss related to available-for-sale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activities in the Company’s allowance for credit losses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in allowance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-1584960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-1584960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(in thousands):</w:t>
      </w:r>
    </w:p>
    <w:p>
      <w:pPr>
        <w:spacing w:after="0" w:line="200" w:lineRule="exact"/>
        <w:rPr>
          <w:sz w:val="20"/>
          <w:szCs w:val="20"/>
          <w:color w:val="auto"/>
        </w:rPr>
      </w:pPr>
    </w:p>
    <w:p>
      <w:pPr>
        <w:spacing w:after="0" w:line="3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Customer rebates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2,462</w:t>
            </w:r>
          </w:p>
        </w:tc>
        <w:tc>
          <w:tcPr>
            <w:tcW w:w="200" w:type="dxa"/>
            <w:vAlign w:val="bottom"/>
          </w:tcPr>
          <w:p>
            <w:pPr>
              <w:spacing w:after="0"/>
              <w:rPr>
                <w:sz w:val="16"/>
                <w:szCs w:val="16"/>
                <w:color w:val="auto"/>
              </w:rPr>
            </w:pP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2,245</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580"/>
            <w:col w:w="3920"/>
          </w:cols>
          <w:pgMar w:left="320" w:top="1197"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40" w:firstLine="569"/>
        <w:spacing w:after="0" w:line="252" w:lineRule="auto"/>
        <w:rPr>
          <w:sz w:val="20"/>
          <w:szCs w:val="20"/>
          <w:color w:val="auto"/>
        </w:rPr>
      </w:pPr>
      <w:r>
        <w:rPr>
          <w:rFonts w:ascii="Times New Roman" w:cs="Times New Roman" w:eastAsia="Times New Roman" w:hAnsi="Times New Roman"/>
          <w:sz w:val="18"/>
          <w:szCs w:val="18"/>
          <w:color w:val="auto"/>
        </w:rPr>
        <w:t>On August 29, 2024, a purported stockholder class action lawsuit, Porcelli v. Outset Medical, Inc., et al., 5:24-cv-06124-EJD, was filed in the U.S. District Court for the Northern District of California, against the Company, its Chief Executive Officer, and then-Chief Financial Officer. On October 18, 2024, a second purported stockholder class action lawsuit, Plymouth County Retirement Association v. Outset Medical, Inc., et al., 5:24-cv-06124-HSG, was filed in the same court (together with the first case, the Class Actions). The second lawsuit also named the Company’s prior Chief Financial Officer as a defendant (together with the CEO and then-CFO, the Class Defendants). On March 18, 2025, the court consolidated the Class Actions into one action captioned In re Outset Medical, Inc. Securities Litigation, Case No. 5:24-cv-06124-EJD, appointing a Lead Plaintiff and Lead Counsel. The Lead Plaintiff filed its consolidated amended complaint (Complaint) on June 6, 2025. The Complaint alleged that between September 15, 2020 and August 7, 2024, Class Defendants made materially false or misleading statements in violation of Sections 10(b) and 20(a) of the Securities Exchange Act of 1934, as amended (Exchange Act) regarding the Company’s business, operations, and prospects related to the sale and marketing of the Tablo Hemodialysis System and TabloCart with Prefiltration, including concerning the impact of certain FDA processes for these products on the Company’s revenue growth. The Class Defendants filed a motion to dismiss the Complaint on August 14, 2025. Following full briefing and a hearing, the Court issued a ruling on March 30, 2026, granting in part and denying in part Class Defendants’ motion to dismiss. On May 1, 2026, Lead Plaintiff filed an amended consolidated complaint (Amended Complaint) naming the Company’s General Counsel and Chief Medical Officer as additional Class Defendants. In addition to reasserting the claims made in the Complaint, the Amended Complaint also added a claim for violation of Section 10(b) and Rule 10b-5(a) and (c) of the Exchange Act, alleging certain Class Defendants engaged in a scheme to defraud investors related to the marketing of the Tablo Hemodialysis System and TabloCart with Prefiltration. The Class Defendants must move to dismiss or otherwise respond to the Amended Complaint by June 2, 2026.</w:t>
      </w:r>
    </w:p>
    <w:p>
      <w:pPr>
        <w:spacing w:after="0" w:line="87" w:lineRule="exact"/>
        <w:rPr>
          <w:sz w:val="20"/>
          <w:szCs w:val="20"/>
          <w:color w:val="auto"/>
        </w:rPr>
      </w:pPr>
    </w:p>
    <w:p>
      <w:pPr>
        <w:ind w:right="180" w:firstLine="569"/>
        <w:spacing w:after="0" w:line="256" w:lineRule="auto"/>
        <w:rPr>
          <w:sz w:val="20"/>
          <w:szCs w:val="20"/>
          <w:color w:val="auto"/>
        </w:rPr>
      </w:pPr>
      <w:r>
        <w:rPr>
          <w:rFonts w:ascii="Times New Roman" w:cs="Times New Roman" w:eastAsia="Times New Roman" w:hAnsi="Times New Roman"/>
          <w:sz w:val="18"/>
          <w:szCs w:val="18"/>
          <w:color w:val="auto"/>
        </w:rPr>
        <w:t>On November 29, 2024, an Outset stockholder purporting to act on behalf of the Company filed an action in the U.S. District Court for the Northern District of California against current and former members of Outset’s Board of Directors and certain of its officers (the Derivative Defendants), alleging that the Derivative Defendants breached their fiduciary duties to the Company in connection with the same alleged events and alleged materially false and misleading statements asserted in the Class Actions described above. Three additional substantively duplicative actions were filed in the U.S. District Court for the Northern District of California on April 28, 2025, May 8, 2025, and June 16, 2025. The complaints seek unspecified monetary damages and other relief. On July 17, 2025, the court entered a stay of all derivative actions pending the outcome of motion practice in the Class Actions.</w:t>
      </w:r>
    </w:p>
    <w:p>
      <w:pPr>
        <w:spacing w:after="0" w:line="79" w:lineRule="exact"/>
        <w:rPr>
          <w:sz w:val="20"/>
          <w:szCs w:val="20"/>
          <w:color w:val="auto"/>
        </w:rPr>
      </w:pPr>
    </w:p>
    <w:p>
      <w:pPr>
        <w:ind w:right="720" w:firstLine="569"/>
        <w:spacing w:after="0" w:line="282" w:lineRule="auto"/>
        <w:rPr>
          <w:sz w:val="20"/>
          <w:szCs w:val="20"/>
          <w:color w:val="auto"/>
        </w:rPr>
      </w:pPr>
      <w:r>
        <w:rPr>
          <w:rFonts w:ascii="Times New Roman" w:cs="Times New Roman" w:eastAsia="Times New Roman" w:hAnsi="Times New Roman"/>
          <w:sz w:val="18"/>
          <w:szCs w:val="18"/>
          <w:color w:val="auto"/>
        </w:rPr>
        <w:t>The cases are at a very early stage and the Company cannot currently estimate the loss or the range of possible losses it may experience in connection with this litigation.</w:t>
      </w:r>
    </w:p>
    <w:p>
      <w:pPr>
        <w:spacing w:after="0" w:line="54" w:lineRule="exact"/>
        <w:rPr>
          <w:sz w:val="20"/>
          <w:szCs w:val="20"/>
          <w:color w:val="auto"/>
        </w:rPr>
      </w:pPr>
    </w:p>
    <w:p>
      <w:pPr>
        <w:ind w:right="400" w:firstLine="569"/>
        <w:spacing w:after="0" w:line="266" w:lineRule="auto"/>
        <w:rPr>
          <w:sz w:val="20"/>
          <w:szCs w:val="20"/>
          <w:color w:val="auto"/>
        </w:rPr>
      </w:pPr>
      <w:r>
        <w:rPr>
          <w:rFonts w:ascii="Times New Roman" w:cs="Times New Roman" w:eastAsia="Times New Roman" w:hAnsi="Times New Roman"/>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Term Loan</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Term loan consists of the following (in thousands):</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2"/>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w:t>
            </w:r>
          </w:p>
        </w:tc>
        <w:tc>
          <w:tcPr>
            <w:tcW w:w="2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101,883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(5,265)</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 noncurrent</w:t>
            </w:r>
          </w:p>
        </w:tc>
        <w:tc>
          <w:tcPr>
            <w:tcW w:w="2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96,937</w:t>
            </w:r>
          </w:p>
        </w:tc>
        <w:tc>
          <w:tcPr>
            <w:tcW w:w="1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760" w:type="dxa"/>
            <w:vAlign w:val="bottom"/>
            <w:tcBorders>
              <w:top w:val="single" w:sz="8" w:color="CFF0FC"/>
            </w:tcBorders>
          </w:tcPr>
          <w:p>
            <w:pPr>
              <w:spacing w:after="0"/>
              <w:rPr>
                <w:sz w:val="24"/>
                <w:szCs w:val="24"/>
                <w:color w:val="auto"/>
              </w:rPr>
            </w:pPr>
          </w:p>
        </w:tc>
        <w:tc>
          <w:tcPr>
            <w:tcW w:w="242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-933450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-916305</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On January 3, 2025, the Company entered into a senior secured credit facility for borrowings up to an aggregate principal amount of $125.0 million pursuant to the Perceptive Credit Agreement with Perceptive Credit Holdings IV, LP (who also participated in the Private Placement). Pursuant to the terms and conditions of the Perceptive Credit Agreement, the lenders agreed to extend term loans to the Company in an aggregate principal amount of up to $125.0 million, comprised of (i) a term loan of $100.0 million (the Initial Term Loan), which was funded on January 8, 2025 (the Closing Date), and (ii) a delayed draw term loan of up to $25.0 million (the Delayed Draw Loan). The Initial Term Loan and the Delayed Draw Loan are referred to collectively as the Perceptive Term Loans. The Delayed Draw Loan is available for funding until July 14, 2027, subject to the achievement of a specific revenue milestone and other customary conditions.</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principal amount outstanding under the Loans will accrue interest at a rate per annum equal to (i) the greater of (a) one-month term SOFR or</w:t>
      </w:r>
    </w:p>
    <w:p>
      <w:pPr>
        <w:spacing w:after="0" w:line="27" w:lineRule="exact"/>
        <w:rPr>
          <w:sz w:val="20"/>
          <w:szCs w:val="20"/>
          <w:color w:val="auto"/>
        </w:rPr>
      </w:pPr>
    </w:p>
    <w:p>
      <w:pPr>
        <w:jc w:val="both"/>
        <w:ind w:right="20"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per annum, plus (ii) an applicable margin of 8.00%, payable monthly in arrears. During the first two years after the Closing Date, a portion of the accrued interest equal to 1.50% per annum will be paid in kind and added to the principal amount of the Loans on each monthly interest payment date. The outstanding principal amount of the Loans will be due and payable on the five year anniversary of the Closing Date (the Maturity Date).</w:t>
      </w:r>
    </w:p>
    <w:p>
      <w:pPr>
        <w:spacing w:after="0" w:line="78" w:lineRule="exact"/>
        <w:rPr>
          <w:sz w:val="20"/>
          <w:szCs w:val="20"/>
          <w:color w:val="auto"/>
        </w:rPr>
      </w:pPr>
    </w:p>
    <w:p>
      <w:pPr>
        <w:jc w:val="both"/>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paid the lenders a non-refundable closing fee in the amount of $1.0 million in respect of the Initial Term Loan on the Closing Date. The Company is obligated to pay the lenders a non-refundable closing fee in the amount of $250,000 in respect of the Delayed Draw Loan, to be due and payable upon the funding of the Delayed Draw Loan.</w:t>
      </w:r>
    </w:p>
    <w:p>
      <w:pPr>
        <w:spacing w:after="0" w:line="6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On the Closing Date, the Company issued to Perceptive Credit Holdings IV, LP as the initial lender a warrant to purchase 375,000 shares of the Company’s common stock (the Closing Date Warrant), at an exercise price equal to $12.00 per share. If the Company draws the Delayed Draw Loan, the Company is required to issue additional warrant(s) to the lenders to purchase 94,000 shares of the Company’s common stock (the Delayed Draw Warrant), at an exercise price equal to the average closing price of the Company’s common stock for the 5 trading days immediately preceding the issuance date of the Delayed Draw Warrant. Both the Closing Date Warrant and the Delayed Draw Warrant, if issued, are exercisable during the seven years after the date of issuance.</w:t>
      </w:r>
    </w:p>
    <w:p>
      <w:pPr>
        <w:spacing w:after="0" w:line="79"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The fair value of the Closing Date Warrant of $4.4 million and the debt issuance costs paid directly to Perceptive Credit Holdings IV, LP along with other debt issuance costs amounting to $6.5 million were accounted for as a direct deduction from the term loan balance on the balance sheets and are being recognized as non-cash interest expense over the term of the loan using the effective interest method.</w:t>
      </w:r>
    </w:p>
    <w:p>
      <w:pPr>
        <w:spacing w:after="0" w:line="68"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The Company may voluntarily prepay the outstanding loan(s), subject to a prepayment premium of (i) 10.0% of the principal amount of the prepaid loan(s), if prepaid prior to or on the first anniversary of the Closing Date, (ii) 8.0% of the principal amount of the prepaid Loans, if prepaid after the first anniversary of the Closing Date through and including the second anniversary of the Closing Date, (iii) 4.0% of the principal amount of the prepaid loan(s), if prepaid after the second anniversary of the Closing Date through and including the third anniversary of the Closing Date, (iv) 2.0% of the principal amount of the prepaid Loans, if prepaid after the third anniversary of the Closing Date through and including the fourth anniversary of the Closing Date, and (v) 0.00% of the principal amount of the prepaid loan(s), if prepaid after the fourth anniversary of the Closing Date.</w:t>
      </w:r>
    </w:p>
    <w:p>
      <w:pPr>
        <w:spacing w:after="0" w:line="79" w:lineRule="exact"/>
        <w:rPr>
          <w:sz w:val="20"/>
          <w:szCs w:val="20"/>
          <w:color w:val="auto"/>
        </w:rPr>
      </w:pPr>
    </w:p>
    <w:p>
      <w:pPr>
        <w:ind w:right="80" w:firstLine="569"/>
        <w:spacing w:after="0" w:line="255" w:lineRule="auto"/>
        <w:rPr>
          <w:sz w:val="20"/>
          <w:szCs w:val="20"/>
          <w:color w:val="auto"/>
        </w:rPr>
      </w:pPr>
      <w:r>
        <w:rPr>
          <w:rFonts w:ascii="Times New Roman" w:cs="Times New Roman" w:eastAsia="Times New Roman" w:hAnsi="Times New Roman"/>
          <w:sz w:val="18"/>
          <w:szCs w:val="18"/>
          <w:color w:val="auto"/>
        </w:rPr>
        <w:t>The Perceptive Credit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certain financial covenants that require the Company to (i) maintain a minimum cash balance of at least $10.0 million in accounts subject to control agreements in favor of Agent, and (ii) achieve certain trailing twelve-month net revenue targets as set forth in the Perceptive Credit Agreement.</w:t>
      </w:r>
    </w:p>
    <w:p>
      <w:pPr>
        <w:spacing w:after="0" w:line="81"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In addition, the Perceptive Credit Agreement contains customary events of default that entitle the Agent to cause the Company’s indebtedness under the Perceptive Credit Agreement to become immediately due and payable, and to exercise remedies against the Company and the collateral securing the obligations owed under the Perceptive Credit Agreement. Under the Perceptive Credit Agreement, an event of default will occur if, among other things, the Company fails to make payments under the Perceptive Credit Agreement, the Company breaches certain covenants under the Perceptive Credit Agreement, subject to specified cure periods with respect to certain breaches, a material adverse change or a material regulatory event has occurred under the Perceptive Credit Agreement, or the Company or its assets become subject to certain legal proceedings, such as bankruptcy proceedings. Upon the occurrence and for the duration of an event of default, an additional default interest rate equal to 4.0% per annum will apply to all obligations owed under the Perceptive Credit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8.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2026, 2,154,261 shares of common stock were reserved for future issuance under the 2020 Equity Incentive Plan (2020 Plan).</w:t>
      </w:r>
    </w:p>
    <w:p>
      <w:pPr>
        <w:spacing w:after="0" w:line="117"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On January 22, 2026, upon the recommendation of the Company’s Compensation Committee, the Company’s Board of Directors (the Board) adopted the Outset Medical, Inc. Inducement Plan (the Inducement Plan), effective February 10, 2026. Under the Inducement Plan, 250,000 shares of common stock are reserved for issuance solely to individuals who were not previously employees or directors of the Company, or who are returning to employment following a bona fide period of non-employment, as an inducement material to such individuals’ entry into employment with the Company for purposes of Rule 5635(c)(4) of the Nasdaq Stock Market Marketplace Rules (Rule 5635(c)(4)). The Inducement Plan was adopted by the Board without stockholder approval in reliance on Rule 5635(c)(4). The Inducement Plan incorporates the terms and conditions of the Company’s stockholder-approved 2020 Plan, except as otherwise provided in the Inducement Plan and provided that incentive stock options may not be granted under the Inducement Plan. As of March 31, 2026, 250,000 shares of common stock were reserved for future issuance under the Inducement 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 (ESPP)</w:t>
      </w:r>
    </w:p>
    <w:p>
      <w:pPr>
        <w:spacing w:after="0" w:line="121"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As of March 31, 2026, 123,571 shares of common stock were reserved for issuance in connection with the current and future offering periods under the ESPP.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the Company’s common stock.</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RSUs with a service-based vesting condition granted to a grantee, beginning in February 2022, generally vest over a three-year period as follows:</w:t>
      </w:r>
    </w:p>
    <w:p>
      <w:pPr>
        <w:spacing w:after="0" w:line="27" w:lineRule="exact"/>
        <w:rPr>
          <w:sz w:val="20"/>
          <w:szCs w:val="20"/>
          <w:color w:val="auto"/>
        </w:rPr>
      </w:pPr>
    </w:p>
    <w:p>
      <w:pPr>
        <w:ind w:right="6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the first anniversary of the vesting commencement date, 25% quarterly over the course of the second year, and 50% quarterly over the course of the third year, or (ii) 33% on the first anniversary of the vesting commencement date, with the balance vesting quarterly over the remaining two years.</w:t>
      </w:r>
    </w:p>
    <w:p>
      <w:pPr>
        <w:spacing w:after="0" w:line="73"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Annual RSUs granted to non-executive employees in 2025 vest over one year with 100% vesting on the first anniversary of the grant date while the annual RSUs granted to executives in 2025 vest over a two-year period with 50% vesting on the first anniversary of the vesting commencement date, and the remaining 50% vesting quarterly over the following year.</w:t>
      </w:r>
    </w:p>
    <w:p>
      <w:pPr>
        <w:spacing w:after="0" w:line="68" w:lineRule="exact"/>
        <w:rPr>
          <w:sz w:val="20"/>
          <w:szCs w:val="20"/>
          <w:color w:val="auto"/>
        </w:rPr>
      </w:pPr>
    </w:p>
    <w:p>
      <w:pPr>
        <w:ind w:right="460" w:firstLine="569"/>
        <w:spacing w:after="0" w:line="282" w:lineRule="auto"/>
        <w:rPr>
          <w:sz w:val="20"/>
          <w:szCs w:val="20"/>
          <w:color w:val="auto"/>
        </w:rPr>
      </w:pPr>
      <w:r>
        <w:rPr>
          <w:rFonts w:ascii="Times New Roman" w:cs="Times New Roman" w:eastAsia="Times New Roman" w:hAnsi="Times New Roman"/>
          <w:sz w:val="18"/>
          <w:szCs w:val="18"/>
          <w:color w:val="auto"/>
        </w:rPr>
        <w:t>Annual RSUs granted to non-executive employees in 2024 vest over a two-year period at a rate of 50% on the first anniversary of the original vesting date, with the balance vesting quarterly over the remaining one year.</w:t>
      </w:r>
    </w:p>
    <w:p>
      <w:pPr>
        <w:spacing w:after="0" w:line="54"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Since 2022, the Company has granted a mix of 50% PSUs and 50% RSUs to its CEO, and a mix of 20% PSUs and 80% RSUs to its other executive officers and certain other senior leaders on an annual basis. These PSUs are earned and vest based on achievement against a performance-based metric and a market-based metric as follows:</w:t>
      </w:r>
    </w:p>
    <w:p>
      <w:pPr>
        <w:spacing w:after="0" w:line="6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conditions:</w:t>
      </w:r>
    </w:p>
    <w:p>
      <w:pPr>
        <w:spacing w:after="0" w:line="117" w:lineRule="exact"/>
        <w:rPr>
          <w:rFonts w:ascii="Times New Roman" w:cs="Times New Roman" w:eastAsia="Times New Roman" w:hAnsi="Times New Roman"/>
          <w:sz w:val="18"/>
          <w:szCs w:val="18"/>
          <w:color w:val="auto"/>
        </w:rPr>
      </w:pPr>
    </w:p>
    <w:p>
      <w:pPr>
        <w:ind w:left="1540" w:right="1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2022 through 2024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(Home PSUs); or</w:t>
      </w:r>
    </w:p>
    <w:p>
      <w:pPr>
        <w:spacing w:after="0" w:line="71" w:lineRule="exact"/>
        <w:rPr>
          <w:rFonts w:ascii="Times New Roman" w:cs="Times New Roman" w:eastAsia="Times New Roman" w:hAnsi="Times New Roman"/>
          <w:sz w:val="18"/>
          <w:szCs w:val="18"/>
          <w:color w:val="auto"/>
        </w:rPr>
      </w:pPr>
    </w:p>
    <w:p>
      <w:pPr>
        <w:ind w:left="1540" w:right="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2025 are earned based on the Company’s three-year non-GAAP cumulative earnings before income tax, depreciation and amortization (EBITDA) at the end of 2027, with 100% of earned units vesting after certification of the achievement level following the end of 2027 (EBITDA PSUs).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vesting conditions:</w:t>
      </w:r>
    </w:p>
    <w:p>
      <w:pPr>
        <w:spacing w:after="0" w:line="117" w:lineRule="exact"/>
        <w:rPr>
          <w:rFonts w:ascii="Times New Roman" w:cs="Times New Roman" w:eastAsia="Times New Roman" w:hAnsi="Times New Roman"/>
          <w:sz w:val="18"/>
          <w:szCs w:val="18"/>
          <w:color w:val="auto"/>
        </w:rPr>
      </w:pPr>
    </w:p>
    <w:p>
      <w:pPr>
        <w:ind w:left="15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2022 through 2025 are earned based on the Company’s relative total stockholder return (Relative TSR) at the end of a two-year or three-year performance period as compared to companies in a pre-determined index of medical device companies, in each case, with 100% of earned units vesting at the end of Year 3, or after certification of achievement following the end of the three-year performance period (Relative TSR PSUs).</w:t>
      </w:r>
    </w:p>
    <w:p>
      <w:pPr>
        <w:spacing w:after="0" w:line="72"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number of units earned varies based on actual performance as follows: (i) from 0% to 200% (250% for the CEO) of the target number of the Home PSUs and EBITDA PSUs granted, (ii) from 75% to 150% (250% for the CEO) of the target number of Relative TSR PSUs granted in 2022 and 2023 and (iii) from 0% to 200% (250% for the CEO) of the target number of Relative TSR PSUs granted in 2024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right="240" w:firstLine="569"/>
        <w:spacing w:after="0" w:line="258" w:lineRule="auto"/>
        <w:rPr>
          <w:sz w:val="20"/>
          <w:szCs w:val="20"/>
          <w:color w:val="auto"/>
        </w:rPr>
      </w:pPr>
      <w:r>
        <w:rPr>
          <w:rFonts w:ascii="Times New Roman" w:cs="Times New Roman" w:eastAsia="Times New Roman" w:hAnsi="Times New Roman"/>
          <w:sz w:val="18"/>
          <w:szCs w:val="18"/>
          <w:color w:val="auto"/>
        </w:rPr>
        <w:t>The grant dates for the Home PSUs and EBITDA PSUs are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dates for the Home PSUs and EBITDA PSUs have been established, the related stock-based compensation expense would be recorded based on the forecasted performance, which is reassessed each reporting period based on the probability of achieving the performance conditions.</w:t>
      </w:r>
    </w:p>
    <w:p>
      <w:pPr>
        <w:spacing w:after="0" w:line="75"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In 2024, the Company also granted a new type of PSU award to executive officers and certain other senior leaders which is earned and vests based on appreciation of the Company’s stock price above pre-determined stock price triggers over a period of three years or achievement of specified non-GAAP operating income targets applicable to the first two years of the performance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 included in the accompanying condensed statements of operations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8"/>
                <w:szCs w:val="18"/>
                <w:color w:val="auto"/>
              </w:rPr>
            </w:pPr>
          </w:p>
        </w:tc>
      </w:tr>
      <w:tr>
        <w:trPr>
          <w:trHeight w:val="229"/>
        </w:trPr>
        <w:tc>
          <w:tcPr>
            <w:tcW w:w="5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FF0FC"/>
          </w:tcPr>
          <w:p>
            <w:pPr>
              <w:spacing w:after="0"/>
              <w:rPr>
                <w:sz w:val="19"/>
                <w:szCs w:val="19"/>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ind w:right="220" w:firstLine="569"/>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31, 2026 and 2025, the Company incurred an income tax provision which primarily related to foreign income taxes for the Company’s Mexico operations. The U.S. federal and state net deferred tax assets have been fully offset by a valuation allowance, as the Company believes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50"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r>
      <w:tr>
        <w:trPr>
          <w:trHeight w:val="216"/>
        </w:trPr>
        <w:tc>
          <w:tcPr>
            <w:tcW w:w="8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8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50"/>
        </w:trPr>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 or loss that the Company’s chief operating decision maker (CODM), its Chief Executive Officer, uses to allocate resources and assess performance is the Company’s net loss, as reported on the accompanying condensed statements of operations. Net income is used to monitor budget versus actual results.</w:t>
      </w:r>
    </w:p>
    <w:p>
      <w:pPr>
        <w:spacing w:after="0" w:line="68" w:lineRule="exact"/>
        <w:rPr>
          <w:sz w:val="20"/>
          <w:szCs w:val="20"/>
          <w:color w:val="auto"/>
        </w:rPr>
      </w:pPr>
    </w:p>
    <w:p>
      <w:pPr>
        <w:ind w:right="240" w:firstLine="569"/>
        <w:spacing w:after="0" w:line="258" w:lineRule="auto"/>
        <w:rPr>
          <w:sz w:val="20"/>
          <w:szCs w:val="20"/>
          <w:color w:val="auto"/>
        </w:rPr>
      </w:pPr>
      <w:r>
        <w:rPr>
          <w:rFonts w:ascii="Times New Roman" w:cs="Times New Roman" w:eastAsia="Times New Roman" w:hAnsi="Times New Roman"/>
          <w:sz w:val="18"/>
          <w:szCs w:val="18"/>
          <w:color w:val="auto"/>
        </w:rPr>
        <w:t>There are no intra-entity sales or transfers. All expense categories on the accompanying condensed statements of operations are significant and there are no other expense categories regularly provided to the CODM beyond those disclosed in the accompanying condensed statements of operations. The CODM manages the business using expense information as well as regularly provided budgeted or forecasted expense information for the single operating segment. The measure of segment assets is reported on the accompanying condensed balance sheets as total consolidated assets with particular emphasis on the Company’s available liquidity, including its cash, cash equivalents, restricted cash, and short-term investments.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2025 Annual Report. As used in this Quarterly Report, references to the “Company,” “we,” “us,” “our,” or similar terms refer to Outset Medical, Inc.</w:t>
      </w:r>
    </w:p>
    <w:p>
      <w:pPr>
        <w:spacing w:after="0" w:line="72"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2025 Annual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provide clinical and operational flexibility to customers.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81" w:lineRule="exact"/>
        <w:rPr>
          <w:sz w:val="20"/>
          <w:szCs w:val="20"/>
          <w:color w:val="auto"/>
        </w:rPr>
      </w:pPr>
    </w:p>
    <w:p>
      <w:pPr>
        <w:ind w:right="60" w:firstLine="569"/>
        <w:spacing w:after="0" w:line="256" w:lineRule="auto"/>
        <w:rPr>
          <w:sz w:val="20"/>
          <w:szCs w:val="20"/>
          <w:color w:val="auto"/>
        </w:rPr>
      </w:pPr>
      <w:r>
        <w:rPr>
          <w:rFonts w:ascii="Times New Roman" w:cs="Times New Roman" w:eastAsia="Times New Roman" w:hAnsi="Times New Roman"/>
          <w:sz w:val="18"/>
          <w:szCs w:val="18"/>
          <w:color w:val="auto"/>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Tablo’s connectedness allows continuous streaming of an average of approximately 3 million machine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spacing w:after="0" w:line="7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2"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In addition, we are also working with skilled nursing facilities (SNFs), sub-acute long-term acute care hospitals (LTACHs), and other post-acute providers to raise awareness of Tablo’s economic and clinical benefits to them and to patients. We plan to continue leveraging our commercial infrastructure to broaden our installed base in the acute and post-acute care markets, as well as driving utilization and fleet expansion with our existing customers.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7" w:name="page18"/>
    <w:bookmarkEnd w:id="17"/>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trial, patients reported specific quality of life improvements compared to their experience on the incumbent home dialysis machine. To penetrate this market successfully, we have made investments in and continue to focus on refining our home distribution, logistics and support systems to help ensure they are ready for scale. We are also working with providers, patients, and payors to increase awareness and adoption of transitional care units as a bridge to home-based therapy.</w:t>
      </w:r>
    </w:p>
    <w:p>
      <w:pPr>
        <w:spacing w:after="0" w:line="7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 from the placement of Tablo consoles along with accessories, and shipping and handling charged to customers, which revenue is recognized up-front. We also earn recurring revenue from sales of consumables, including Tablo cartridge, and services, which generates significant total revenue over the life of Tablo consoles. Our total revenues were $27.9 million and $29.8 million for the three months ended March 31, 2026 and 2025, respectively.</w:t>
      </w:r>
    </w:p>
    <w:p>
      <w:pPr>
        <w:spacing w:after="0" w:line="72"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57% of our total full-time employees as of March 31, 2026.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of Tablo in Acute Setting</w:t>
      </w:r>
    </w:p>
    <w:p>
      <w:pPr>
        <w:spacing w:after="0" w:line="121" w:lineRule="exact"/>
        <w:rPr>
          <w:sz w:val="20"/>
          <w:szCs w:val="20"/>
          <w:color w:val="auto"/>
        </w:rPr>
      </w:pPr>
    </w:p>
    <w:p>
      <w:pPr>
        <w:ind w:right="120" w:firstLine="569"/>
        <w:spacing w:after="0" w:line="255" w:lineRule="auto"/>
        <w:rPr>
          <w:sz w:val="20"/>
          <w:szCs w:val="20"/>
          <w:color w:val="auto"/>
        </w:rPr>
      </w:pPr>
      <w:r>
        <w:rPr>
          <w:rFonts w:ascii="Times New Roman" w:cs="Times New Roman" w:eastAsia="Times New Roman" w:hAnsi="Times New Roman"/>
          <w:sz w:val="18"/>
          <w:szCs w:val="18"/>
          <w:color w:val="auto"/>
        </w:rPr>
        <w:t>We plan to further broaden our installed base by continuing to target national and regional integrated delivery networks and health systems, SNFs, LTACHs and other post-acute providers.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the success of our initiatives to optimize and further evolve our commercial organization, infrastructure and sales processes to support the growth of our business in the acute and post-acute care markets as we focus more heavily on enterprise selling and transition beyond earlier stage adoption of Tablo.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Tablo within the Home Setting</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180" w:firstLine="569"/>
        <w:spacing w:after="0" w:line="254" w:lineRule="auto"/>
        <w:rPr>
          <w:sz w:val="20"/>
          <w:szCs w:val="20"/>
          <w:color w:val="auto"/>
        </w:rPr>
      </w:pPr>
      <w:r>
        <w:rPr>
          <w:rFonts w:ascii="Times New Roman" w:cs="Times New Roman" w:eastAsia="Times New Roman" w:hAnsi="Times New Roman"/>
          <w:sz w:val="18"/>
          <w:szCs w:val="18"/>
          <w:color w:val="auto"/>
        </w:rPr>
        <w:t>Our ability to expand our gross margins depends on: first, our ability to continue to sell Tablo cartridges, services, and accessories for Tablo consoles; second, our ability to reduce the cost of service and third, our ability to reduce the cost to manufacture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and support performance, to improve service margin and drive down service costs per console. In addition, over the past several years, we have moved the production of Tablo consoles and a substantial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efficiency of our manufacturing processes, lowering the cost of parts and components and lowering our costs of production. Our ability to expand gross margins depends on our ability to successfully execute these strategies, as well as the impact of macroeconomic factors described below, including the tariffs imposed by the current administration.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 Initiatives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several organizational restructurings implemented beginning in the fourth quarter of 2023 through early 2025. We are also taking steps to improve our ability to efficiently manage working capital, including inventory. Our ability to transition to profitability will depend on the success of our efforts to optimize spending and working capital, including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Factors</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global geopolitical instability (such as the ongoing hostilities in the Middle East), inflationary pressures, rising interest rates, changes in tariff or trade laws and policies (such as the tariffs imposed by the current administration),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spacing w:after="0" w:line="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through 2026. We may see disruption from this in future periods. 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w:t>
      </w:r>
    </w:p>
    <w:p>
      <w:pPr>
        <w:spacing w:after="0" w:line="8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79"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substantial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 Moreover, increased tariffs imposed by the current administration, including on goods imported into the United States from Mexico and China, could adversely impact our supply chain and distribution costs, as well as our ability to achieve sustainable gross margins. We currently do not believe we have exposure to these tariffs as Tablo, TabloCart and Tablo cartridge are covered under a special exemption. However, in September 2025, the U.S. Department of Commerce initiated an investigation under Section 232 of the Trade Expansion Act of 1962 to assess the national security implications of imports of personal protective equipment, medical consumables, and medical equipment, including medical devices. The outcome of this investigation could result in additional tariffs or other trade restrictions. While we continue to believe our products will remain exempt, the scope and outcome of the investigation are uncertain and could affect existing exemptions or expand coverage to additional product categories. We cannot predict what actions may ultimately be taken with respect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200"/>
        <w:spacing w:after="0" w:line="282" w:lineRule="auto"/>
        <w:rPr>
          <w:sz w:val="20"/>
          <w:szCs w:val="20"/>
          <w:color w:val="auto"/>
        </w:rPr>
      </w:pPr>
      <w:r>
        <w:rPr>
          <w:rFonts w:ascii="Times New Roman" w:cs="Times New Roman" w:eastAsia="Times New Roman" w:hAnsi="Times New Roman"/>
          <w:sz w:val="18"/>
          <w:szCs w:val="18"/>
          <w:color w:val="auto"/>
        </w:rPr>
        <w:t>to tariffs or trade relations between the United States and other countries (including Mexico and China), what products may be subject to such actions, or what actions may be taken by the other countries in retaliation.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14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21,294</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18,686</w:t>
            </w:r>
          </w:p>
        </w:tc>
        <w:tc>
          <w:tcPr>
            <w:tcW w:w="100" w:type="dxa"/>
            <w:vAlign w:val="bottom"/>
          </w:tcPr>
          <w:p>
            <w:pPr>
              <w:spacing w:after="0"/>
              <w:rPr>
                <w:sz w:val="18"/>
                <w:szCs w:val="18"/>
                <w:color w:val="auto"/>
              </w:rPr>
            </w:pPr>
          </w:p>
        </w:tc>
      </w:tr>
      <w:tr>
        <w:trPr>
          <w:trHeight w:val="210"/>
        </w:trPr>
        <w:tc>
          <w:tcPr>
            <w:tcW w:w="5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27,465</w:t>
            </w:r>
          </w:p>
        </w:tc>
        <w:tc>
          <w:tcPr>
            <w:tcW w:w="100" w:type="dxa"/>
            <w:vAlign w:val="bottom"/>
          </w:tcPr>
          <w:p>
            <w:pPr>
              <w:spacing w:after="0"/>
              <w:rPr>
                <w:sz w:val="18"/>
                <w:szCs w:val="18"/>
                <w:color w:val="auto"/>
              </w:rPr>
            </w:pPr>
          </w:p>
        </w:tc>
      </w:tr>
      <w:tr>
        <w:trPr>
          <w:trHeight w:val="20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(16,919)</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(16,399)</w:t>
            </w:r>
          </w:p>
        </w:tc>
      </w:tr>
      <w:tr>
        <w:trPr>
          <w:trHeight w:val="216"/>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(3,369)</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(3,560)</w:t>
            </w:r>
          </w:p>
        </w:tc>
      </w:tr>
      <w:tr>
        <w:trPr>
          <w:trHeight w:val="216"/>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(7,685)</w:t>
            </w:r>
          </w:p>
        </w:tc>
      </w:tr>
      <w:tr>
        <w:trPr>
          <w:trHeight w:val="20"/>
        </w:trPr>
        <w:tc>
          <w:tcPr>
            <w:tcW w:w="1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(18,761)</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(25,668)</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r>
      <w:tr>
        <w:trPr>
          <w:trHeight w:val="25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(18,978)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(25,783)</w:t>
            </w:r>
          </w:p>
        </w:tc>
      </w:tr>
      <w:tr>
        <w:trPr>
          <w:trHeight w:val="305"/>
        </w:trPr>
        <w:tc>
          <w:tcPr>
            <w:tcW w:w="55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tc>
        <w:tc>
          <w:tcPr>
            <w:tcW w:w="28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5"/>
        </w:trPr>
        <w:tc>
          <w:tcPr>
            <w:tcW w:w="1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5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5"/>
                <w:szCs w:val="15"/>
                <w:color w:val="auto"/>
              </w:rPr>
            </w:pPr>
          </w:p>
        </w:tc>
        <w:tc>
          <w:tcPr>
            <w:tcW w:w="980" w:type="dxa"/>
            <w:vAlign w:val="bottom"/>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56"/>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92"/>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92"/>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21,294</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(2,744)</w:t>
            </w:r>
          </w:p>
        </w:tc>
        <w:tc>
          <w:tcPr>
            <w:tcW w:w="200" w:type="dxa"/>
            <w:vAlign w:val="bottom"/>
          </w:tcPr>
          <w:p>
            <w:pPr>
              <w:spacing w:after="0"/>
              <w:rPr>
                <w:sz w:val="17"/>
                <w:szCs w:val="17"/>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55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8,458</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r>
      <w:tr>
        <w:trPr>
          <w:trHeight w:val="196"/>
        </w:trPr>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29,752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(1,889)</w:t>
            </w:r>
          </w:p>
        </w:tc>
        <w:tc>
          <w:tcPr>
            <w:tcW w:w="200" w:type="dxa"/>
            <w:vAlign w:val="bottom"/>
          </w:tcPr>
          <w:p>
            <w:pPr>
              <w:spacing w:after="0"/>
              <w:rPr>
                <w:sz w:val="17"/>
                <w:szCs w:val="17"/>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1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-3985260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-3428365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-2588260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-1456690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-1439545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-162560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-162560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Product revenue decreased by $2.7 million, or 13%, for the three months ended March 31, 2026 as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driven by a $1.7 million decrease in console revenue and a $1.0 million decrease in consumable revenue.</w:t>
      </w:r>
    </w:p>
    <w:p>
      <w:pPr>
        <w:spacing w:after="0" w:line="99"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Service and other revenue increased for the three months ended March 31, 2026 as compared to the same period in the prior year. The increase was primarily due to services associated with growth in our console installed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5"/>
        </w:trPr>
        <w:tc>
          <w:tcPr>
            <w:tcW w:w="37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4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and gross margin:</w:t>
            </w:r>
          </w:p>
        </w:tc>
        <w:tc>
          <w:tcPr>
            <w:tcW w:w="1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3"/>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3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Gross margin</w:t>
            </w:r>
          </w:p>
        </w:tc>
        <w:tc>
          <w:tcPr>
            <w:tcW w:w="1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43.4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37.2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bl>
    <w:p>
      <w:pPr>
        <w:spacing w:after="0" w:line="90"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Gross profit increased for the three months ended March 31, 2026 as compared to the same period in the prior year. Gross margin improved by 6.2 percentage points for the three months ended March 31, 2026 as compared to the same period in the prior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00"/>
        <w:spacing w:after="0" w:line="282" w:lineRule="auto"/>
        <w:rPr>
          <w:sz w:val="20"/>
          <w:szCs w:val="20"/>
          <w:color w:val="auto"/>
        </w:rPr>
      </w:pPr>
      <w:r>
        <w:rPr>
          <w:rFonts w:ascii="Times New Roman" w:cs="Times New Roman" w:eastAsia="Times New Roman" w:hAnsi="Times New Roman"/>
          <w:sz w:val="18"/>
          <w:szCs w:val="18"/>
          <w:color w:val="auto"/>
        </w:rPr>
        <w:t>year. These improvements in gross profit and gross margin were primarily driven by higher average selling prices for consoles and higher gross margin on service and other revenue, which were partially offset by the lower average selling price for consumables.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75"/>
        </w:trPr>
        <w:tc>
          <w:tcPr>
            <w:tcW w:w="37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4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03"/>
        </w:trPr>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1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3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1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13,652</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(373)</w:t>
            </w: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r>
      <w:tr>
        <w:trPr>
          <w:trHeight w:val="236"/>
        </w:trPr>
        <w:tc>
          <w:tcPr>
            <w:tcW w:w="3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29,014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27,465</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60" w:firstLine="56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months ended March 31, 2026 as compared to the same period in the prior year. The increase was primarily due to increases in stock-based compensation and consulting expenses.</w:t>
      </w:r>
    </w:p>
    <w:p>
      <w:pPr>
        <w:spacing w:after="0" w:line="54" w:lineRule="exact"/>
        <w:rPr>
          <w:sz w:val="20"/>
          <w:szCs w:val="20"/>
          <w:color w:val="auto"/>
        </w:rPr>
      </w:pPr>
    </w:p>
    <w:p>
      <w:pPr>
        <w:ind w:right="40" w:firstLine="569"/>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for the three months ended March 31, 2026 as compared to the same period in the prior year. The decrease was mainly driven by lower compensation expenses, partially offset by higher freight costs.</w:t>
      </w:r>
    </w:p>
    <w:p>
      <w:pPr>
        <w:spacing w:after="0" w:line="54"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for the three months ended March 31, 2026 as compared to the same period in the prior year. The increase was primarily due to an overall increase in compensation-related and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75"/>
        </w:trPr>
        <w:tc>
          <w:tcPr>
            <w:tcW w:w="4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4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03"/>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and other income, net</w:t>
            </w:r>
          </w:p>
        </w:tc>
        <w:tc>
          <w:tcPr>
            <w:tcW w:w="18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(449)</w:t>
            </w:r>
          </w:p>
        </w:tc>
        <w:tc>
          <w:tcPr>
            <w:tcW w:w="3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(3,369)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4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(1,842)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(9,269)</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r>
      <w:tr>
        <w:trPr>
          <w:trHeight w:val="193"/>
        </w:trPr>
        <w:tc>
          <w:tcPr>
            <w:tcW w:w="40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 Not meaningful</w:t>
            </w:r>
          </w:p>
        </w:tc>
        <w:tc>
          <w:tcPr>
            <w:tcW w:w="152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86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82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-160020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-142875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-160020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-142875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 decrease in interest income and other income, net for the three months ended March 31, 2026 as compared to the same period in the prior year was driven by a lower average short-term investment balance in 2026.</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interest expense for the three months ended March 31, 2026 was relatively consistent with the amount in the same period in the prior year.</w:t>
      </w:r>
    </w:p>
    <w:p>
      <w:pPr>
        <w:spacing w:after="0" w:line="117"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The loss on extinguishment of term loan of $7.7 million was recognized for the repayment of the SLR Term Loan in 2025, which included final payment and termination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equity securities, revenue from sales, debt financings, and proceeds from employee exercise of stock options and ESPP purchases.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2026, we had cash, cash equivalents, restricted cash, and short-term investments of $160.5 million.</w:t>
      </w:r>
    </w:p>
    <w:p>
      <w:pPr>
        <w:spacing w:after="0" w:line="117"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In addition, in January 2025, we entered into a credit agreement and guaranty (the Perceptive Credit Agreement) with Perceptive Credit Holdings IV, LP, as administrative agent (Agent) and the lenders from time to time party thereto, which provided a $100 million 5-year term loan at closing and will provide an additional term loan of up to $25 million at our election, which is available for funding until July 14, 2027, subject to achievement of a specified revenue milestone and other customary conditions.</w:t>
      </w:r>
    </w:p>
    <w:p>
      <w:pPr>
        <w:spacing w:after="0" w:line="3"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We are required to comply with certain covenants under the Perceptive Credit Agreement, including, among others, requirements as to financial reporting, restrictions on our ability to incur additional indebtedness and to pay any dividends or other distributions on capital stock, maintenance of a minimum cash balance, and achievement of certain specified trailing twelve-month net revenue targets. If we fail to comply with any covenants, payments or other terms of the Perceptive Credit Agreement and such failure constitutes an event of default thereunder, such event of default would give Agent the right to declare all borrowings outstanding, together with accrued and unpaid interest and fees, to be immediately due and payable.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If we raise additional capital through debt financing (including through our existing debt), we may be subject to an increase in our interest expense which may negatively affect our cash flow.</w:t>
      </w:r>
    </w:p>
    <w:p>
      <w:pPr>
        <w:spacing w:after="0" w:line="80" w:lineRule="exact"/>
        <w:rPr>
          <w:sz w:val="20"/>
          <w:szCs w:val="20"/>
          <w:color w:val="auto"/>
        </w:rPr>
      </w:pPr>
    </w:p>
    <w:p>
      <w:pPr>
        <w:ind w:right="660" w:firstLine="569"/>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and cash generated from sales will be sufficient to meet our anticipated needs for at least the next 12 months from the issuance date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9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640" w:type="dxa"/>
            <w:vAlign w:val="bottom"/>
          </w:tcPr>
          <w:p>
            <w:pPr>
              <w:spacing w:after="0"/>
              <w:rPr>
                <w:sz w:val="17"/>
                <w:szCs w:val="17"/>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(12,844)</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(25,663)</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0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7,899</w:t>
            </w:r>
          </w:p>
        </w:tc>
        <w:tc>
          <w:tcPr>
            <w:tcW w:w="9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(78,079)</w:t>
            </w: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55,656</w:t>
            </w:r>
          </w:p>
        </w:tc>
        <w:tc>
          <w:tcPr>
            <w:tcW w:w="100" w:type="dxa"/>
            <w:vAlign w:val="bottom"/>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(4,444)</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(48,086)</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net cash used in operating activities of $12.8 million for the three months ended March 31, 2026 was due to a net loss of $19.0 million, the amortization of premiums on investments of $0.4 million, and provision for credit losses of $0.4 million, which were adjusted by stock-based compensation expense of $3.5 million, a net cash inflow from the change in our operating assets and liabilities of $1.5 million, depreciation and amortization of $0.8 million, non-cash interest expense of $0.7 million, and non-cash lease expense of $0.4 million. The net cash inflow from operating assets and liabilities was primarily due to decreases in accounts receivable and prepaid expenses and other assets, and increases in accrued expenses and accounts payable. This net cash inflow from operating assets and liabilities was partially offset by an increase in inventory, a decrease in accrued compensation and related benefits resulting from the payout of 2025 annual cash bonuses, and decreases in deferred revenue and operating lease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 net cash provided by investing activities of $7.9 million for the three months ended March 31, 2026 was due to the maturities of short-term investment securities of $30.9 million, which was partially offset by the purchases of short-term investment securities of $22.9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The net cash provided by financing activities of $0.5 million for the three months ended March 31, 2026 was primarily due to proceeds from ESPP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new or significant changes in our critical accounting estimates as compared to the critical accounting estimates disclosed in Part II Item 7 “Management’s Discussion and Analysis of Financial Condition and Results of Operations” of our 2025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market risk from the information provided in Part II, Item 7A, Quantitative and Qualitative Disclosures About Market Risk, as described in the Company's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“Litigation” in Note 6, Commitments and Contingencies, of the notes accompanying our unaudited condensed financial statements in this Quarterly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2025 Annual Report, which could materially affect our business, financial position, or future results of operations. There have been no material changes to the risk factors described in our 2025 Annual Report. The risks described in our 2025 Annual Report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6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6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560" w:type="dxa"/>
            <w:vAlign w:val="bottom"/>
            <w:gridSpan w:val="2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Certificate of Incorporation of Outset Medical, Inc.</w:t>
              </w:r>
            </w:hyperlink>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0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Bylaws of Outset Medical, Inc.</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3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1 To Amended and Restated Bylaws of Outset Medical,</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Inc., dated January 23, 2025</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Certificate of Designation of Preferences, Rights and Limitations of Series A</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9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Non-Voting Convertible Preferred Stock</w:t>
              </w:r>
            </w:hyperlink>
          </w:p>
        </w:tc>
        <w:tc>
          <w:tcPr>
            <w:tcW w:w="20" w:type="dxa"/>
            <w:vAlign w:val="bottom"/>
            <w:tcBorders>
              <w:bottom w:val="single" w:sz="8" w:color="0000EE"/>
            </w:tcBorders>
          </w:tcPr>
          <w:p>
            <w:pPr>
              <w:spacing w:after="0"/>
              <w:rPr>
                <w:sz w:val="17"/>
                <w:szCs w:val="17"/>
                <w:color w:val="auto"/>
              </w:rPr>
            </w:pPr>
          </w:p>
        </w:tc>
        <w:tc>
          <w:tcPr>
            <w:tcW w:w="2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3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Certificate of Correction of the Certificate of Designation of Preferences,</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5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Rights and Limitations of Series A Non-Voting Convertible Preferred Stock</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48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Certificate of Amendment of Amended and Restated Certificate of</w:t>
              </w:r>
            </w:hyperlink>
          </w:p>
        </w:tc>
        <w:tc>
          <w:tcPr>
            <w:tcW w:w="7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560" w:type="dxa"/>
            <w:vAlign w:val="bottom"/>
            <w:gridSpan w:val="2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Incorporation of Outset Medical, Inc.</w:t>
              </w:r>
            </w:hyperlink>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8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Common Stock Certificate</w:t>
              </w:r>
            </w:hyperlink>
          </w:p>
        </w:tc>
        <w:tc>
          <w:tcPr>
            <w:tcW w:w="28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Warrant Certificate, dated January 8, 2025, issued by Outset Medical, Inc. to</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Perceptive Credit Holdings IV, LP</w:t>
              </w:r>
            </w:hyperlink>
          </w:p>
        </w:tc>
        <w:tc>
          <w:tcPr>
            <w:tcW w:w="60" w:type="dxa"/>
            <w:vAlign w:val="bottom"/>
            <w:tcBorders>
              <w:bottom w:val="single" w:sz="8" w:color="0000EE"/>
            </w:tcBorders>
          </w:tcPr>
          <w:p>
            <w:pPr>
              <w:spacing w:after="0"/>
              <w:rPr>
                <w:sz w:val="17"/>
                <w:szCs w:val="17"/>
                <w:color w:val="auto"/>
              </w:rPr>
            </w:pPr>
          </w:p>
        </w:tc>
        <w:tc>
          <w:tcPr>
            <w:tcW w:w="3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1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Description of Outset Medical, Inc.’s Securities Registered Pursuant to</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560" w:type="dxa"/>
            <w:vAlign w:val="bottom"/>
            <w:gridSpan w:val="2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Section 12 of the Exchange Act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15d-14(a) of the Exchange Act of 1934, as adopted pursuant to Section 302</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3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15d-14(a) of the Exchange Act of 1934, as adopted pursuant to Section 302</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3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32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bl>
    <w:p>
      <w:pPr>
        <w:ind w:left="1060" w:right="80" w:hanging="1052"/>
        <w:spacing w:after="0" w:line="250"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7620</wp:posOffset>
            </wp:positionV>
            <wp:extent cx="28460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20"/>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January 24, 2025</w:t>
            </w:r>
          </w:p>
        </w:tc>
      </w:tr>
      <w:tr>
        <w:trPr>
          <w:trHeight w:val="554"/>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January 8, 2025</w:t>
            </w:r>
          </w:p>
        </w:tc>
      </w:tr>
      <w:tr>
        <w:trPr>
          <w:trHeight w:val="553"/>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March 11, 2025</w:t>
            </w:r>
          </w:p>
        </w:tc>
      </w:tr>
      <w:tr>
        <w:trPr>
          <w:trHeight w:val="553"/>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553"/>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January 8, 2025</w:t>
            </w:r>
          </w:p>
        </w:tc>
      </w:tr>
      <w:tr>
        <w:trPr>
          <w:trHeight w:val="553"/>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February 13, 2026</w:t>
            </w:r>
          </w:p>
        </w:tc>
      </w:tr>
    </w:tbl>
    <w:p>
      <w:pPr>
        <w:sectPr>
          <w:pgSz w:w="11900" w:h="16838" w:orient="portrait"/>
          <w:cols w:equalWidth="0" w:num="2">
            <w:col w:w="6620" w:space="260"/>
            <w:col w:w="4220"/>
          </w:cols>
          <w:pgMar w:left="320" w:top="981" w:right="4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w w:val="99"/>
              </w:rPr>
              <w:t>Outset Medical, Inc.</w:t>
            </w:r>
          </w:p>
        </w:tc>
        <w:tc>
          <w:tcPr>
            <w:tcW w:w="436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3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50"/>
              <w:spacing w:after="0" w:line="191" w:lineRule="exact"/>
              <w:rPr>
                <w:sz w:val="20"/>
                <w:szCs w:val="20"/>
                <w:color w:val="auto"/>
              </w:rPr>
            </w:pPr>
            <w:r>
              <w:rPr>
                <w:rFonts w:ascii="Times New Roman" w:cs="Times New Roman" w:eastAsia="Times New Roman" w:hAnsi="Times New Roman"/>
                <w:sz w:val="18"/>
                <w:szCs w:val="18"/>
                <w:color w:val="auto"/>
                <w:w w:val="99"/>
              </w:rPr>
              <w:t>Leslie Trigg</w:t>
            </w:r>
          </w:p>
        </w:tc>
      </w:tr>
      <w:tr>
        <w:trPr>
          <w:trHeight w:val="214"/>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/s/ Renee Gaeta</w:t>
            </w:r>
          </w:p>
        </w:tc>
      </w:tr>
      <w:tr>
        <w:trPr>
          <w:trHeight w:val="205"/>
        </w:trPr>
        <w:tc>
          <w:tcPr>
            <w:tcW w:w="3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950"/>
              <w:spacing w:after="0" w:line="205" w:lineRule="exact"/>
              <w:rPr>
                <w:sz w:val="20"/>
                <w:szCs w:val="20"/>
                <w:color w:val="auto"/>
              </w:rPr>
            </w:pPr>
            <w:r>
              <w:rPr>
                <w:rFonts w:ascii="Times New Roman" w:cs="Times New Roman" w:eastAsia="Times New Roman" w:hAnsi="Times New Roman"/>
                <w:sz w:val="18"/>
                <w:szCs w:val="18"/>
                <w:color w:val="auto"/>
              </w:rPr>
              <w:t>Renee Gaeta</w:t>
            </w:r>
          </w:p>
        </w:tc>
      </w:tr>
      <w:tr>
        <w:trPr>
          <w:trHeight w:val="214"/>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648"/>
        </w:trPr>
        <w:tc>
          <w:tcPr>
            <w:tcW w:w="3380" w:type="dxa"/>
            <w:vAlign w:val="bottom"/>
          </w:tcPr>
          <w:p>
            <w:pPr>
              <w:spacing w:after="0"/>
              <w:rPr>
                <w:sz w:val="24"/>
                <w:szCs w:val="24"/>
                <w:color w:val="auto"/>
              </w:rPr>
            </w:pP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1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627"/>
        </w:trPr>
        <w:tc>
          <w:tcPr>
            <w:tcW w:w="40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Gaeta, certify that:</w:t>
      </w:r>
    </w:p>
    <w:p>
      <w:pPr>
        <w:spacing w:after="0" w:line="198"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1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Renee Gaeta</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Renee Gaeta</w:t>
            </w:r>
          </w:p>
        </w:tc>
      </w:tr>
      <w:tr>
        <w:trPr>
          <w:trHeight w:val="214"/>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1627"/>
        </w:trPr>
        <w:tc>
          <w:tcPr>
            <w:tcW w:w="40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Outset Medical, Inc. (the “Company”) on Form 10-Q for the period ended March 31, 2026, as filed with the Securities and Exchange Commission on the date hereof (the “Report”), each of the undersigned certifies, pursuant to 18 U.S.C. §1350, as adopted pursuant to §906 of the Sarbanes-Oxley Act of 2002, that, to her/his knowledge:</w:t>
      </w:r>
    </w:p>
    <w:p>
      <w:pPr>
        <w:spacing w:after="0" w:line="13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Trigg</w:t>
            </w:r>
          </w:p>
        </w:tc>
      </w:tr>
      <w:tr>
        <w:trPr>
          <w:trHeight w:val="191"/>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2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2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Renee Gaeta</w:t>
            </w:r>
          </w:p>
        </w:tc>
      </w:tr>
      <w:tr>
        <w:trPr>
          <w:trHeight w:val="191"/>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Renee Gaeta</w:t>
            </w:r>
          </w:p>
        </w:tc>
      </w:tr>
      <w:tr>
        <w:trPr>
          <w:trHeight w:val="214"/>
        </w:trPr>
        <w:tc>
          <w:tcPr>
            <w:tcW w:w="2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58" Type="http://schemas.openxmlformats.org/officeDocument/2006/relationships/hyperlink" Target="https://www.sec.gov/Archives/edgar/data/1484612/000119312520241516/d941853dex31.htm" TargetMode="External"/><Relationship Id="rId159" Type="http://schemas.openxmlformats.org/officeDocument/2006/relationships/hyperlink" Target="https://www.sec.gov/Archives/edgar/data/1484612/000119312520241516/d941853dex32.htm" TargetMode="External"/><Relationship Id="rId160" Type="http://schemas.openxmlformats.org/officeDocument/2006/relationships/hyperlink" Target="https://www.sec.gov/Archives/edgar/data/1484612/000114036125001915/ny20040487x2_ex3-1.htm" TargetMode="External"/><Relationship Id="rId161" Type="http://schemas.openxmlformats.org/officeDocument/2006/relationships/hyperlink" Target="https://www.sec.gov/Archives/edgar/data/1484612/000119312525003545/d859629dex31.htm" TargetMode="External"/><Relationship Id="rId162" Type="http://schemas.openxmlformats.org/officeDocument/2006/relationships/hyperlink" Target="https://www.sec.gov/Archives/edgar/data/1484612/000119312525051981/d939182dex31.htm" TargetMode="External"/><Relationship Id="rId163" Type="http://schemas.openxmlformats.org/officeDocument/2006/relationships/hyperlink" Target="https://www.sec.gov/Archives/edgar/data/1484612/000119312525058953/d853153dex31.htm" TargetMode="External"/><Relationship Id="rId164" Type="http://schemas.openxmlformats.org/officeDocument/2006/relationships/hyperlink" Target="https://www.sec.gov/Archives/edgar/data/1484612/000119312520241516/d941853dex41.htm" TargetMode="External"/><Relationship Id="rId165" Type="http://schemas.openxmlformats.org/officeDocument/2006/relationships/hyperlink" Target="https://www.sec.gov/Archives/edgar/data/1484612/000119312525003545/d859629dex41.htm" TargetMode="External"/><Relationship Id="rId166" Type="http://schemas.openxmlformats.org/officeDocument/2006/relationships/hyperlink" Target="https://www.sec.gov/Archives/edgar/data/1484612/000119312526051278/om-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2026-05-07T16:34:11Z</dcterms:created>
  <dcterms:modified xsi:type="dcterms:W3CDTF">2026-05-07T16:34:11Z</dcterms:modified>
</cp:coreProperties>
</file>