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500" w:hanging="3859"/>
        <w:spacing w:after="0" w:line="383" w:lineRule="auto"/>
        <w:tabs>
          <w:tab w:leader="none" w:pos="62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640" w:hanging="619"/>
        <w:spacing w:after="0"/>
        <w:tabs>
          <w:tab w:leader="none" w:pos="6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47"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-4445</wp:posOffset>
            </wp:positionV>
            <wp:extent cx="308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341" w:right="339" w:bottom="1440" w:gutter="0" w:footer="0" w:header="0"/>
        </w:sectPr>
      </w:pPr>
    </w:p>
    <w:p>
      <w:pPr>
        <w:spacing w:after="0" w:line="4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20-0514392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480" w:space="460"/>
            <w:col w:w="3300"/>
          </w:cols>
          <w:pgMar w:left="320" w:top="341" w:right="339" w:bottom="1440" w:gutter="0" w:footer="0" w:header="0"/>
          <w:type w:val="continuous"/>
        </w:sectPr>
      </w:pPr>
    </w:p>
    <w:p>
      <w:pPr>
        <w:ind w:left="2280"/>
        <w:spacing w:after="0"/>
        <w:rPr>
          <w:sz w:val="20"/>
          <w:szCs w:val="20"/>
          <w:color w:val="auto"/>
        </w:rPr>
      </w:pPr>
      <w:r>
        <w:rPr>
          <w:rFonts w:ascii="Arial" w:cs="Arial" w:eastAsia="Arial" w:hAnsi="Arial"/>
          <w:sz w:val="14"/>
          <w:szCs w:val="14"/>
          <w:b w:val="1"/>
          <w:bCs w:val="1"/>
          <w:color w:val="auto"/>
        </w:rPr>
        <w:t>3052 Orchard Dr.</w:t>
      </w:r>
    </w:p>
    <w:p>
      <w:pPr>
        <w:spacing w:after="0" w:line="10" w:lineRule="exact"/>
        <w:rPr>
          <w:sz w:val="24"/>
          <w:szCs w:val="24"/>
          <w:color w:val="auto"/>
        </w:rPr>
      </w:pPr>
    </w:p>
    <w:p>
      <w:pPr>
        <w:ind w:left="2180"/>
        <w:spacing w:after="0"/>
        <w:tabs>
          <w:tab w:leader="none" w:pos="8240" w:val="left"/>
        </w:tabs>
        <w:rPr>
          <w:sz w:val="20"/>
          <w:szCs w:val="20"/>
          <w:color w:val="auto"/>
        </w:rPr>
      </w:pPr>
      <w:r>
        <w:rPr>
          <w:rFonts w:ascii="Arial" w:cs="Arial" w:eastAsia="Arial" w:hAnsi="Arial"/>
          <w:sz w:val="14"/>
          <w:szCs w:val="14"/>
          <w:b w:val="1"/>
          <w:bCs w:val="1"/>
          <w:color w:val="auto"/>
        </w:rPr>
        <w:t>San Jose, California</w:t>
      </w:r>
      <w:r>
        <w:rPr>
          <w:sz w:val="20"/>
          <w:szCs w:val="20"/>
          <w:color w:val="auto"/>
        </w:rPr>
        <w:tab/>
      </w:r>
      <w:r>
        <w:rPr>
          <w:rFonts w:ascii="Arial" w:cs="Arial" w:eastAsia="Arial" w:hAnsi="Arial"/>
          <w:sz w:val="12"/>
          <w:szCs w:val="12"/>
          <w:b w:val="1"/>
          <w:bCs w:val="1"/>
          <w:color w:val="auto"/>
        </w:rPr>
        <w:t>95134</w:t>
      </w:r>
    </w:p>
    <w:p>
      <w:pPr>
        <w:spacing w:after="0" w:line="2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4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120" w:firstLine="509"/>
        <w:spacing w:after="0" w:line="18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100" w:firstLine="509"/>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20" w:firstLine="50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91" w:lineRule="exact"/>
        <w:rPr>
          <w:sz w:val="24"/>
          <w:szCs w:val="24"/>
          <w:color w:val="auto"/>
        </w:rPr>
      </w:pPr>
    </w:p>
    <w:p>
      <w:pPr>
        <w:ind w:right="60" w:firstLine="50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80"/>
        <w:spacing w:after="0" w:line="24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July 26, 2023, the registrant had 49,790,212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0" w:type="dxa"/>
            <w:vAlign w:val="bottom"/>
            <w:gridSpan w:val="3"/>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0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9380" w:type="dxa"/>
            <w:vAlign w:val="bottom"/>
            <w:gridSpan w:val="16"/>
          </w:tcPr>
          <w:p>
            <w:pPr>
              <w:spacing w:after="0" w:line="182" w:lineRule="exact"/>
              <w:rPr>
                <w:sz w:val="20"/>
                <w:szCs w:val="20"/>
                <w:color w:val="auto"/>
              </w:rPr>
            </w:pPr>
            <w:r>
              <w:rPr>
                <w:rFonts w:ascii="Arial" w:cs="Arial" w:eastAsia="Arial" w:hAnsi="Arial"/>
                <w:sz w:val="18"/>
                <w:szCs w:val="18"/>
                <w:color w:val="0563C1"/>
              </w:rPr>
              <w:t>FINANCIAL INFORMATION</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80" w:type="dxa"/>
            <w:vAlign w:val="bottom"/>
            <w:gridSpan w:val="16"/>
          </w:tcPr>
          <w:p>
            <w:pPr>
              <w:spacing w:after="0"/>
              <w:rPr>
                <w:sz w:val="20"/>
                <w:szCs w:val="20"/>
                <w:color w:val="auto"/>
              </w:rPr>
            </w:pPr>
            <w:r>
              <w:rPr>
                <w:rFonts w:ascii="Arial" w:cs="Arial" w:eastAsia="Arial" w:hAnsi="Arial"/>
                <w:sz w:val="18"/>
                <w:szCs w:val="18"/>
                <w:color w:val="0563C1"/>
              </w:rPr>
              <w:t>Financial Statements (Unaudited)</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Condensed Balance Sheets</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Condensed Statements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Condensed Statements of Comprehensive Loss</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960" w:type="dxa"/>
            <w:vAlign w:val="bottom"/>
            <w:tcBorders>
              <w:left w:val="single" w:sz="8" w:color="0563C1"/>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Condensed Statements of Stockholders’ Equity</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Condensed Statements of Cash Flows</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Notes to Condensed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gridSpan w:val="4"/>
            <w:shd w:val="clear" w:color="auto" w:fill="0563C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80" w:type="dxa"/>
            <w:vAlign w:val="bottom"/>
            <w:gridSpan w:val="16"/>
          </w:tcPr>
          <w:p>
            <w:pPr>
              <w:spacing w:after="0"/>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2100" w:type="dxa"/>
            <w:vAlign w:val="bottom"/>
            <w:tcBorders>
              <w:left w:val="single" w:sz="8" w:color="0563C1"/>
            </w:tcBorders>
            <w:shd w:val="clear" w:color="auto" w:fill="0563C1"/>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80" w:type="dxa"/>
            <w:vAlign w:val="bottom"/>
            <w:gridSpan w:val="16"/>
          </w:tcPr>
          <w:p>
            <w:pPr>
              <w:spacing w:after="0"/>
              <w:rPr>
                <w:sz w:val="20"/>
                <w:szCs w:val="20"/>
                <w:color w:val="auto"/>
              </w:rPr>
            </w:pPr>
            <w:r>
              <w:rPr>
                <w:rFonts w:ascii="Arial" w:cs="Arial" w:eastAsia="Arial" w:hAnsi="Arial"/>
                <w:sz w:val="18"/>
                <w:szCs w:val="18"/>
                <w:color w:val="0563C1"/>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040" w:type="dxa"/>
            <w:vAlign w:val="bottom"/>
            <w:tcBorders>
              <w:left w:val="single" w:sz="8" w:color="0563C1"/>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80" w:type="dxa"/>
            <w:vAlign w:val="bottom"/>
            <w:gridSpan w:val="16"/>
          </w:tcPr>
          <w:p>
            <w:pPr>
              <w:spacing w:after="0"/>
              <w:rPr>
                <w:sz w:val="20"/>
                <w:szCs w:val="20"/>
                <w:color w:val="auto"/>
              </w:rPr>
            </w:pPr>
            <w:r>
              <w:rPr>
                <w:rFonts w:ascii="Arial" w:cs="Arial" w:eastAsia="Arial" w:hAnsi="Arial"/>
                <w:sz w:val="18"/>
                <w:szCs w:val="18"/>
                <w:color w:val="0563C1"/>
              </w:rPr>
              <w:t>Controls and Procedures</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vMerge w:val="continue"/>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563C1"/>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58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80" w:type="dxa"/>
            <w:vAlign w:val="bottom"/>
            <w:gridSpan w:val="16"/>
          </w:tcPr>
          <w:p>
            <w:pPr>
              <w:spacing w:after="0"/>
              <w:rPr>
                <w:sz w:val="20"/>
                <w:szCs w:val="20"/>
                <w:color w:val="auto"/>
              </w:rPr>
            </w:pPr>
            <w:r>
              <w:rPr>
                <w:rFonts w:ascii="Arial" w:cs="Arial" w:eastAsia="Arial" w:hAnsi="Arial"/>
                <w:sz w:val="18"/>
                <w:szCs w:val="18"/>
                <w:color w:val="0563C1"/>
              </w:rPr>
              <w:t>Legal Proceedings</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00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380" w:type="dxa"/>
            <w:vAlign w:val="bottom"/>
            <w:gridSpan w:val="16"/>
          </w:tcPr>
          <w:p>
            <w:pPr>
              <w:spacing w:after="0"/>
              <w:rPr>
                <w:sz w:val="20"/>
                <w:szCs w:val="20"/>
                <w:color w:val="auto"/>
              </w:rPr>
            </w:pPr>
            <w:r>
              <w:rPr>
                <w:rFonts w:ascii="Arial" w:cs="Arial" w:eastAsia="Arial" w:hAnsi="Arial"/>
                <w:sz w:val="18"/>
                <w:szCs w:val="18"/>
                <w:color w:val="0563C1"/>
              </w:rPr>
              <w:t>Risk Factors</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80" w:type="dxa"/>
            <w:vAlign w:val="bottom"/>
            <w:gridSpan w:val="16"/>
          </w:tcPr>
          <w:p>
            <w:pPr>
              <w:spacing w:after="0"/>
              <w:rPr>
                <w:sz w:val="20"/>
                <w:szCs w:val="20"/>
                <w:color w:val="auto"/>
              </w:rPr>
            </w:pPr>
            <w:r>
              <w:rPr>
                <w:rFonts w:ascii="Arial" w:cs="Arial" w:eastAsia="Arial" w:hAnsi="Arial"/>
                <w:sz w:val="18"/>
                <w:szCs w:val="18"/>
                <w:color w:val="0563C1"/>
              </w:rPr>
              <w:t>Unregistered Sales of Equity Securities and Use of Proceeds</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80" w:type="dxa"/>
            <w:vAlign w:val="bottom"/>
            <w:gridSpan w:val="16"/>
          </w:tcPr>
          <w:p>
            <w:pPr>
              <w:spacing w:after="0"/>
              <w:rPr>
                <w:sz w:val="20"/>
                <w:szCs w:val="20"/>
                <w:color w:val="auto"/>
              </w:rPr>
            </w:pPr>
            <w:r>
              <w:rPr>
                <w:rFonts w:ascii="Arial" w:cs="Arial" w:eastAsia="Arial" w:hAnsi="Arial"/>
                <w:sz w:val="18"/>
                <w:szCs w:val="18"/>
                <w:color w:val="0563C1"/>
              </w:rPr>
              <w:t>Defaults Upon Senior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000" w:type="dxa"/>
            <w:vAlign w:val="bottom"/>
            <w:tcBorders>
              <w:left w:val="single" w:sz="8" w:color="0563C1"/>
            </w:tcBorders>
            <w:gridSpan w:val="4"/>
            <w:shd w:val="clear" w:color="auto" w:fill="0563C1"/>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80" w:type="dxa"/>
            <w:vAlign w:val="bottom"/>
            <w:gridSpan w:val="16"/>
          </w:tcPr>
          <w:p>
            <w:pPr>
              <w:spacing w:after="0"/>
              <w:rPr>
                <w:sz w:val="20"/>
                <w:szCs w:val="20"/>
                <w:color w:val="auto"/>
              </w:rPr>
            </w:pPr>
            <w:r>
              <w:rPr>
                <w:rFonts w:ascii="Arial" w:cs="Arial" w:eastAsia="Arial" w:hAnsi="Arial"/>
                <w:sz w:val="18"/>
                <w:szCs w:val="18"/>
                <w:color w:val="0563C1"/>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440" w:type="dxa"/>
            <w:vAlign w:val="bottom"/>
            <w:tcBorders>
              <w:left w:val="single" w:sz="8" w:color="0563C1"/>
            </w:tcBorders>
            <w:shd w:val="clear" w:color="auto" w:fill="0563C1"/>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80" w:type="dxa"/>
            <w:vAlign w:val="bottom"/>
            <w:gridSpan w:val="16"/>
          </w:tcPr>
          <w:p>
            <w:pPr>
              <w:spacing w:after="0"/>
              <w:rPr>
                <w:sz w:val="20"/>
                <w:szCs w:val="20"/>
                <w:color w:val="auto"/>
              </w:rPr>
            </w:pPr>
            <w:r>
              <w:rPr>
                <w:rFonts w:ascii="Arial" w:cs="Arial" w:eastAsia="Arial" w:hAnsi="Arial"/>
                <w:sz w:val="18"/>
                <w:szCs w:val="18"/>
                <w:color w:val="0563C1"/>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380" w:type="dxa"/>
            <w:vAlign w:val="bottom"/>
            <w:gridSpan w:val="16"/>
          </w:tcPr>
          <w:p>
            <w:pPr>
              <w:spacing w:after="0"/>
              <w:rPr>
                <w:sz w:val="20"/>
                <w:szCs w:val="20"/>
                <w:color w:val="auto"/>
              </w:rPr>
            </w:pPr>
            <w:r>
              <w:rPr>
                <w:rFonts w:ascii="Arial" w:cs="Arial" w:eastAsia="Arial" w:hAnsi="Arial"/>
                <w:sz w:val="18"/>
                <w:szCs w:val="18"/>
                <w:color w:val="0563C1"/>
              </w:rPr>
              <w:t>Exhibits</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100" w:type="dxa"/>
            <w:vAlign w:val="bottom"/>
            <w:gridSpan w:val="3"/>
          </w:tcPr>
          <w:p>
            <w:pPr>
              <w:ind w:left="20"/>
              <w:spacing w:after="0"/>
              <w:rPr>
                <w:sz w:val="20"/>
                <w:szCs w:val="20"/>
                <w:color w:val="auto"/>
              </w:rPr>
            </w:pPr>
            <w:r>
              <w:rPr>
                <w:rFonts w:ascii="Arial" w:cs="Arial" w:eastAsia="Arial" w:hAnsi="Arial"/>
                <w:sz w:val="18"/>
                <w:szCs w:val="18"/>
                <w:color w:val="0563C1"/>
              </w:rPr>
              <w:t>Signatures</w:t>
            </w:r>
          </w:p>
        </w:tc>
        <w:tc>
          <w:tcPr>
            <w:tcW w:w="20" w:type="dxa"/>
            <w:vAlign w:val="bottom"/>
          </w:tcPr>
          <w:p>
            <w:pPr>
              <w:spacing w:after="0"/>
              <w:rPr>
                <w:sz w:val="19"/>
                <w:szCs w:val="19"/>
                <w:color w:val="auto"/>
              </w:rPr>
            </w:pPr>
          </w:p>
        </w:tc>
        <w:tc>
          <w:tcPr>
            <w:tcW w:w="58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79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20" w:type="dxa"/>
            <w:vAlign w:val="bottom"/>
          </w:tcPr>
          <w:p>
            <w:pPr>
              <w:jc w:val="center"/>
              <w:ind w:left="355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76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6"/>
        </w:trPr>
        <w:tc>
          <w:tcPr>
            <w:tcW w:w="7620" w:type="dxa"/>
            <w:vAlign w:val="bottom"/>
          </w:tcPr>
          <w:p>
            <w:pPr>
              <w:jc w:val="center"/>
              <w:ind w:left="3530"/>
              <w:spacing w:after="0"/>
              <w:rPr>
                <w:sz w:val="20"/>
                <w:szCs w:val="20"/>
                <w:color w:val="auto"/>
              </w:rPr>
            </w:pPr>
            <w:r>
              <w:rPr>
                <w:rFonts w:ascii="Arial" w:cs="Arial" w:eastAsia="Arial" w:hAnsi="Arial"/>
                <w:sz w:val="18"/>
                <w:szCs w:val="18"/>
                <w:b w:val="1"/>
                <w:bCs w:val="1"/>
                <w:color w:val="auto"/>
                <w:w w:val="92"/>
              </w:rPr>
              <w:t>Outset Medical, Inc.</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7620" w:type="dxa"/>
            <w:vAlign w:val="bottom"/>
          </w:tcPr>
          <w:p>
            <w:pPr>
              <w:jc w:val="center"/>
              <w:ind w:left="3530"/>
              <w:spacing w:after="0"/>
              <w:rPr>
                <w:sz w:val="20"/>
                <w:szCs w:val="20"/>
                <w:color w:val="auto"/>
              </w:rPr>
            </w:pPr>
            <w:r>
              <w:rPr>
                <w:rFonts w:ascii="Arial" w:cs="Arial" w:eastAsia="Arial" w:hAnsi="Arial"/>
                <w:sz w:val="18"/>
                <w:szCs w:val="18"/>
                <w:b w:val="1"/>
                <w:bCs w:val="1"/>
                <w:color w:val="auto"/>
                <w:w w:val="86"/>
              </w:rPr>
              <w:t>Condensed Balance Sheets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620" w:type="dxa"/>
            <w:vAlign w:val="bottom"/>
          </w:tcPr>
          <w:p>
            <w:pPr>
              <w:jc w:val="center"/>
              <w:ind w:left="353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3"/>
        </w:trPr>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r>
      <w:tr>
        <w:trPr>
          <w:trHeight w:val="250"/>
        </w:trPr>
        <w:tc>
          <w:tcPr>
            <w:tcW w:w="7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r>
      <w:tr>
        <w:trPr>
          <w:trHeight w:val="233"/>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73,222</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186,403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214,280</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28,070</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44,495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51,476</w:t>
            </w:r>
          </w:p>
        </w:tc>
        <w:tc>
          <w:tcPr>
            <w:tcW w:w="140" w:type="dxa"/>
            <w:vAlign w:val="bottom"/>
          </w:tcPr>
          <w:p>
            <w:pPr>
              <w:spacing w:after="0"/>
              <w:rPr>
                <w:sz w:val="20"/>
                <w:szCs w:val="20"/>
                <w:color w:val="auto"/>
              </w:rPr>
            </w:pPr>
          </w:p>
        </w:tc>
      </w:tr>
      <w:tr>
        <w:trPr>
          <w:trHeight w:val="243"/>
        </w:trPr>
        <w:tc>
          <w:tcPr>
            <w:tcW w:w="7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5,216</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309,404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373,645</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14,539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15,876</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20"/>
                <w:szCs w:val="20"/>
                <w:color w:val="auto"/>
              </w:rPr>
            </w:pPr>
          </w:p>
        </w:tc>
      </w:tr>
      <w:tr>
        <w:trPr>
          <w:trHeight w:val="277"/>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334,442</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400,115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2,217</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17,461</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21,519</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12,650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16,227</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warranty liability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10,854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8,662</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3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40" w:type="dxa"/>
            <w:vAlign w:val="bottom"/>
            <w:shd w:val="clear" w:color="auto" w:fill="CFF0FC"/>
          </w:tcPr>
          <w:p>
            <w:pPr>
              <w:spacing w:after="0"/>
              <w:rPr>
                <w:sz w:val="21"/>
                <w:szCs w:val="21"/>
                <w:color w:val="auto"/>
              </w:rPr>
            </w:pPr>
          </w:p>
        </w:tc>
      </w:tr>
      <w:tr>
        <w:trPr>
          <w:trHeight w:val="230"/>
        </w:trPr>
        <w:tc>
          <w:tcPr>
            <w:tcW w:w="76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48,824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51,949</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96,629</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96,336</w:t>
            </w:r>
          </w:p>
        </w:tc>
        <w:tc>
          <w:tcPr>
            <w:tcW w:w="140" w:type="dxa"/>
            <w:vAlign w:val="bottom"/>
          </w:tcPr>
          <w:p>
            <w:pPr>
              <w:spacing w:after="0"/>
              <w:rPr>
                <w:sz w:val="20"/>
                <w:szCs w:val="20"/>
                <w:color w:val="auto"/>
              </w:rPr>
            </w:pPr>
          </w:p>
        </w:tc>
      </w:tr>
      <w:tr>
        <w:trPr>
          <w:trHeight w:val="23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151,334</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154,125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20" w:type="dxa"/>
            <w:vAlign w:val="bottom"/>
          </w:tcPr>
          <w:p>
            <w:pPr>
              <w:ind w:left="200"/>
              <w:spacing w:after="0"/>
              <w:rPr>
                <w:sz w:val="20"/>
                <w:szCs w:val="20"/>
                <w:color w:val="auto"/>
              </w:rPr>
            </w:pPr>
            <w:r>
              <w:rPr>
                <w:rFonts w:ascii="Arial" w:cs="Arial" w:eastAsia="Arial" w:hAnsi="Arial"/>
                <w:sz w:val="18"/>
                <w:szCs w:val="18"/>
                <w:color w:val="auto"/>
                <w:w w:val="91"/>
              </w:rPr>
              <w:t>Preferred stock, $0.001 par value; 5,000 shares authorized, and no shares issued and outstanding as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of June 30, 2023 and December 31, 2022</w:t>
            </w:r>
          </w:p>
        </w:tc>
        <w:tc>
          <w:tcPr>
            <w:tcW w:w="24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Common stock, $0.001 par value; 300,000 shares authorized as of June 30, 2023 and December 31,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2022; 49,629 and 48,465 shares issued and outstanding as of June 30, 2023 and December 31,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2022,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1,060,418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1,035,456</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(393 )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(564 )</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(876,967 )</w:t>
            </w: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(788,950 )</w:t>
            </w:r>
          </w:p>
        </w:tc>
      </w:tr>
      <w:tr>
        <w:trPr>
          <w:trHeight w:val="236"/>
        </w:trPr>
        <w:tc>
          <w:tcPr>
            <w:tcW w:w="76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183,108</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245,990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2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334,442</w:t>
            </w:r>
          </w:p>
        </w:tc>
        <w:tc>
          <w:tcPr>
            <w:tcW w:w="3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400,115</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-4996815</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-4996815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-4053840</wp:posOffset>
            </wp:positionV>
            <wp:extent cx="129476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-1851025</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-1851025</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4"/>
          </w:tcPr>
          <w:p>
            <w:pPr>
              <w:ind w:left="4140"/>
              <w:spacing w:after="0"/>
              <w:rPr>
                <w:sz w:val="20"/>
                <w:szCs w:val="20"/>
                <w:color w:val="auto"/>
              </w:rPr>
            </w:pPr>
            <w:r>
              <w:rPr>
                <w:rFonts w:ascii="Arial" w:cs="Arial" w:eastAsia="Arial" w:hAnsi="Arial"/>
                <w:sz w:val="18"/>
                <w:szCs w:val="18"/>
                <w:i w:val="1"/>
                <w:iCs w:val="1"/>
                <w:color w:val="auto"/>
                <w:w w:val="88"/>
              </w:rPr>
              <w:t>(in thousands, except per share amounts)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8"/>
        </w:trPr>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5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50"/>
        </w:trPr>
        <w:tc>
          <w:tcPr>
            <w:tcW w:w="5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9"/>
        </w:trPr>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29,330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57,109</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45,285</w:t>
            </w:r>
          </w:p>
        </w:tc>
        <w:tc>
          <w:tcPr>
            <w:tcW w:w="14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7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36,040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69,507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55,607</w:t>
            </w:r>
          </w:p>
        </w:tc>
        <w:tc>
          <w:tcPr>
            <w:tcW w:w="140" w:type="dxa"/>
            <w:vAlign w:val="bottom"/>
          </w:tcPr>
          <w:p>
            <w:pPr>
              <w:spacing w:after="0"/>
              <w:rPr>
                <w:sz w:val="20"/>
                <w:szCs w:val="20"/>
                <w:color w:val="auto"/>
              </w:rPr>
            </w:pPr>
          </w:p>
        </w:tc>
      </w:tr>
      <w:tr>
        <w:trPr>
          <w:trHeight w:val="24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22,212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43,029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40,828</w:t>
            </w:r>
          </w:p>
        </w:tc>
        <w:tc>
          <w:tcPr>
            <w:tcW w:w="14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47,383</w:t>
            </w:r>
          </w:p>
        </w:tc>
        <w:tc>
          <w:tcPr>
            <w:tcW w:w="140" w:type="dxa"/>
            <w:vAlign w:val="bottom"/>
          </w:tcPr>
          <w:p>
            <w:pPr>
              <w:spacing w:after="0"/>
              <w:rPr>
                <w:sz w:val="20"/>
                <w:szCs w:val="20"/>
                <w:color w:val="auto"/>
              </w:rPr>
            </w:pPr>
          </w:p>
        </w:tc>
      </w:tr>
      <w:tr>
        <w:trPr>
          <w:trHeight w:val="243"/>
        </w:trPr>
        <w:tc>
          <w:tcPr>
            <w:tcW w:w="5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w:t>
            </w: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140" w:type="dxa"/>
            <w:vAlign w:val="bottom"/>
            <w:shd w:val="clear" w:color="auto" w:fill="CFF0FC"/>
          </w:tcPr>
          <w:p>
            <w:pPr>
              <w:spacing w:after="0"/>
              <w:rPr>
                <w:sz w:val="21"/>
                <w:szCs w:val="2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13,521</w:t>
            </w: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24,352</w:t>
            </w:r>
          </w:p>
        </w:tc>
        <w:tc>
          <w:tcPr>
            <w:tcW w:w="140" w:type="dxa"/>
            <w:vAlign w:val="bottom"/>
            <w:shd w:val="clear" w:color="auto" w:fill="CFF0FC"/>
          </w:tcPr>
          <w:p>
            <w:pPr>
              <w:spacing w:after="0"/>
              <w:rPr>
                <w:sz w:val="21"/>
                <w:szCs w:val="2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24,985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43,575</w:t>
            </w:r>
          </w:p>
        </w:tc>
        <w:tc>
          <w:tcPr>
            <w:tcW w:w="14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10,784</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23,077</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88,420</w:t>
            </w:r>
          </w:p>
        </w:tc>
        <w:tc>
          <w:tcPr>
            <w:tcW w:w="140" w:type="dxa"/>
            <w:vAlign w:val="bottom"/>
          </w:tcPr>
          <w:p>
            <w:pPr>
              <w:spacing w:after="0"/>
              <w:rPr>
                <w:sz w:val="20"/>
                <w:szCs w:val="20"/>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(86,963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(80,196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Interest income and other income, net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20"/>
                <w:szCs w:val="20"/>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(3,103 )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(481 )</w:t>
            </w: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(6,045 )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(43,913</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(43,743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(87,692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(44,046 )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(43,839 )</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(88,017 )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(80,731 )</w:t>
            </w: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7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(0.90 )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(0.92 )</w:t>
            </w:r>
          </w:p>
        </w:tc>
        <w:tc>
          <w:tcPr>
            <w:tcW w:w="140" w:type="dxa"/>
            <w:vAlign w:val="bottom"/>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(1.79 )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(1.69 )</w:t>
            </w:r>
          </w:p>
        </w:tc>
      </w:tr>
      <w:tr>
        <w:trPr>
          <w:trHeight w:val="223"/>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w:t>
            </w: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47,882</w:t>
            </w:r>
          </w:p>
        </w:tc>
        <w:tc>
          <w:tcPr>
            <w:tcW w:w="140" w:type="dxa"/>
            <w:vAlign w:val="bottom"/>
            <w:tcBorders>
              <w:top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49,085</w:t>
            </w: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47,686</w:t>
            </w:r>
          </w:p>
        </w:tc>
        <w:tc>
          <w:tcPr>
            <w:tcW w:w="140" w:type="dxa"/>
            <w:vAlign w:val="bottom"/>
            <w:tcBorders>
              <w:top w:val="single" w:sz="8" w:color="CFF0FC"/>
            </w:tcBorders>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-3222625</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-3222625</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-3222625</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-3222625</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-2596515</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-2596515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-2596515</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-2596515</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-1653540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-1653540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-1653540</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-1653540</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-702310</wp:posOffset>
            </wp:positionV>
            <wp:extent cx="8572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-702310</wp:posOffset>
            </wp:positionV>
            <wp:extent cx="85725"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-702310</wp:posOffset>
            </wp:positionV>
            <wp:extent cx="8572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-205105</wp:posOffset>
            </wp:positionV>
            <wp:extent cx="280352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3525" cy="20574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52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Six Months Ended</w:t>
            </w:r>
          </w:p>
        </w:tc>
      </w:tr>
      <w:tr>
        <w:trPr>
          <w:trHeight w:val="250"/>
        </w:trPr>
        <w:tc>
          <w:tcPr>
            <w:tcW w:w="5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39"/>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(88,017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(80,731</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(280 )</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(306 )</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(771 )</w:t>
            </w:r>
          </w:p>
        </w:tc>
      </w:tr>
      <w:tr>
        <w:trPr>
          <w:trHeight w:val="20"/>
        </w:trPr>
        <w:tc>
          <w:tcPr>
            <w:tcW w:w="5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36"/>
        </w:trPr>
        <w:tc>
          <w:tcPr>
            <w:tcW w:w="5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(44,326 )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(44,145 )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(87,846 )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(81,502 )</w:t>
            </w: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-187960</wp:posOffset>
            </wp:positionV>
            <wp:extent cx="857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-187960</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-187960</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2060" w:type="dxa"/>
            <w:vAlign w:val="bottom"/>
            <w:gridSpan w:val="3"/>
            <w:vMerge w:val="restart"/>
          </w:tcPr>
          <w:p>
            <w:pPr>
              <w:jc w:val="right"/>
              <w:ind w:right="322"/>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w w:val="91"/>
              </w:rPr>
              <w:t>Additional</w:t>
            </w:r>
          </w:p>
        </w:tc>
        <w:tc>
          <w:tcPr>
            <w:tcW w:w="28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06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Paid-in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ve</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Capital</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48,465</w:t>
            </w:r>
          </w:p>
        </w:tc>
        <w:tc>
          <w:tcPr>
            <w:tcW w:w="1040" w:type="dxa"/>
            <w:vAlign w:val="bottom"/>
            <w:gridSpan w:val="2"/>
            <w:shd w:val="clear" w:color="auto" w:fill="CFF0FC"/>
          </w:tcPr>
          <w:p>
            <w:pPr>
              <w:jc w:val="right"/>
              <w:ind w:right="602"/>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1,035,456</w:t>
            </w:r>
          </w:p>
        </w:tc>
        <w:tc>
          <w:tcPr>
            <w:tcW w:w="48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(564 )</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(788,950 )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200"/>
              <w:spacing w:after="0"/>
              <w:rPr>
                <w:sz w:val="20"/>
                <w:szCs w:val="20"/>
                <w:color w:val="auto"/>
              </w:rPr>
            </w:pPr>
            <w:r>
              <w:rPr>
                <w:rFonts w:ascii="Arial" w:cs="Arial" w:eastAsia="Arial" w:hAnsi="Arial"/>
                <w:sz w:val="16"/>
                <w:szCs w:val="16"/>
                <w:color w:val="auto"/>
              </w:rPr>
              <w:t>Issuance of common stock through employee stock</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80"/>
              <w:spacing w:after="0"/>
              <w:rPr>
                <w:sz w:val="20"/>
                <w:szCs w:val="20"/>
                <w:color w:val="auto"/>
              </w:rPr>
            </w:pPr>
            <w:r>
              <w:rPr>
                <w:rFonts w:ascii="Arial" w:cs="Arial" w:eastAsia="Arial" w:hAnsi="Arial"/>
                <w:sz w:val="16"/>
                <w:szCs w:val="16"/>
                <w:color w:val="auto"/>
              </w:rPr>
              <w:t>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307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Unrealized gain on available-for-sale securities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(43,971 )</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(43,971 )</w:t>
            </w:r>
          </w:p>
        </w:tc>
        <w:tc>
          <w:tcPr>
            <w:tcW w:w="0" w:type="dxa"/>
            <w:vAlign w:val="bottom"/>
          </w:tcPr>
          <w:p>
            <w:pPr>
              <w:spacing w:after="0"/>
              <w:rPr>
                <w:sz w:val="1"/>
                <w:szCs w:val="1"/>
                <w:color w:val="auto"/>
              </w:rPr>
            </w:pPr>
          </w:p>
        </w:tc>
      </w:tr>
      <w:tr>
        <w:trPr>
          <w:trHeight w:val="23"/>
        </w:trPr>
        <w:tc>
          <w:tcPr>
            <w:tcW w:w="388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020" w:type="dxa"/>
            <w:vAlign w:val="bottom"/>
          </w:tcPr>
          <w:p>
            <w:pPr>
              <w:jc w:val="right"/>
              <w:spacing w:after="0"/>
              <w:rPr>
                <w:sz w:val="20"/>
                <w:szCs w:val="20"/>
                <w:color w:val="auto"/>
              </w:rPr>
            </w:pPr>
            <w:r>
              <w:rPr>
                <w:rFonts w:ascii="Arial" w:cs="Arial" w:eastAsia="Arial" w:hAnsi="Arial"/>
                <w:sz w:val="16"/>
                <w:szCs w:val="16"/>
                <w:color w:val="auto"/>
              </w:rPr>
              <w:t>49,216</w:t>
            </w:r>
          </w:p>
        </w:tc>
        <w:tc>
          <w:tcPr>
            <w:tcW w:w="280" w:type="dxa"/>
            <w:vAlign w:val="bottom"/>
          </w:tcPr>
          <w:p>
            <w:pPr>
              <w:spacing w:after="0"/>
              <w:rPr>
                <w:sz w:val="19"/>
                <w:szCs w:val="19"/>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49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1,049,271</w:t>
            </w:r>
          </w:p>
        </w:tc>
        <w:tc>
          <w:tcPr>
            <w:tcW w:w="2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(113 )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(832,921 </w:t>
            </w:r>
            <w:r>
              <w:rPr>
                <w:rFonts w:ascii="Arial" w:cs="Arial" w:eastAsia="Arial" w:hAnsi="Arial"/>
                <w:sz w:val="16"/>
                <w:szCs w:val="16"/>
                <w:color w:val="auto"/>
                <w:highlight w:val="white"/>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216,286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1020" w:type="dxa"/>
            <w:vAlign w:val="bottom"/>
          </w:tcPr>
          <w:p>
            <w:pPr>
              <w:jc w:val="right"/>
              <w:spacing w:after="0"/>
              <w:rPr>
                <w:sz w:val="20"/>
                <w:szCs w:val="20"/>
                <w:color w:val="auto"/>
              </w:rPr>
            </w:pPr>
            <w:r>
              <w:rPr>
                <w:rFonts w:ascii="Arial" w:cs="Arial" w:eastAsia="Arial" w:hAnsi="Arial"/>
                <w:sz w:val="16"/>
                <w:szCs w:val="16"/>
                <w:color w:val="auto"/>
              </w:rPr>
              <w:t>248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(280 )</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(44,046 )</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(44,046 )</w:t>
            </w:r>
          </w:p>
        </w:tc>
        <w:tc>
          <w:tcPr>
            <w:tcW w:w="0" w:type="dxa"/>
            <w:vAlign w:val="bottom"/>
          </w:tcPr>
          <w:p>
            <w:pPr>
              <w:spacing w:after="0"/>
              <w:rPr>
                <w:sz w:val="1"/>
                <w:szCs w:val="1"/>
                <w:color w:val="auto"/>
              </w:rPr>
            </w:pPr>
          </w:p>
        </w:tc>
      </w:tr>
      <w:tr>
        <w:trPr>
          <w:trHeight w:val="23"/>
        </w:trPr>
        <w:tc>
          <w:tcPr>
            <w:tcW w:w="388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020" w:type="dxa"/>
            <w:vAlign w:val="bottom"/>
          </w:tcPr>
          <w:p>
            <w:pPr>
              <w:jc w:val="right"/>
              <w:spacing w:after="0"/>
              <w:rPr>
                <w:sz w:val="20"/>
                <w:szCs w:val="20"/>
                <w:color w:val="auto"/>
              </w:rPr>
            </w:pPr>
            <w:r>
              <w:rPr>
                <w:rFonts w:ascii="Arial" w:cs="Arial" w:eastAsia="Arial" w:hAnsi="Arial"/>
                <w:sz w:val="16"/>
                <w:szCs w:val="16"/>
                <w:color w:val="auto"/>
              </w:rPr>
              <w:t>49,629</w:t>
            </w:r>
          </w:p>
        </w:tc>
        <w:tc>
          <w:tcPr>
            <w:tcW w:w="280" w:type="dxa"/>
            <w:vAlign w:val="bottom"/>
          </w:tcPr>
          <w:p>
            <w:pPr>
              <w:spacing w:after="0"/>
              <w:rPr>
                <w:sz w:val="19"/>
                <w:szCs w:val="19"/>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50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1,060,418</w:t>
            </w:r>
          </w:p>
        </w:tc>
        <w:tc>
          <w:tcPr>
            <w:tcW w:w="2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(393 )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(876,967 </w:t>
            </w:r>
            <w:r>
              <w:rPr>
                <w:rFonts w:ascii="Arial" w:cs="Arial" w:eastAsia="Arial" w:hAnsi="Arial"/>
                <w:sz w:val="16"/>
                <w:szCs w:val="16"/>
                <w:color w:val="auto"/>
                <w:highlight w:val="white"/>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183,108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-1062355</wp:posOffset>
            </wp:positionV>
            <wp:extent cx="8572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-1062355</wp:posOffset>
            </wp:positionV>
            <wp:extent cx="857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-1062355</wp:posOffset>
            </wp:positionV>
            <wp:extent cx="8572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-1062355</wp:posOffset>
            </wp:positionV>
            <wp:extent cx="8572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-1062355</wp:posOffset>
            </wp:positionV>
            <wp:extent cx="8572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-179070</wp:posOffset>
            </wp:positionV>
            <wp:extent cx="8572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-179070</wp:posOffset>
            </wp:positionV>
            <wp:extent cx="8572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-179070</wp:posOffset>
            </wp:positionV>
            <wp:extent cx="8572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-179070</wp:posOffset>
            </wp:positionV>
            <wp:extent cx="8572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2060" w:type="dxa"/>
            <w:vAlign w:val="bottom"/>
            <w:gridSpan w:val="3"/>
            <w:vMerge w:val="restart"/>
          </w:tcPr>
          <w:p>
            <w:pPr>
              <w:jc w:val="right"/>
              <w:ind w:right="322"/>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w w:val="91"/>
              </w:rPr>
              <w:t>Additional</w:t>
            </w:r>
          </w:p>
        </w:tc>
        <w:tc>
          <w:tcPr>
            <w:tcW w:w="28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06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Paid-in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ve</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Capital</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47,241</w:t>
            </w:r>
          </w:p>
        </w:tc>
        <w:tc>
          <w:tcPr>
            <w:tcW w:w="1040" w:type="dxa"/>
            <w:vAlign w:val="bottom"/>
            <w:gridSpan w:val="2"/>
            <w:shd w:val="clear" w:color="auto" w:fill="CFF0FC"/>
          </w:tcPr>
          <w:p>
            <w:pPr>
              <w:jc w:val="right"/>
              <w:ind w:right="602"/>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1,000,212</w:t>
            </w:r>
          </w:p>
        </w:tc>
        <w:tc>
          <w:tcPr>
            <w:tcW w:w="48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(184 )</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(625,994 )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374,081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ind w:left="200"/>
              <w:spacing w:after="0"/>
              <w:rPr>
                <w:sz w:val="20"/>
                <w:szCs w:val="20"/>
                <w:color w:val="auto"/>
              </w:rPr>
            </w:pPr>
            <w:r>
              <w:rPr>
                <w:rFonts w:ascii="Arial" w:cs="Arial" w:eastAsia="Arial" w:hAnsi="Arial"/>
                <w:sz w:val="16"/>
                <w:szCs w:val="16"/>
                <w:color w:val="auto"/>
              </w:rPr>
              <w:t>Issuance of common stock through employee stock</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80"/>
              <w:spacing w:after="0"/>
              <w:rPr>
                <w:sz w:val="20"/>
                <w:szCs w:val="20"/>
                <w:color w:val="auto"/>
              </w:rPr>
            </w:pPr>
            <w:r>
              <w:rPr>
                <w:rFonts w:ascii="Arial" w:cs="Arial" w:eastAsia="Arial" w:hAnsi="Arial"/>
                <w:sz w:val="16"/>
                <w:szCs w:val="16"/>
                <w:color w:val="auto"/>
              </w:rPr>
              <w:t>purchase plan</w:t>
            </w: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1020" w:type="dxa"/>
            <w:vAlign w:val="bottom"/>
          </w:tcPr>
          <w:p>
            <w:pPr>
              <w:jc w:val="right"/>
              <w:spacing w:after="0"/>
              <w:rPr>
                <w:sz w:val="20"/>
                <w:szCs w:val="20"/>
                <w:color w:val="auto"/>
              </w:rPr>
            </w:pPr>
            <w:r>
              <w:rPr>
                <w:rFonts w:ascii="Arial" w:cs="Arial" w:eastAsia="Arial" w:hAnsi="Arial"/>
                <w:sz w:val="16"/>
                <w:szCs w:val="16"/>
                <w:color w:val="auto"/>
              </w:rPr>
              <w:t>328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(36,892 )</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(36,892 )</w:t>
            </w:r>
          </w:p>
        </w:tc>
        <w:tc>
          <w:tcPr>
            <w:tcW w:w="0" w:type="dxa"/>
            <w:vAlign w:val="bottom"/>
          </w:tcPr>
          <w:p>
            <w:pPr>
              <w:spacing w:after="0"/>
              <w:rPr>
                <w:sz w:val="1"/>
                <w:szCs w:val="1"/>
                <w:color w:val="auto"/>
              </w:rPr>
            </w:pPr>
          </w:p>
        </w:tc>
      </w:tr>
      <w:tr>
        <w:trPr>
          <w:trHeight w:val="23"/>
        </w:trPr>
        <w:tc>
          <w:tcPr>
            <w:tcW w:w="388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020" w:type="dxa"/>
            <w:vAlign w:val="bottom"/>
          </w:tcPr>
          <w:p>
            <w:pPr>
              <w:jc w:val="right"/>
              <w:spacing w:after="0"/>
              <w:rPr>
                <w:sz w:val="20"/>
                <w:szCs w:val="20"/>
                <w:color w:val="auto"/>
              </w:rPr>
            </w:pPr>
            <w:r>
              <w:rPr>
                <w:rFonts w:ascii="Arial" w:cs="Arial" w:eastAsia="Arial" w:hAnsi="Arial"/>
                <w:sz w:val="16"/>
                <w:szCs w:val="16"/>
                <w:color w:val="auto"/>
              </w:rPr>
              <w:t>47,712</w:t>
            </w:r>
          </w:p>
        </w:tc>
        <w:tc>
          <w:tcPr>
            <w:tcW w:w="280" w:type="dxa"/>
            <w:vAlign w:val="bottom"/>
          </w:tcPr>
          <w:p>
            <w:pPr>
              <w:spacing w:after="0"/>
              <w:rPr>
                <w:sz w:val="19"/>
                <w:szCs w:val="19"/>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48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1,008,940</w:t>
            </w:r>
          </w:p>
        </w:tc>
        <w:tc>
          <w:tcPr>
            <w:tcW w:w="2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(649 )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(662,886 </w:t>
            </w:r>
            <w:r>
              <w:rPr>
                <w:rFonts w:ascii="Arial" w:cs="Arial" w:eastAsia="Arial" w:hAnsi="Arial"/>
                <w:sz w:val="16"/>
                <w:szCs w:val="16"/>
                <w:color w:val="auto"/>
                <w:highlight w:val="white"/>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345,453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1020" w:type="dxa"/>
            <w:vAlign w:val="bottom"/>
          </w:tcPr>
          <w:p>
            <w:pPr>
              <w:jc w:val="right"/>
              <w:spacing w:after="0"/>
              <w:rPr>
                <w:sz w:val="20"/>
                <w:szCs w:val="20"/>
                <w:color w:val="auto"/>
              </w:rPr>
            </w:pPr>
            <w:r>
              <w:rPr>
                <w:rFonts w:ascii="Arial" w:cs="Arial" w:eastAsia="Arial" w:hAnsi="Arial"/>
                <w:sz w:val="16"/>
                <w:szCs w:val="16"/>
                <w:color w:val="auto"/>
              </w:rPr>
              <w:t>233</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(306 )</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(43,839 )</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(43,839 )</w:t>
            </w:r>
          </w:p>
        </w:tc>
        <w:tc>
          <w:tcPr>
            <w:tcW w:w="0" w:type="dxa"/>
            <w:vAlign w:val="bottom"/>
          </w:tcPr>
          <w:p>
            <w:pPr>
              <w:spacing w:after="0"/>
              <w:rPr>
                <w:sz w:val="1"/>
                <w:szCs w:val="1"/>
                <w:color w:val="auto"/>
              </w:rPr>
            </w:pPr>
          </w:p>
        </w:tc>
      </w:tr>
      <w:tr>
        <w:trPr>
          <w:trHeight w:val="23"/>
        </w:trPr>
        <w:tc>
          <w:tcPr>
            <w:tcW w:w="388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020" w:type="dxa"/>
            <w:vAlign w:val="bottom"/>
          </w:tcPr>
          <w:p>
            <w:pPr>
              <w:jc w:val="right"/>
              <w:spacing w:after="0"/>
              <w:rPr>
                <w:sz w:val="20"/>
                <w:szCs w:val="20"/>
                <w:color w:val="auto"/>
              </w:rPr>
            </w:pPr>
            <w:r>
              <w:rPr>
                <w:rFonts w:ascii="Arial" w:cs="Arial" w:eastAsia="Arial" w:hAnsi="Arial"/>
                <w:sz w:val="16"/>
                <w:szCs w:val="16"/>
                <w:color w:val="auto"/>
              </w:rPr>
              <w:t>47,997</w:t>
            </w:r>
          </w:p>
        </w:tc>
        <w:tc>
          <w:tcPr>
            <w:tcW w:w="280" w:type="dxa"/>
            <w:vAlign w:val="bottom"/>
          </w:tcPr>
          <w:p>
            <w:pPr>
              <w:spacing w:after="0"/>
              <w:rPr>
                <w:sz w:val="19"/>
                <w:szCs w:val="19"/>
                <w:color w:val="auto"/>
              </w:rPr>
            </w:pP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48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1,017,396</w:t>
            </w:r>
          </w:p>
        </w:tc>
        <w:tc>
          <w:tcPr>
            <w:tcW w:w="2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(955 )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(706,725 </w:t>
            </w:r>
            <w:r>
              <w:rPr>
                <w:rFonts w:ascii="Arial" w:cs="Arial" w:eastAsia="Arial" w:hAnsi="Arial"/>
                <w:sz w:val="16"/>
                <w:szCs w:val="16"/>
                <w:color w:val="auto"/>
                <w:highlight w:val="white"/>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309,764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-1062355</wp:posOffset>
            </wp:positionV>
            <wp:extent cx="857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-1062355</wp:posOffset>
            </wp:positionV>
            <wp:extent cx="857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-1062355</wp:posOffset>
            </wp:positionV>
            <wp:extent cx="857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-1062355</wp:posOffset>
            </wp:positionV>
            <wp:extent cx="8572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-1062355</wp:posOffset>
            </wp:positionV>
            <wp:extent cx="8572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-179070</wp:posOffset>
            </wp:positionV>
            <wp:extent cx="8572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-179070</wp:posOffset>
            </wp:positionV>
            <wp:extent cx="8572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-179070</wp:posOffset>
            </wp:positionV>
            <wp:extent cx="85725"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-179070</wp:posOffset>
            </wp:positionV>
            <wp:extent cx="8572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20" w:type="dxa"/>
            <w:vAlign w:val="bottom"/>
          </w:tcPr>
          <w:p>
            <w:pPr>
              <w:spacing w:after="0"/>
              <w:rPr>
                <w:sz w:val="20"/>
                <w:szCs w:val="20"/>
                <w:color w:val="auto"/>
              </w:rPr>
            </w:pPr>
          </w:p>
        </w:tc>
        <w:tc>
          <w:tcPr>
            <w:tcW w:w="3620" w:type="dxa"/>
            <w:vAlign w:val="bottom"/>
            <w:gridSpan w:val="7"/>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39"/>
        </w:trPr>
        <w:tc>
          <w:tcPr>
            <w:tcW w:w="76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(88,017 )</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(80,731 )</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18,643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12,420</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Accretion (amortization) of discount (premium) on investments, net</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(3,353 )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inventories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Other non-cash items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(8,919 )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(15,311 )</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(4,058 )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(9,153 )</w:t>
            </w: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(3,720 )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8,366</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Accrued warranty liability</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(260 )</w:t>
            </w:r>
          </w:p>
        </w:tc>
      </w:tr>
      <w:tr>
        <w:trPr>
          <w:trHeight w:val="249"/>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(640 )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(548 )</w:t>
            </w:r>
          </w:p>
        </w:tc>
      </w:tr>
      <w:tr>
        <w:trPr>
          <w:trHeight w:val="236"/>
        </w:trPr>
        <w:tc>
          <w:tcPr>
            <w:tcW w:w="7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(72,932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(76,910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(1,605 )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(3,475 )</w:t>
            </w:r>
          </w:p>
        </w:tc>
      </w:tr>
      <w:tr>
        <w:trPr>
          <w:trHeight w:val="237"/>
        </w:trPr>
        <w:tc>
          <w:tcPr>
            <w:tcW w:w="7620" w:type="dxa"/>
            <w:vAlign w:val="bottom"/>
          </w:tcPr>
          <w:p>
            <w:pPr>
              <w:ind w:left="200"/>
              <w:spacing w:after="0"/>
              <w:rPr>
                <w:sz w:val="20"/>
                <w:szCs w:val="20"/>
                <w:color w:val="auto"/>
              </w:rPr>
            </w:pPr>
            <w:r>
              <w:rPr>
                <w:rFonts w:ascii="Arial" w:cs="Arial" w:eastAsia="Arial" w:hAnsi="Arial"/>
                <w:sz w:val="18"/>
                <w:szCs w:val="18"/>
                <w:color w:val="auto"/>
              </w:rPr>
              <w:t>Purchases of investment securities</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(97,849 )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(133,015 )</w:t>
            </w:r>
          </w:p>
        </w:tc>
      </w:tr>
      <w:tr>
        <w:trPr>
          <w:trHeight w:val="249"/>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Maturities of investment securities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129,250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101,784</w:t>
            </w:r>
          </w:p>
        </w:tc>
        <w:tc>
          <w:tcPr>
            <w:tcW w:w="140" w:type="dxa"/>
            <w:vAlign w:val="bottom"/>
            <w:shd w:val="clear" w:color="auto" w:fill="CFF0FC"/>
          </w:tcPr>
          <w:p>
            <w:pPr>
              <w:spacing w:after="0"/>
              <w:rPr>
                <w:sz w:val="21"/>
                <w:szCs w:val="2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Proceeds from stock option exercises and employee stock purchase plan purchases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c>
          <w:tcPr>
            <w:tcW w:w="140" w:type="dxa"/>
            <w:vAlign w:val="bottom"/>
            <w:tcBorders>
              <w:bottom w:val="single" w:sz="8" w:color="CFF0FC"/>
            </w:tcBorders>
          </w:tcPr>
          <w:p>
            <w:pPr>
              <w:spacing w:after="0"/>
              <w:rPr>
                <w:sz w:val="20"/>
                <w:szCs w:val="20"/>
                <w:color w:val="auto"/>
              </w:rPr>
            </w:pPr>
          </w:p>
        </w:tc>
      </w:tr>
      <w:tr>
        <w:trPr>
          <w:trHeight w:val="23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(36,816 )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(106,851 )</w:t>
            </w: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as of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76,533</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215,659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of end of period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108,808</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20"/>
                <w:szCs w:val="20"/>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7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-3312795</wp:posOffset>
            </wp:positionV>
            <wp:extent cx="7145020" cy="338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-2523490</wp:posOffset>
            </wp:positionV>
            <wp:extent cx="1320165"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016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-2043430</wp:posOffset>
            </wp:positionV>
            <wp:extent cx="7145020" cy="3384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-1551305</wp:posOffset>
            </wp:positionV>
            <wp:extent cx="85725" cy="342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-1551305</wp:posOffset>
            </wp:positionV>
            <wp:extent cx="85725"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-719455</wp:posOffset>
            </wp:positionV>
            <wp:extent cx="129476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94765" cy="20574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569"/>
        <w:spacing w:after="0" w:line="291" w:lineRule="auto"/>
        <w:rPr>
          <w:sz w:val="20"/>
          <w:szCs w:val="20"/>
          <w:color w:val="auto"/>
        </w:rPr>
      </w:pPr>
      <w:r>
        <w:rPr>
          <w:rFonts w:ascii="Arial" w:cs="Arial" w:eastAsia="Arial" w:hAnsi="Arial"/>
          <w:sz w:val="16"/>
          <w:szCs w:val="16"/>
          <w:color w:val="auto"/>
        </w:rPr>
        <w:t>Outset Medical, Inc. (the Company) is a medical technology company pioneering a first-of-its-kind technology to reduce the cost and complexity of dialysis. The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00" w:firstLine="569"/>
        <w:spacing w:after="0" w:line="263"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six months ended June 30, 2023 and 2022, the Company incurred a net loss of $88.0 million and $80.7 million, respectively. As of June 30, 2023, the Company had an accumulated deficit of $877.0 million.</w:t>
      </w:r>
    </w:p>
    <w:p>
      <w:pPr>
        <w:spacing w:after="0" w:line="76" w:lineRule="exact"/>
        <w:rPr>
          <w:sz w:val="20"/>
          <w:szCs w:val="20"/>
          <w:color w:val="auto"/>
        </w:rPr>
      </w:pPr>
    </w:p>
    <w:p>
      <w:pPr>
        <w:ind w:right="140" w:firstLine="569"/>
        <w:spacing w:after="0" w:line="293" w:lineRule="auto"/>
        <w:rPr>
          <w:sz w:val="20"/>
          <w:szCs w:val="20"/>
          <w:color w:val="auto"/>
        </w:rPr>
      </w:pPr>
      <w:r>
        <w:rPr>
          <w:rFonts w:ascii="Arial" w:cs="Arial" w:eastAsia="Arial" w:hAnsi="Arial"/>
          <w:sz w:val="16"/>
          <w:szCs w:val="16"/>
          <w:color w:val="auto"/>
        </w:rPr>
        <w:t>As of June 30, 2023, the Company had cash, cash equivalents, and short-term investments of $222.8 million, which are available to fund future operations, and restricted cash of $3.3 million, for a total cash, cash equivalents, restricted cash, and short-term investments balance of $226.1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and currently available from the debt financing described in Note 7, will be sufficient to meet its anticipated needs for at least the next 12 months from the issuance date of the accompanying condensed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69"/>
        <w:spacing w:after="0" w:line="291" w:lineRule="auto"/>
        <w:rPr>
          <w:sz w:val="20"/>
          <w:szCs w:val="20"/>
          <w:color w:val="auto"/>
        </w:rPr>
      </w:pPr>
      <w:r>
        <w:rPr>
          <w:rFonts w:ascii="Arial" w:cs="Arial" w:eastAsia="Arial" w:hAnsi="Arial"/>
          <w:sz w:val="16"/>
          <w:szCs w:val="16"/>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six-month periods are also unaudited. The results of operations for the three and six months ended June 30, 2023 are not necessarily indicative of the results of operations to be anticipated for any other future annual or interim period. The condensed balance sheet as of December 31, 2022 included herein was derived from the audited financial statements as of that date.</w:t>
      </w:r>
    </w:p>
    <w:p>
      <w:pPr>
        <w:spacing w:after="0" w:line="58" w:lineRule="exact"/>
        <w:rPr>
          <w:sz w:val="20"/>
          <w:szCs w:val="20"/>
          <w:color w:val="auto"/>
        </w:rPr>
      </w:pPr>
    </w:p>
    <w:p>
      <w:pPr>
        <w:jc w:val="both"/>
        <w:ind w:right="120" w:firstLine="569"/>
        <w:spacing w:after="0" w:line="263" w:lineRule="auto"/>
        <w:rPr>
          <w:sz w:val="20"/>
          <w:szCs w:val="20"/>
          <w:color w:val="auto"/>
        </w:rPr>
      </w:pPr>
      <w:r>
        <w:rPr>
          <w:rFonts w:ascii="Arial" w:cs="Arial" w:eastAsia="Arial" w:hAnsi="Arial"/>
          <w:sz w:val="18"/>
          <w:szCs w:val="18"/>
          <w:color w:val="auto"/>
        </w:rPr>
        <w:t>These unaudited condensed financial statements should be read in conjunction with the Company’s audited financial statements and related notes for the year ended December 31, 2022, which are included in the Annual Report on Form 10-K for the fiscal year ended December 31, 2022 filed with the Securities and Exchange Commission (SEC) on February 13, 2023 (2022 Annual Report).</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share amounts disclosed in the notes to the condensed financial statements are rounded to the nearest thousand except for per share data.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60" w:firstLine="562"/>
        <w:spacing w:after="0" w:line="290"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(ASU 2016-13), which requires an entity to utilize a new impairment model known as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The Company adopted ASU 2016-13 during the first quarter of fiscal year 2023. The adoption did not have a material impact on the Company's financial statements. Please see the description of the Company’s "Credit Losses” accounting policy in the “Significant Accounting Policies” section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60" w:firstLine="562"/>
        <w:spacing w:after="0" w:line="263" w:lineRule="auto"/>
        <w:rPr>
          <w:sz w:val="20"/>
          <w:szCs w:val="20"/>
          <w:color w:val="auto"/>
        </w:rPr>
      </w:pPr>
      <w:r>
        <w:rPr>
          <w:rFonts w:ascii="Arial" w:cs="Arial" w:eastAsia="Arial" w:hAnsi="Arial"/>
          <w:sz w:val="18"/>
          <w:szCs w:val="18"/>
          <w:color w:val="auto"/>
        </w:rPr>
        <w:t>With the exception of the change from accounting for credit losses as a result of the adoption of ASU 2016-13, there have been no new or material changes to the Company’s significant accounting policies as described in its 2022 Annual Report that have had a material impact on the Company’s condensed financial statements and related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right="40" w:firstLine="569"/>
        <w:spacing w:after="0" w:line="279" w:lineRule="auto"/>
        <w:rPr>
          <w:sz w:val="20"/>
          <w:szCs w:val="20"/>
          <w:color w:val="auto"/>
        </w:rPr>
      </w:pPr>
      <w:r>
        <w:rPr>
          <w:rFonts w:ascii="Arial" w:cs="Arial" w:eastAsia="Arial" w:hAnsi="Arial"/>
          <w:sz w:val="17"/>
          <w:szCs w:val="17"/>
          <w:i w:val="1"/>
          <w:iCs w:val="1"/>
          <w:color w:val="auto"/>
        </w:rPr>
        <w:t>Accounts receivable</w:t>
      </w:r>
      <w:r>
        <w:rPr>
          <w:rFonts w:ascii="Arial" w:cs="Arial" w:eastAsia="Arial" w:hAnsi="Arial"/>
          <w:sz w:val="17"/>
          <w:szCs w:val="17"/>
          <w:color w:val="auto"/>
        </w:rPr>
        <w:t>. The allowance for doubtful accounts is based on the Company’s assessment of the Company’s best estimate of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in customer accounts. The Company regularly reviews the allowance by considering factors such as existing contractual payment terms, historical experience, credit quality, the age of the accounts receivable balances, and current economic conditions that may affect a customer’s ability to pay. The allowance for doubtful accounts was not significant as of June 30, 2023 and December 31, 2022.</w:t>
      </w:r>
    </w:p>
    <w:p>
      <w:pPr>
        <w:spacing w:after="0" w:line="279" w:lineRule="exact"/>
        <w:rPr>
          <w:sz w:val="20"/>
          <w:szCs w:val="20"/>
          <w:color w:val="auto"/>
        </w:rPr>
      </w:pPr>
    </w:p>
    <w:p>
      <w:pPr>
        <w:ind w:right="20" w:firstLine="569"/>
        <w:spacing w:after="0" w:line="289" w:lineRule="auto"/>
        <w:rPr>
          <w:sz w:val="20"/>
          <w:szCs w:val="20"/>
          <w:color w:val="auto"/>
        </w:rPr>
      </w:pPr>
      <w:r>
        <w:rPr>
          <w:rFonts w:ascii="Arial" w:cs="Arial" w:eastAsia="Arial" w:hAnsi="Arial"/>
          <w:sz w:val="16"/>
          <w:szCs w:val="16"/>
          <w:i w:val="1"/>
          <w:iCs w:val="1"/>
          <w:color w:val="auto"/>
        </w:rPr>
        <w:t>Available-for-sale debt securities</w:t>
      </w:r>
      <w:r>
        <w:rPr>
          <w:rFonts w:ascii="Arial" w:cs="Arial" w:eastAsia="Arial" w:hAnsi="Arial"/>
          <w:sz w:val="16"/>
          <w:szCs w:val="16"/>
          <w:color w:val="auto"/>
        </w:rPr>
        <w:t>. The Company primarily holds U.S. government-sponsored enterprises debt securities, corporate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U.S. Treasury securities and money market funds. 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government-sponsored enterprises debt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3. Revenue and Deferred Revenue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 by source consists of the following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6"/>
        </w:trPr>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Three Months Ended June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c>
          <w:tcPr>
            <w:tcW w:w="12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Consoles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13,228</w:t>
            </w:r>
          </w:p>
        </w:tc>
        <w:tc>
          <w:tcPr>
            <w:tcW w:w="12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31,279</w:t>
            </w:r>
          </w:p>
        </w:tc>
        <w:tc>
          <w:tcPr>
            <w:tcW w:w="12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14,006</w:t>
            </w:r>
          </w:p>
        </w:tc>
        <w:tc>
          <w:tcPr>
            <w:tcW w:w="12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product revenue</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19,621</w:t>
            </w:r>
          </w:p>
        </w:tc>
        <w:tc>
          <w:tcPr>
            <w:tcW w:w="12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45,285</w:t>
            </w:r>
          </w:p>
        </w:tc>
        <w:tc>
          <w:tcPr>
            <w:tcW w:w="12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w:t>
            </w:r>
          </w:p>
        </w:tc>
        <w:tc>
          <w:tcPr>
            <w:tcW w:w="12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36,040</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69,507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55,607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4" w:lineRule="exact"/>
        <w:rPr>
          <w:sz w:val="20"/>
          <w:szCs w:val="20"/>
          <w:color w:val="auto"/>
        </w:rPr>
      </w:pPr>
    </w:p>
    <w:p>
      <w:pPr>
        <w:ind w:right="820" w:firstLine="569"/>
        <w:spacing w:after="0" w:line="277" w:lineRule="auto"/>
        <w:rPr>
          <w:sz w:val="20"/>
          <w:szCs w:val="20"/>
          <w:color w:val="auto"/>
        </w:rPr>
      </w:pPr>
      <w:r>
        <w:rPr>
          <w:rFonts w:ascii="Arial" w:cs="Arial" w:eastAsia="Arial" w:hAnsi="Arial"/>
          <w:sz w:val="18"/>
          <w:szCs w:val="18"/>
          <w:color w:val="auto"/>
        </w:rPr>
        <w:t>For the three and six months ended June 30, 2023, $0.1 million and $0.2 million of consoles revenue were from console operating lease arrangements, compared to $0.7 million and $1.4 million for the three and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Contract Liabilities</w:t>
      </w:r>
    </w:p>
    <w:p>
      <w:pPr>
        <w:spacing w:after="0" w:line="117" w:lineRule="exact"/>
        <w:rPr>
          <w:sz w:val="20"/>
          <w:szCs w:val="20"/>
          <w:color w:val="auto"/>
        </w:rPr>
      </w:pPr>
    </w:p>
    <w:p>
      <w:pPr>
        <w:ind w:firstLine="569"/>
        <w:spacing w:after="0" w:line="286" w:lineRule="auto"/>
        <w:rPr>
          <w:sz w:val="20"/>
          <w:szCs w:val="20"/>
          <w:color w:val="auto"/>
        </w:rPr>
      </w:pPr>
      <w:r>
        <w:rPr>
          <w:rFonts w:ascii="Arial" w:cs="Arial" w:eastAsia="Arial" w:hAnsi="Arial"/>
          <w:sz w:val="17"/>
          <w:szCs w:val="17"/>
          <w:color w:val="auto"/>
        </w:rPr>
        <w:t>As of June 30, 2023, the aggregate amount of the transaction price allocated to the remaining performance obligations related to customer service contracts that are unsatisfied or partially unsatisfied was $11.0 million, which is recorded as deferred revenue on the Company’s condensed balance sheets. Of that amount, $10.9 million will be recognized as revenue during the next 12 months and $0.1 million thereafter.</w:t>
      </w:r>
    </w:p>
    <w:p>
      <w:pPr>
        <w:spacing w:after="0" w:line="57" w:lineRule="exact"/>
        <w:rPr>
          <w:sz w:val="20"/>
          <w:szCs w:val="20"/>
          <w:color w:val="auto"/>
        </w:rPr>
      </w:pPr>
    </w:p>
    <w:p>
      <w:pPr>
        <w:ind w:right="60" w:firstLine="569"/>
        <w:spacing w:after="0" w:line="263"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Revenue under these agreements is recognized over the related service period. During the three and six months ended June 30, 2023, the Company recognized $2.4 million and $6.2 million of previously deferred revenue.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40" w:firstLine="569"/>
        <w:spacing w:after="0" w:line="27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Holding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Aggregate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Hierarchy</w:t>
            </w: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Level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(242 )</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government-sponsored enterprises</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debt securities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24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60" w:type="dxa"/>
            <w:vAlign w:val="bottom"/>
          </w:tcPr>
          <w:p>
            <w:pPr>
              <w:jc w:val="center"/>
              <w:ind w:right="1870"/>
              <w:spacing w:after="0"/>
              <w:rPr>
                <w:sz w:val="20"/>
                <w:szCs w:val="20"/>
                <w:color w:val="auto"/>
              </w:rPr>
            </w:pPr>
            <w:r>
              <w:rPr>
                <w:rFonts w:ascii="Arial" w:cs="Arial" w:eastAsia="Arial" w:hAnsi="Arial"/>
                <w:sz w:val="18"/>
                <w:szCs w:val="18"/>
                <w:color w:val="auto"/>
                <w:w w:val="88"/>
              </w:rPr>
              <w:t>Total cash equivalents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216,330</w:t>
            </w:r>
          </w:p>
        </w:tc>
        <w:tc>
          <w:tcPr>
            <w:tcW w:w="240" w:type="dxa"/>
            <w:vAlign w:val="bottom"/>
            <w:vMerge w:val="restart"/>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vMerge w:val="restart"/>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(404 )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215,937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jc w:val="center"/>
              <w:ind w:right="1870"/>
              <w:spacing w:after="0" w:line="203" w:lineRule="exact"/>
              <w:rPr>
                <w:sz w:val="20"/>
                <w:szCs w:val="20"/>
                <w:color w:val="auto"/>
              </w:rPr>
            </w:pPr>
            <w:r>
              <w:rPr>
                <w:rFonts w:ascii="Arial" w:cs="Arial" w:eastAsia="Arial" w:hAnsi="Arial"/>
                <w:sz w:val="18"/>
                <w:szCs w:val="18"/>
                <w:color w:val="auto"/>
                <w:w w:val="90"/>
              </w:rPr>
              <w:t>short-term investments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Holding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Aggregate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Hierarchy</w:t>
            </w: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Level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0"/>
              <w:spacing w:after="0"/>
              <w:rPr>
                <w:sz w:val="20"/>
                <w:szCs w:val="20"/>
                <w:color w:val="auto"/>
              </w:rPr>
            </w:pPr>
            <w:r>
              <w:rPr>
                <w:rFonts w:ascii="Arial" w:cs="Arial" w:eastAsia="Arial" w:hAnsi="Arial"/>
                <w:sz w:val="18"/>
                <w:szCs w:val="18"/>
                <w:color w:val="auto"/>
              </w:rPr>
              <w:t>U.S. government-sponsored enterprises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133,473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(447 )</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government-sponsored enterprises</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debt securities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29,831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(154 )</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24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6"/>
              </w:rPr>
              <w:t>Level 2</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25,136</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60" w:type="dxa"/>
            <w:vAlign w:val="bottom"/>
          </w:tcPr>
          <w:p>
            <w:pPr>
              <w:jc w:val="center"/>
              <w:ind w:right="1870"/>
              <w:spacing w:after="0"/>
              <w:rPr>
                <w:sz w:val="20"/>
                <w:szCs w:val="20"/>
                <w:color w:val="auto"/>
              </w:rPr>
            </w:pPr>
            <w:r>
              <w:rPr>
                <w:rFonts w:ascii="Arial" w:cs="Arial" w:eastAsia="Arial" w:hAnsi="Arial"/>
                <w:sz w:val="18"/>
                <w:szCs w:val="18"/>
                <w:color w:val="auto"/>
                <w:w w:val="88"/>
              </w:rPr>
              <w:t>Total cash equivalents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265,643</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(615 )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265,079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jc w:val="center"/>
              <w:ind w:right="1870"/>
              <w:spacing w:after="0" w:line="203" w:lineRule="exact"/>
              <w:rPr>
                <w:sz w:val="20"/>
                <w:szCs w:val="20"/>
                <w:color w:val="auto"/>
              </w:rPr>
            </w:pPr>
            <w:r>
              <w:rPr>
                <w:rFonts w:ascii="Arial" w:cs="Arial" w:eastAsia="Arial" w:hAnsi="Arial"/>
                <w:sz w:val="18"/>
                <w:szCs w:val="18"/>
                <w:color w:val="auto"/>
                <w:w w:val="90"/>
              </w:rPr>
              <w:t>short-term investments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-3154045</wp:posOffset>
            </wp:positionV>
            <wp:extent cx="85725"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-3154045</wp:posOffset>
            </wp:positionV>
            <wp:extent cx="85725"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-3154045</wp:posOffset>
            </wp:positionV>
            <wp:extent cx="85725"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-3154045</wp:posOffset>
            </wp:positionV>
            <wp:extent cx="85725"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-299720</wp:posOffset>
            </wp:positionV>
            <wp:extent cx="85725"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-299720</wp:posOffset>
            </wp:positionV>
            <wp:extent cx="85725"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-299720</wp:posOffset>
            </wp:positionV>
            <wp:extent cx="85725"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2023, the remaining contractual maturities for available-for-sale securities were one month to fourteen months.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tables present the breakdown of the available-for-sale debt securities with unrealized losses as of June 30, 2023,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3940" w:type="dxa"/>
            <w:vAlign w:val="bottom"/>
          </w:tcPr>
          <w:p>
            <w:pPr>
              <w:spacing w:after="0"/>
              <w:rPr>
                <w:sz w:val="18"/>
                <w:szCs w:val="18"/>
                <w:color w:val="auto"/>
              </w:rPr>
            </w:pPr>
          </w:p>
        </w:tc>
        <w:tc>
          <w:tcPr>
            <w:tcW w:w="23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Unrealized losses less than</w:t>
            </w: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Unrealized losses 12 months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12 months</w:t>
            </w:r>
          </w:p>
        </w:tc>
        <w:tc>
          <w:tcPr>
            <w:tcW w:w="340" w:type="dxa"/>
            <w:vAlign w:val="bottom"/>
          </w:tcPr>
          <w:p>
            <w:pPr>
              <w:spacing w:after="0"/>
              <w:rPr>
                <w:sz w:val="20"/>
                <w:szCs w:val="20"/>
                <w:color w:val="auto"/>
              </w:rPr>
            </w:pPr>
          </w:p>
        </w:tc>
        <w:tc>
          <w:tcPr>
            <w:tcW w:w="16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or greater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8"/>
                <w:szCs w:val="18"/>
                <w:color w:val="auto"/>
              </w:rPr>
            </w:pPr>
          </w:p>
        </w:tc>
      </w:tr>
      <w:tr>
        <w:trPr>
          <w:trHeight w:val="241"/>
        </w:trPr>
        <w:tc>
          <w:tcPr>
            <w:tcW w:w="39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86"/>
              </w:rPr>
              <w:t>Losses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0"/>
              </w:rPr>
              <w:t>Losses</w:t>
            </w:r>
          </w:p>
        </w:tc>
      </w:tr>
      <w:tr>
        <w:trPr>
          <w:trHeight w:val="243"/>
        </w:trPr>
        <w:tc>
          <w:tcPr>
            <w:tcW w:w="3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86,246</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86,246</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3940" w:type="dxa"/>
            <w:vAlign w:val="bottom"/>
          </w:tcPr>
          <w:p>
            <w:pPr>
              <w:ind w:left="120"/>
              <w:spacing w:after="0"/>
              <w:rPr>
                <w:sz w:val="20"/>
                <w:szCs w:val="20"/>
                <w:color w:val="auto"/>
              </w:rPr>
            </w:pPr>
            <w:r>
              <w:rPr>
                <w:rFonts w:ascii="Arial" w:cs="Arial" w:eastAsia="Arial" w:hAnsi="Arial"/>
                <w:sz w:val="18"/>
                <w:szCs w:val="18"/>
                <w:color w:val="auto"/>
              </w:rPr>
              <w:t>U.S. government-sponsored enterprises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(158 )</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48,126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(158 )</w:t>
            </w:r>
          </w:p>
        </w:tc>
      </w:tr>
      <w:tr>
        <w:trPr>
          <w:trHeight w:val="243"/>
        </w:trPr>
        <w:tc>
          <w:tcPr>
            <w:tcW w:w="3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(3 )</w:t>
            </w: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3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43"/>
        </w:trPr>
        <w:tc>
          <w:tcPr>
            <w:tcW w:w="3940" w:type="dxa"/>
            <w:vAlign w:val="bottom"/>
          </w:tcPr>
          <w:p>
            <w:pPr>
              <w:ind w:left="3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137,317</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(403 )</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1,499</w:t>
            </w:r>
          </w:p>
        </w:tc>
        <w:tc>
          <w:tcPr>
            <w:tcW w:w="10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138,816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(404 )</w:t>
            </w:r>
          </w:p>
        </w:tc>
      </w:tr>
      <w:tr>
        <w:trPr>
          <w:trHeight w:val="20"/>
        </w:trPr>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8"/>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3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-676275</wp:posOffset>
            </wp:positionV>
            <wp:extent cx="857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-676275</wp:posOffset>
            </wp:positionV>
            <wp:extent cx="7747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-676275</wp:posOffset>
            </wp:positionV>
            <wp:extent cx="857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-676275</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-676275</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w w:val="98"/>
              </w:rPr>
              <w:t>December 31, 2022</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3940" w:type="dxa"/>
            <w:vAlign w:val="bottom"/>
          </w:tcPr>
          <w:p>
            <w:pPr>
              <w:spacing w:after="0"/>
              <w:rPr>
                <w:sz w:val="18"/>
                <w:szCs w:val="18"/>
                <w:color w:val="auto"/>
              </w:rPr>
            </w:pPr>
          </w:p>
        </w:tc>
        <w:tc>
          <w:tcPr>
            <w:tcW w:w="23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Unrealized losses less than</w:t>
            </w: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Unrealized losses 12 months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12 months</w:t>
            </w:r>
          </w:p>
        </w:tc>
        <w:tc>
          <w:tcPr>
            <w:tcW w:w="300" w:type="dxa"/>
            <w:vAlign w:val="bottom"/>
          </w:tcPr>
          <w:p>
            <w:pPr>
              <w:spacing w:after="0"/>
              <w:rPr>
                <w:sz w:val="20"/>
                <w:szCs w:val="20"/>
                <w:color w:val="auto"/>
              </w:rPr>
            </w:pPr>
          </w:p>
        </w:tc>
        <w:tc>
          <w:tcPr>
            <w:tcW w:w="2200" w:type="dxa"/>
            <w:vAlign w:val="bottom"/>
            <w:gridSpan w:val="5"/>
          </w:tcPr>
          <w:p>
            <w:pPr>
              <w:jc w:val="right"/>
              <w:ind w:right="890"/>
              <w:spacing w:after="0"/>
              <w:rPr>
                <w:sz w:val="20"/>
                <w:szCs w:val="20"/>
                <w:color w:val="auto"/>
              </w:rPr>
            </w:pPr>
            <w:r>
              <w:rPr>
                <w:rFonts w:ascii="Arial" w:cs="Arial" w:eastAsia="Arial" w:hAnsi="Arial"/>
                <w:sz w:val="18"/>
                <w:szCs w:val="18"/>
                <w:b w:val="1"/>
                <w:bCs w:val="1"/>
                <w:color w:val="auto"/>
              </w:rPr>
              <w:t>or greater</w:t>
            </w:r>
          </w:p>
        </w:tc>
        <w:tc>
          <w:tcPr>
            <w:tcW w:w="260" w:type="dxa"/>
            <w:vAlign w:val="bottom"/>
          </w:tcPr>
          <w:p>
            <w:pPr>
              <w:spacing w:after="0"/>
              <w:rPr>
                <w:sz w:val="20"/>
                <w:szCs w:val="20"/>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8"/>
                <w:szCs w:val="18"/>
                <w:color w:val="auto"/>
              </w:rPr>
            </w:pPr>
          </w:p>
        </w:tc>
      </w:tr>
      <w:tr>
        <w:trPr>
          <w:trHeight w:val="241"/>
        </w:trPr>
        <w:tc>
          <w:tcPr>
            <w:tcW w:w="39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86"/>
              </w:rPr>
              <w:t>Losses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86"/>
              </w:rPr>
              <w:t>Losses</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0"/>
              </w:rPr>
              <w:t>Losses</w:t>
            </w:r>
          </w:p>
        </w:tc>
      </w:tr>
      <w:tr>
        <w:trPr>
          <w:trHeight w:val="243"/>
        </w:trPr>
        <w:tc>
          <w:tcPr>
            <w:tcW w:w="3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95,499</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12,895</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108,394</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3940" w:type="dxa"/>
            <w:vAlign w:val="bottom"/>
          </w:tcPr>
          <w:p>
            <w:pPr>
              <w:ind w:left="200"/>
              <w:spacing w:after="0"/>
              <w:rPr>
                <w:sz w:val="20"/>
                <w:szCs w:val="20"/>
                <w:color w:val="auto"/>
              </w:rPr>
            </w:pPr>
            <w:r>
              <w:rPr>
                <w:rFonts w:ascii="Arial" w:cs="Arial" w:eastAsia="Arial" w:hAnsi="Arial"/>
                <w:sz w:val="18"/>
                <w:szCs w:val="18"/>
                <w:color w:val="auto"/>
              </w:rPr>
              <w:t>U.S. government-sponsored enterprises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16,464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(14 )</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(142 )</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3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43"/>
        </w:trPr>
        <w:tc>
          <w:tcPr>
            <w:tcW w:w="3940" w:type="dxa"/>
            <w:vAlign w:val="bottom"/>
          </w:tcPr>
          <w:p>
            <w:pPr>
              <w:ind w:left="3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133,443</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(499 )</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(116 )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154,534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(615 )</w:t>
            </w:r>
          </w:p>
        </w:tc>
      </w:tr>
      <w:tr>
        <w:trPr>
          <w:trHeight w:val="20"/>
        </w:trPr>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-187960</wp:posOffset>
            </wp:positionV>
            <wp:extent cx="7747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-187960</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857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right="20" w:firstLine="569"/>
        <w:spacing w:after="0" w:line="254" w:lineRule="auto"/>
        <w:rPr>
          <w:sz w:val="20"/>
          <w:szCs w:val="20"/>
          <w:color w:val="auto"/>
        </w:rPr>
      </w:pPr>
      <w:r>
        <w:rPr>
          <w:rFonts w:ascii="Arial" w:cs="Arial" w:eastAsia="Arial" w:hAnsi="Arial"/>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June 30, 2023,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and six months ended June 30, 2023 and 2022, the Company did not recognize credit loss related to available-for-sales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220" w:firstLine="569"/>
        <w:spacing w:after="0" w:line="277" w:lineRule="auto"/>
        <w:rPr>
          <w:sz w:val="20"/>
          <w:szCs w:val="20"/>
          <w:color w:val="auto"/>
        </w:rPr>
      </w:pPr>
      <w:r>
        <w:rPr>
          <w:rFonts w:ascii="Arial" w:cs="Arial" w:eastAsia="Arial" w:hAnsi="Arial"/>
          <w:sz w:val="18"/>
          <w:szCs w:val="18"/>
          <w:color w:val="auto"/>
        </w:rPr>
        <w:t>As of June 30, 2023 and December 31, 2022, the restricted cash balance of $3.3 million, respectively, was related to collateral for the Company’s building leases in San Jose, CA and Tijuana, Mexico.</w:t>
      </w:r>
    </w:p>
    <w:p>
      <w:pPr>
        <w:spacing w:after="0" w:line="62" w:lineRule="exact"/>
        <w:rPr>
          <w:sz w:val="20"/>
          <w:szCs w:val="20"/>
          <w:color w:val="auto"/>
        </w:rPr>
      </w:pPr>
    </w:p>
    <w:p>
      <w:pPr>
        <w:ind w:right="640" w:firstLine="56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75,497</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4"/>
                <w:szCs w:val="24"/>
                <w:color w:val="auto"/>
              </w:rPr>
            </w:pPr>
          </w:p>
        </w:tc>
        <w:tc>
          <w:tcPr>
            <w:tcW w:w="6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39,717</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108,808</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ind w:left="580"/>
              <w:spacing w:after="0"/>
              <w:rPr>
                <w:sz w:val="20"/>
                <w:szCs w:val="20"/>
                <w:color w:val="auto"/>
              </w:rPr>
            </w:pPr>
            <w:r>
              <w:rPr>
                <w:rFonts w:ascii="Arial" w:cs="Arial" w:eastAsia="Arial" w:hAnsi="Arial"/>
                <w:sz w:val="18"/>
                <w:szCs w:val="18"/>
                <w:color w:val="auto"/>
              </w:rPr>
              <w:t>Inventories consist of the following (in thousands):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21,767</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inventories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44,495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51,476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ind w:left="580"/>
              <w:spacing w:after="0"/>
              <w:rPr>
                <w:sz w:val="20"/>
                <w:szCs w:val="20"/>
                <w:color w:val="auto"/>
              </w:rPr>
            </w:pPr>
            <w:r>
              <w:rPr>
                <w:rFonts w:ascii="Arial" w:cs="Arial" w:eastAsia="Arial" w:hAnsi="Arial"/>
                <w:sz w:val="18"/>
                <w:szCs w:val="18"/>
                <w:color w:val="auto"/>
                <w:w w:val="97"/>
              </w:rPr>
              <w:t>Accrued expenses and other current liabilities consist of the following (in thousands):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16,227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554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1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-3900170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-3882390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-3900170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-3882390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-2527935</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-2527935</wp:posOffset>
            </wp:positionV>
            <wp:extent cx="7747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-685165</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-685165</wp:posOffset>
            </wp:positionV>
            <wp:extent cx="7747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380" w:firstLine="569"/>
        <w:spacing w:after="0" w:line="279" w:lineRule="auto"/>
        <w:rPr>
          <w:sz w:val="20"/>
          <w:szCs w:val="20"/>
          <w:color w:val="auto"/>
        </w:rPr>
      </w:pPr>
      <w:r>
        <w:rPr>
          <w:rFonts w:ascii="Arial" w:cs="Arial" w:eastAsia="Arial" w:hAnsi="Arial"/>
          <w:sz w:val="17"/>
          <w:szCs w:val="17"/>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69"/>
        <w:spacing w:after="0" w:line="254"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180" w:type="dxa"/>
            <w:vAlign w:val="bottom"/>
            <w:gridSpan w:val="2"/>
          </w:tcPr>
          <w:p>
            <w:pPr>
              <w:ind w:left="580"/>
              <w:spacing w:after="0"/>
              <w:rPr>
                <w:sz w:val="20"/>
                <w:szCs w:val="20"/>
                <w:color w:val="auto"/>
              </w:rPr>
            </w:pPr>
            <w:r>
              <w:rPr>
                <w:rFonts w:ascii="Arial" w:cs="Arial" w:eastAsia="Arial" w:hAnsi="Arial"/>
                <w:sz w:val="18"/>
                <w:szCs w:val="18"/>
                <w:color w:val="auto"/>
              </w:rPr>
              <w:t>Term loan consists of the following (in thousands):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1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50"/>
        </w:trPr>
        <w:tc>
          <w:tcPr>
            <w:tcW w:w="11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of term loan</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(3,371 )</w:t>
            </w:r>
          </w:p>
        </w:tc>
        <w:tc>
          <w:tcPr>
            <w:tcW w:w="1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(3,664 )</w:t>
            </w:r>
          </w:p>
        </w:tc>
      </w:tr>
      <w:tr>
        <w:trPr>
          <w:trHeight w:val="276"/>
        </w:trPr>
        <w:tc>
          <w:tcPr>
            <w:tcW w:w="1120" w:type="dxa"/>
            <w:vAlign w:val="bottom"/>
          </w:tcPr>
          <w:p>
            <w:pPr>
              <w:spacing w:after="0"/>
              <w:rPr>
                <w:sz w:val="24"/>
                <w:szCs w:val="24"/>
                <w:color w:val="auto"/>
              </w:rPr>
            </w:pPr>
          </w:p>
        </w:tc>
        <w:tc>
          <w:tcPr>
            <w:tcW w:w="60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Term loan, noncurrent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96,629</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Credit Facilities</w:t>
      </w:r>
    </w:p>
    <w:p>
      <w:pPr>
        <w:spacing w:after="0" w:line="117" w:lineRule="exact"/>
        <w:rPr>
          <w:sz w:val="20"/>
          <w:szCs w:val="20"/>
          <w:color w:val="auto"/>
        </w:rPr>
      </w:pPr>
    </w:p>
    <w:p>
      <w:pPr>
        <w:ind w:firstLine="569"/>
        <w:spacing w:after="0" w:line="273" w:lineRule="auto"/>
        <w:rPr>
          <w:sz w:val="20"/>
          <w:szCs w:val="20"/>
          <w:color w:val="auto"/>
        </w:rPr>
      </w:pPr>
      <w:r>
        <w:rPr>
          <w:rFonts w:ascii="Arial" w:cs="Arial" w:eastAsia="Arial" w:hAnsi="Arial"/>
          <w:sz w:val="17"/>
          <w:szCs w:val="17"/>
          <w:color w:val="auto"/>
        </w:rPr>
        <w:t>On November 3, 2022 (the Closing Date), the Company entered into two senior secured credit facilities, which collectively provide for borrowings of up to $300.0 million: (i) a term loan facility pursuant to a loan and security agreement (the SLR Loan Agreement) among SLR Investment Corp., as collateral agent (Agent), the lenders from time to time party thereto (the Term Loan Lenders) and the Company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0" w:lineRule="exact"/>
        <w:rPr>
          <w:sz w:val="20"/>
          <w:szCs w:val="20"/>
          <w:color w:val="auto"/>
        </w:rPr>
      </w:pPr>
    </w:p>
    <w:p>
      <w:pPr>
        <w:ind w:right="120" w:firstLine="569"/>
        <w:spacing w:after="0" w:line="293" w:lineRule="auto"/>
        <w:rPr>
          <w:sz w:val="20"/>
          <w:szCs w:val="20"/>
          <w:color w:val="auto"/>
        </w:rPr>
      </w:pPr>
      <w:r>
        <w:rPr>
          <w:rFonts w:ascii="Arial" w:cs="Arial" w:eastAsia="Arial" w:hAnsi="Arial"/>
          <w:sz w:val="16"/>
          <w:szCs w:val="16"/>
          <w:color w:val="auto"/>
        </w:rPr>
        <w:t>The maximum amount the Company is permitted to borrow under the SLR Credit Facilities is subject to certain overall borrowing limitations. The Company is permitted to borrow up to $200.0 million under the SLR Credit Facilities on the Closing Date. If the Company achieves a certain net revenue milestone, calculated on a trailing six-month basis (First Revenue Milestone), on or before June 30, 2024 and the Additional Tranche (as defined below) under the SLR Revolver has been approved, the Company will be permitted to borrow up to $250.0 million under the SLR Credit Facilities. If the Company achieves a subsequent additional net revenue milestone, calculated on a trailing six-month basis (Second Revenue Milestone), on or before June 30, 2025 and obtains lenders’credit approval, the Company will be permitted to borrow up to $300.0 million under the SLR Credit Facilities.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SLR Term Loan Facility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Pursuant to the terms and conditions of the SLR Loan Agreement, the Term Loan Lenders agreed to extend term loans to the Company in 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up to $250.0 million, comprised of (i) a term loan of $100.0 million (the Term A Loan), (ii) one or more term loans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minimum increments of $20.0 million each) in the aggregate of up to $100.0 million (each, a Term B Loan) and (iii) one or more term loans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of up to $50.0 million (each, a Term C Loan). Each Term A Loan, Term B Loan and Term C Loan is referred to single as a Term Loan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collectively as the Term Loans. The Term A Loan was funded on the Closing Date. The Term B Loan(s) are available for funding until August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2024. The Term C Loan(s) are available subject to the lenders’ credit approval and the achievement of the Second Revenue Milestone on or before June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2025. The Term C Loan will remain available for funding until one business day prior to November 1, 2027.</w:t>
      </w:r>
    </w:p>
    <w:p>
      <w:pPr>
        <w:spacing w:after="0" w:line="103" w:lineRule="exact"/>
        <w:rPr>
          <w:sz w:val="20"/>
          <w:szCs w:val="20"/>
          <w:color w:val="auto"/>
        </w:rPr>
      </w:pPr>
    </w:p>
    <w:p>
      <w:pPr>
        <w:ind w:right="180" w:firstLine="569"/>
        <w:spacing w:after="0" w:line="259" w:lineRule="auto"/>
        <w:rPr>
          <w:sz w:val="20"/>
          <w:szCs w:val="20"/>
          <w:color w:val="auto"/>
        </w:rPr>
      </w:pPr>
      <w:r>
        <w:rPr>
          <w:rFonts w:ascii="Arial" w:cs="Arial" w:eastAsia="Arial" w:hAnsi="Arial"/>
          <w:sz w:val="18"/>
          <w:szCs w:val="18"/>
          <w:color w:val="auto"/>
        </w:rPr>
        <w:t>Any principal amount outstanding under the Term Loans will accrue interest at a rate per annum equal to one-month term Secured Overnight Financing Rate (term SOFR) (subject to a 2.75% floor), plus 5.15% (10.29% as of June 30, 2023), payable monthly in arrears. The Company is permitted to make interest-only payments on the Term Loans through November 30, 2026, which may be extended at the Company’s option to May 31, 2027; provided that the Company meets the First Revenue Milestone.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80"/>
        <w:spacing w:after="0" w:line="287" w:lineRule="auto"/>
        <w:rPr>
          <w:sz w:val="20"/>
          <w:szCs w:val="20"/>
          <w:color w:val="auto"/>
        </w:rPr>
      </w:pPr>
      <w:r>
        <w:rPr>
          <w:rFonts w:ascii="Arial" w:cs="Arial" w:eastAsia="Arial" w:hAnsi="Arial"/>
          <w:sz w:val="16"/>
          <w:szCs w:val="16"/>
          <w:color w:val="auto"/>
        </w:rPr>
        <w:t>principal amounts outstanding under the Term Loans, if not repaid sooner, are due and payable on November 1, 2027 (the Maturity Date). The Company is obligated to pay Agent (i) a non-refundable facility fee in the amount of $750,000 in respect of the Term A Loan, (ii) a non-refundable facility fee in the amount of $750,000 in respect of the Term B Loan(s), to be due and payable upon the earliest to occur of (a) the funding of the first Term B Loan, (b) December 20, 2023 and (c) the prepayment of the Term Loans and (iii) a non-refundable facility fee in the amount of $375,000 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SLR Revolver</w:t>
      </w:r>
    </w:p>
    <w:p>
      <w:pPr>
        <w:spacing w:after="0" w:line="117" w:lineRule="exact"/>
        <w:rPr>
          <w:sz w:val="20"/>
          <w:szCs w:val="20"/>
          <w:color w:val="auto"/>
        </w:rPr>
      </w:pPr>
    </w:p>
    <w:p>
      <w:pPr>
        <w:jc w:val="both"/>
        <w:ind w:right="40" w:firstLine="569"/>
        <w:spacing w:after="0" w:line="286" w:lineRule="auto"/>
        <w:rPr>
          <w:sz w:val="20"/>
          <w:szCs w:val="20"/>
          <w:color w:val="auto"/>
        </w:rPr>
      </w:pPr>
      <w:r>
        <w:rPr>
          <w:rFonts w:ascii="Arial" w:cs="Arial" w:eastAsia="Arial" w:hAnsi="Arial"/>
          <w:sz w:val="16"/>
          <w:szCs w:val="16"/>
          <w:color w:val="auto"/>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85% of eligible accounts receivable, plus (b) 25% of eligible inventory (not to exceed the lesser of 50% of the Borrowing Base and $5.0 million), minus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customary reserves, minus (d) unposted cash.</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principal amount outstanding under the SLR Revolver will accrue interest at a rate per annum equal to one-month term SOFR (subject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2.75% floor), plus 3.20%, payable monthly in arrears. Interest on any borrowing is payable monthly. The Company is obligated to pay Lender (i) a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refundable facility fee in the amount of $187,500 in respect of the Initial Revolver Commitment, (ii) a non-refundable facility fee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$187,500 in respect of the Additional Tranche, to be due and payable upon activation of the Additional Tranche, (iii) a commitment fee of 0.50% per annum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average daily unused portion of the then commitment amount, payable monthly and (iv) a collateral monitoring fee of 0.10% per month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average daily Borrowing Base during the prior month, payable monthly. The Company may terminate the SLR Revolver at any time, subject 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termination fee of (i) 2.0% of the aggregate revolving commitments then in effect, if terminated prior to or on the first anniversary of the Closing Date,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of the aggregate revolving commitments then in effect, if terminated after the first anniversary of the Closing Date through and including the second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the Closing Date, or (iii) 0.5% of the aggregate revolving commitments then in effect, if terminated after the second anniversary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Closing Date through and including the third anniversary of the Closing Date. Such termination fee is waived if the SLR Revolver is terminated after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third anniversary of the Closing Date and prior to the Maturity Date.</w:t>
      </w:r>
    </w:p>
    <w:p>
      <w:pPr>
        <w:spacing w:after="0" w:line="103" w:lineRule="exact"/>
        <w:rPr>
          <w:sz w:val="20"/>
          <w:szCs w:val="20"/>
          <w:color w:val="auto"/>
        </w:rPr>
      </w:pPr>
    </w:p>
    <w:p>
      <w:pPr>
        <w:jc w:val="both"/>
        <w:ind w:right="200" w:firstLine="569"/>
        <w:spacing w:after="0" w:line="286" w:lineRule="auto"/>
        <w:rPr>
          <w:sz w:val="20"/>
          <w:szCs w:val="20"/>
          <w:color w:val="auto"/>
        </w:rPr>
      </w:pPr>
      <w:r>
        <w:rPr>
          <w:rFonts w:ascii="Arial" w:cs="Arial" w:eastAsia="Arial" w:hAnsi="Arial"/>
          <w:sz w:val="17"/>
          <w:szCs w:val="17"/>
          <w:color w:val="auto"/>
        </w:rPr>
        <w:t>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SLR Revolver shall expire on November 1,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 of the SLR Credit Facilities</w:t>
      </w:r>
    </w:p>
    <w:p>
      <w:pPr>
        <w:spacing w:after="0" w:line="117" w:lineRule="exact"/>
        <w:rPr>
          <w:sz w:val="20"/>
          <w:szCs w:val="20"/>
          <w:color w:val="auto"/>
        </w:rPr>
      </w:pPr>
    </w:p>
    <w:p>
      <w:pPr>
        <w:jc w:val="both"/>
        <w:ind w:right="360" w:firstLine="569"/>
        <w:spacing w:after="0" w:line="263" w:lineRule="auto"/>
        <w:rPr>
          <w:sz w:val="20"/>
          <w:szCs w:val="20"/>
          <w:color w:val="auto"/>
        </w:rPr>
      </w:pPr>
      <w:r>
        <w:rPr>
          <w:rFonts w:ascii="Arial" w:cs="Arial" w:eastAsia="Arial" w:hAnsi="Arial"/>
          <w:sz w:val="18"/>
          <w:szCs w:val="18"/>
          <w:color w:val="auto"/>
        </w:rPr>
        <w:t>As security for its obligations under the SLR Credit Facilities, the Company granted Agent, for the benefit of the Term Loan Lenders, and ABL Lender a continuing security interest in substantially all of the assets of the Company, including the Company’s intellectual property, subject to certain exceptions.</w:t>
      </w:r>
    </w:p>
    <w:p>
      <w:pPr>
        <w:spacing w:after="0" w:line="76" w:lineRule="exact"/>
        <w:rPr>
          <w:sz w:val="20"/>
          <w:szCs w:val="20"/>
          <w:color w:val="auto"/>
        </w:rPr>
      </w:pPr>
    </w:p>
    <w:p>
      <w:pPr>
        <w:ind w:right="20" w:firstLine="569"/>
        <w:spacing w:after="0" w:line="253" w:lineRule="auto"/>
        <w:rPr>
          <w:sz w:val="20"/>
          <w:szCs w:val="20"/>
          <w:color w:val="auto"/>
        </w:rPr>
      </w:pPr>
      <w:r>
        <w:rPr>
          <w:rFonts w:ascii="Arial" w:cs="Arial" w:eastAsia="Arial" w:hAnsi="Arial"/>
          <w:sz w:val="18"/>
          <w:szCs w:val="18"/>
          <w:color w:val="auto"/>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a financial covenant whereby,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20" w:firstLine="569"/>
        <w:spacing w:after="0" w:line="289" w:lineRule="auto"/>
        <w:rPr>
          <w:sz w:val="20"/>
          <w:szCs w:val="20"/>
          <w:color w:val="auto"/>
        </w:rPr>
      </w:pPr>
      <w:r>
        <w:rPr>
          <w:rFonts w:ascii="Arial" w:cs="Arial" w:eastAsia="Arial" w:hAnsi="Arial"/>
          <w:sz w:val="16"/>
          <w:szCs w:val="16"/>
          <w:color w:val="auto"/>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certain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spacing w:after="0" w:line="58" w:lineRule="exact"/>
        <w:rPr>
          <w:sz w:val="20"/>
          <w:szCs w:val="20"/>
          <w:color w:val="auto"/>
        </w:rPr>
      </w:pPr>
    </w:p>
    <w:p>
      <w:pPr>
        <w:ind w:right="100" w:firstLine="569"/>
        <w:spacing w:after="0" w:line="257" w:lineRule="auto"/>
        <w:rPr>
          <w:sz w:val="20"/>
          <w:szCs w:val="20"/>
          <w:color w:val="auto"/>
        </w:rPr>
      </w:pPr>
      <w:r>
        <w:rPr>
          <w:rFonts w:ascii="Arial" w:cs="Arial" w:eastAsia="Arial" w:hAnsi="Arial"/>
          <w:sz w:val="18"/>
          <w:szCs w:val="18"/>
          <w:color w:val="auto"/>
        </w:rPr>
        <w:t>In November 2022, the Company borrowed $100.0 million under the Term A Loan on the Closing Date and incurred debt issuance costs of $3.8 million which were recorded as a direct deduction from the Term A Loan on the balance sheets and are being recognized as non-cash interest expense over the term of the loan using the effective interest method, along with the final payment fee. The facility fees of $0.9 million related to the Term B Loan and the Initial Revolver Commitment were recorded as deferred financing costs and are being recognized as non-cash interest expense over their respective commitment period using straight-line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2023, 4,808,000 shares were reserved for future issuance under the 2020 Equity Incentive Plan (2020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 Purchase Plan (ESPP)</w:t>
      </w:r>
    </w:p>
    <w:p>
      <w:pPr>
        <w:spacing w:after="0" w:line="117"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As of June 30, 2023, 1,456,000 shares of common stock were reserved for issuance in connection with the current and future offering periods under the ESPP.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40" w:firstLine="569"/>
        <w:spacing w:after="0" w:line="263" w:lineRule="auto"/>
        <w:rPr>
          <w:sz w:val="20"/>
          <w:szCs w:val="20"/>
          <w:color w:val="auto"/>
        </w:rPr>
      </w:pPr>
      <w:r>
        <w:rPr>
          <w:rFonts w:ascii="Arial" w:cs="Arial" w:eastAsia="Arial" w:hAnsi="Arial"/>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76" w:lineRule="exact"/>
        <w:rPr>
          <w:sz w:val="20"/>
          <w:szCs w:val="20"/>
          <w:color w:val="auto"/>
        </w:rPr>
      </w:pPr>
    </w:p>
    <w:p>
      <w:pPr>
        <w:ind w:right="120" w:firstLine="569"/>
        <w:spacing w:after="0" w:line="257" w:lineRule="auto"/>
        <w:rPr>
          <w:sz w:val="20"/>
          <w:szCs w:val="20"/>
          <w:color w:val="auto"/>
        </w:rPr>
      </w:pPr>
      <w:r>
        <w:rPr>
          <w:rFonts w:ascii="Arial" w:cs="Arial" w:eastAsia="Arial" w:hAnsi="Arial"/>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Prior to February 2022, RSUs with a service-based vesting condition granted to a grantee generally vest at a rate of 25% on the first anniversary of the original vesting date, with the balance vesting quarterly over the remaining three years.</w:t>
      </w:r>
    </w:p>
    <w:p>
      <w:pPr>
        <w:spacing w:after="0" w:line="80" w:lineRule="exact"/>
        <w:rPr>
          <w:sz w:val="20"/>
          <w:szCs w:val="20"/>
          <w:color w:val="auto"/>
        </w:rPr>
      </w:pPr>
    </w:p>
    <w:p>
      <w:pPr>
        <w:ind w:right="20" w:firstLine="569"/>
        <w:spacing w:after="0" w:line="270" w:lineRule="auto"/>
        <w:rPr>
          <w:sz w:val="20"/>
          <w:szCs w:val="20"/>
          <w:color w:val="auto"/>
        </w:rPr>
      </w:pPr>
      <w:r>
        <w:rPr>
          <w:rFonts w:ascii="Arial" w:cs="Arial" w:eastAsia="Arial" w:hAnsi="Arial"/>
          <w:sz w:val="17"/>
          <w:szCs w:val="17"/>
          <w:color w:val="auto"/>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2022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2022 Relative TSR PSUs). In 2023, the Company issued additional PSUs (2023 Home PSUs and 2023 Relative TSR PSUs) and RSUs to its CEO, other executive officers and certain other senior leaders under terms that are substantially the same except that the performance and vesting periods extend through 2025.</w:t>
      </w:r>
    </w:p>
    <w:p>
      <w:pPr>
        <w:spacing w:after="0" w:line="73" w:lineRule="exact"/>
        <w:rPr>
          <w:sz w:val="20"/>
          <w:szCs w:val="20"/>
          <w:color w:val="auto"/>
        </w:rPr>
      </w:pPr>
    </w:p>
    <w:p>
      <w:pPr>
        <w:ind w:right="40" w:firstLine="569"/>
        <w:spacing w:after="0" w:line="308" w:lineRule="auto"/>
        <w:rPr>
          <w:sz w:val="20"/>
          <w:szCs w:val="20"/>
          <w:color w:val="auto"/>
        </w:rPr>
      </w:pPr>
      <w:r>
        <w:rPr>
          <w:rFonts w:ascii="Arial" w:cs="Arial" w:eastAsia="Arial" w:hAnsi="Arial"/>
          <w:sz w:val="17"/>
          <w:szCs w:val="17"/>
          <w:color w:val="auto"/>
        </w:rPr>
        <w:t>The 2023 target for the 2022 Home PSUs was approved by the Compensation Committee in early 2023. Therefore, the grant date and the fair value for these 2022 Home PSUs were established and the associated expense is being recognized over the remaining service period.</w:t>
      </w:r>
    </w:p>
    <w:p>
      <w:pPr>
        <w:spacing w:after="0" w:line="38" w:lineRule="exact"/>
        <w:rPr>
          <w:sz w:val="20"/>
          <w:szCs w:val="20"/>
          <w:color w:val="auto"/>
        </w:rPr>
      </w:pPr>
    </w:p>
    <w:p>
      <w:pPr>
        <w:ind w:right="60" w:firstLine="569"/>
        <w:spacing w:after="0" w:line="257" w:lineRule="auto"/>
        <w:rPr>
          <w:sz w:val="20"/>
          <w:szCs w:val="20"/>
          <w:color w:val="auto"/>
        </w:rPr>
      </w:pPr>
      <w:r>
        <w:rPr>
          <w:rFonts w:ascii="Arial" w:cs="Arial" w:eastAsia="Arial" w:hAnsi="Arial"/>
          <w:sz w:val="18"/>
          <w:szCs w:val="18"/>
          <w:color w:val="auto"/>
        </w:rPr>
        <w:t>The 2024 target for the 2023 Home PSUs is expected to be determined and approved by the Compensation Committee in late 2023 or early 2024. Given such target has not yet been established, the grant date for these 2023 Home PSUs will only be established when the Compensation Committee approves and the Company communicates the target to the award recipients, which will then trigger the service inception date, the fair value of the awards, and the associated expense recognition period. Therefore, no expense is expected to be recognized for these 2023 Home PSUs until the grant date is established.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r>
      <w:tr>
        <w:trPr>
          <w:trHeight w:val="250"/>
        </w:trPr>
        <w:tc>
          <w:tcPr>
            <w:tcW w:w="5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9"/>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r>
      <w:tr>
        <w:trPr>
          <w:trHeight w:val="241"/>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20"/>
                <w:szCs w:val="20"/>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20"/>
                <w:szCs w:val="20"/>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20" w:type="dxa"/>
            <w:vAlign w:val="bottom"/>
            <w:shd w:val="clear" w:color="auto" w:fill="CFF0FC"/>
          </w:tcPr>
          <w:p>
            <w:pPr>
              <w:spacing w:after="0"/>
              <w:rPr>
                <w:sz w:val="21"/>
                <w:szCs w:val="2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0"/>
                <w:szCs w:val="20"/>
                <w:color w:val="auto"/>
              </w:rPr>
            </w:pPr>
          </w:p>
        </w:tc>
      </w:tr>
      <w:tr>
        <w:trPr>
          <w:trHeight w:val="276"/>
        </w:trPr>
        <w:tc>
          <w:tcPr>
            <w:tcW w:w="5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-25400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200" w:firstLine="569"/>
        <w:spacing w:after="0" w:line="311" w:lineRule="auto"/>
        <w:rPr>
          <w:sz w:val="20"/>
          <w:szCs w:val="20"/>
          <w:color w:val="auto"/>
        </w:rPr>
      </w:pPr>
      <w:r>
        <w:rPr>
          <w:rFonts w:ascii="Arial" w:cs="Arial" w:eastAsia="Arial" w:hAnsi="Arial"/>
          <w:sz w:val="16"/>
          <w:szCs w:val="16"/>
          <w:color w:val="auto"/>
        </w:rPr>
        <w:t>For each of the three and six months ended June 30, 2023 and 2022,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right="440" w:firstLine="569"/>
        <w:spacing w:after="0" w:line="277"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loss per share due to their anti-dilutive effect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20"/>
                <w:szCs w:val="20"/>
                <w:color w:val="auto"/>
              </w:rPr>
            </w:pPr>
          </w:p>
        </w:tc>
      </w:tr>
      <w:tr>
        <w:trPr>
          <w:trHeight w:val="250"/>
        </w:trPr>
        <w:tc>
          <w:tcPr>
            <w:tcW w:w="4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9"/>
        </w:trPr>
        <w:tc>
          <w:tcPr>
            <w:tcW w:w="4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4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4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40" w:type="dxa"/>
            <w:vAlign w:val="bottom"/>
            <w:shd w:val="clear" w:color="auto" w:fill="CFF0FC"/>
          </w:tcPr>
          <w:p>
            <w:pPr>
              <w:spacing w:after="0"/>
              <w:rPr>
                <w:sz w:val="20"/>
                <w:szCs w:val="20"/>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2,707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20"/>
                <w:szCs w:val="20"/>
                <w:color w:val="auto"/>
              </w:rPr>
            </w:pPr>
          </w:p>
        </w:tc>
      </w:tr>
      <w:tr>
        <w:trPr>
          <w:trHeight w:val="25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stock units</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2"/>
                <w:szCs w:val="22"/>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Shares committed under ESPP</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r>
      <w:tr>
        <w:trPr>
          <w:trHeight w:val="256"/>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 to purchase common stock</w:t>
            </w:r>
          </w:p>
        </w:tc>
        <w:tc>
          <w:tcPr>
            <w:tcW w:w="14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4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2500" w:type="dxa"/>
            <w:vAlign w:val="bottom"/>
            <w:gridSpan w:val="2"/>
          </w:tcPr>
          <w:p>
            <w:pPr>
              <w:jc w:val="right"/>
              <w:ind w:right="95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-685165</wp:posOffset>
            </wp:positionV>
            <wp:extent cx="8572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-685165</wp:posOffset>
            </wp:positionV>
            <wp:extent cx="8572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-685165</wp:posOffset>
            </wp:positionV>
            <wp:extent cx="8572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569"/>
        <w:spacing w:after="0" w:line="30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2022 Annual Report. As used in this Quarterly Report, references to the “Company,” “we,” “us,” “our,” or similar terms refer to Outset Medical, Inc.</w:t>
      </w:r>
    </w:p>
    <w:p>
      <w:pPr>
        <w:spacing w:after="0" w:line="49" w:lineRule="exact"/>
        <w:rPr>
          <w:sz w:val="20"/>
          <w:szCs w:val="20"/>
          <w:color w:val="auto"/>
        </w:rPr>
      </w:pPr>
    </w:p>
    <w:p>
      <w:pPr>
        <w:ind w:right="20" w:firstLine="569"/>
        <w:spacing w:after="0" w:line="268"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69"/>
        <w:spacing w:after="0" w:line="272" w:lineRule="auto"/>
        <w:rPr>
          <w:sz w:val="20"/>
          <w:szCs w:val="20"/>
          <w:color w:val="auto"/>
        </w:rPr>
      </w:pPr>
      <w:r>
        <w:rPr>
          <w:rFonts w:ascii="Arial" w:cs="Arial" w:eastAsia="Arial" w:hAnsi="Arial"/>
          <w:sz w:val="17"/>
          <w:szCs w:val="17"/>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69" w:lineRule="exact"/>
        <w:rPr>
          <w:sz w:val="20"/>
          <w:szCs w:val="20"/>
          <w:color w:val="auto"/>
        </w:rPr>
      </w:pPr>
    </w:p>
    <w:p>
      <w:pPr>
        <w:ind w:firstLine="569"/>
        <w:spacing w:after="0" w:line="257"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over-the-air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80" w:lineRule="exact"/>
        <w:rPr>
          <w:sz w:val="20"/>
          <w:szCs w:val="20"/>
          <w:color w:val="auto"/>
        </w:rPr>
      </w:pPr>
    </w:p>
    <w:p>
      <w:pPr>
        <w:ind w:right="20" w:firstLine="569"/>
        <w:spacing w:after="0" w:line="279" w:lineRule="auto"/>
        <w:rPr>
          <w:sz w:val="20"/>
          <w:szCs w:val="20"/>
          <w:color w:val="auto"/>
        </w:rPr>
      </w:pPr>
      <w:r>
        <w:rPr>
          <w:rFonts w:ascii="Arial" w:cs="Arial" w:eastAsia="Arial" w:hAnsi="Arial"/>
          <w:sz w:val="17"/>
          <w:szCs w:val="17"/>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63" w:lineRule="exact"/>
        <w:rPr>
          <w:sz w:val="20"/>
          <w:szCs w:val="20"/>
          <w:color w:val="auto"/>
        </w:rPr>
      </w:pPr>
    </w:p>
    <w:p>
      <w:pPr>
        <w:ind w:right="100" w:firstLine="569"/>
        <w:spacing w:after="0" w:line="257"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80" w:lineRule="exact"/>
        <w:rPr>
          <w:sz w:val="20"/>
          <w:szCs w:val="20"/>
          <w:color w:val="auto"/>
        </w:rPr>
      </w:pPr>
    </w:p>
    <w:p>
      <w:pPr>
        <w:ind w:right="220" w:firstLine="569"/>
        <w:spacing w:after="0" w:line="254" w:lineRule="auto"/>
        <w:rPr>
          <w:sz w:val="20"/>
          <w:szCs w:val="20"/>
          <w:color w:val="auto"/>
        </w:rPr>
      </w:pPr>
      <w:r>
        <w:rPr>
          <w:rFonts w:ascii="Arial" w:cs="Arial" w:eastAsia="Arial" w:hAnsi="Arial"/>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transitional care units (TCUs) as a bridge to home-based therapy. To demonstrate the cost advantages of Tablo in the home setting, we are continuing to collect additional patient clinical experience and outcomes data.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80" w:firstLine="569"/>
        <w:spacing w:after="0" w:line="286" w:lineRule="auto"/>
        <w:rPr>
          <w:sz w:val="20"/>
          <w:szCs w:val="20"/>
          <w:color w:val="auto"/>
        </w:rPr>
      </w:pPr>
      <w:r>
        <w:rPr>
          <w:rFonts w:ascii="Arial" w:cs="Arial" w:eastAsia="Arial" w:hAnsi="Arial"/>
          <w:sz w:val="17"/>
          <w:szCs w:val="17"/>
          <w:color w:val="auto"/>
        </w:rPr>
        <w:t>In May 2022, we implemented a shipment hold on the distribution and marketing of Tablo for use in the home environment pending the FDA’s review and clearance of a 510(k) application we submitted for changes made since the device’s original March 2020 clearance. In late July 2022, the FDA cleared our 510(k) application of Tablo for patient use in the home and we resumed marketing and shipping Tablo for home use.</w:t>
      </w:r>
    </w:p>
    <w:p>
      <w:pPr>
        <w:spacing w:after="0" w:line="57" w:lineRule="exact"/>
        <w:rPr>
          <w:sz w:val="20"/>
          <w:szCs w:val="20"/>
          <w:color w:val="auto"/>
        </w:rPr>
      </w:pPr>
    </w:p>
    <w:p>
      <w:pPr>
        <w:ind w:right="40" w:firstLine="569"/>
        <w:spacing w:after="0" w:line="286" w:lineRule="auto"/>
        <w:rPr>
          <w:sz w:val="20"/>
          <w:szCs w:val="20"/>
          <w:color w:val="auto"/>
        </w:rPr>
      </w:pPr>
      <w:r>
        <w:rPr>
          <w:rFonts w:ascii="Arial" w:cs="Arial" w:eastAsia="Arial" w:hAnsi="Arial"/>
          <w:sz w:val="16"/>
          <w:szCs w:val="16"/>
          <w:color w:val="auto"/>
        </w:rPr>
        <w:t>On July 6, 2023, we received a warning letter (the “Warning Letter”) from the FDA that raised two observations. The first observation asserts that certain content reviewed by the FDA and found on our website promotes continuous renal replacement therapy (CRRT), a modality outside of the current indications for the Tablo Hemodialysis System. The second observation asserts that TabloCart with Prefiltration requires prior 510(k) clearance for marketing authorization. TabloCart with Prefiltration is an accessory to the Tablo System launched in the third quarter of 2022. We timely submitted a response to the FDA in late July 2023. As communicated in our response, we believe we have taken or committed to take appropriate measures to resolve the matters raised in the Warning Letter. We believe the concern raised by the first observation regarding CRRT promotion has been effectively addressed through labeling and promotional changes that have already been completed. With regard to the second observation, we have agreed to submit a 510(k) application for TabloCart with Prefiltration. Although we evaluated TabloCart with Prefiltration prior to marketing and distributing the product and concluded that no marketing authorization was necessary, we have paused distribution of TabloCart with Prefiltration pending the FDA’s review and clearance of the 510(k) application we plan to submit. We have not identified any safety issues with TabloCart with Prefiltration. While we remain committed to fully cooperating with the FDA to expeditiously and completely resolve the Warning Letter, we cannot guarantee that the FDA will be satisfied with our response or the remedial measures we have taken or committed to take, nor can we give any assurances as to the timing of the resolution of such matters, including the clearance of the 510(k) application and our resumption of distribution of TabloCart with Prefiltration.</w:t>
      </w:r>
    </w:p>
    <w:p>
      <w:pPr>
        <w:spacing w:after="0" w:line="66" w:lineRule="exact"/>
        <w:rPr>
          <w:sz w:val="20"/>
          <w:szCs w:val="20"/>
          <w:color w:val="auto"/>
        </w:rPr>
      </w:pPr>
    </w:p>
    <w:p>
      <w:pPr>
        <w:ind w:firstLine="569"/>
        <w:spacing w:after="0" w:line="273" w:lineRule="auto"/>
        <w:rPr>
          <w:sz w:val="20"/>
          <w:szCs w:val="20"/>
          <w:color w:val="auto"/>
        </w:rPr>
      </w:pPr>
      <w:r>
        <w:rPr>
          <w:rFonts w:ascii="Arial" w:cs="Arial" w:eastAsia="Arial" w:hAnsi="Arial"/>
          <w:sz w:val="17"/>
          <w:szCs w:val="17"/>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consoles at existing customer sites. In addition, our field service team provides maintenance services and product support to Tablo customers. Our field sales and service teams represent 46% of our total full-time employees as of June 30, 2023.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70" w:lineRule="exact"/>
        <w:rPr>
          <w:sz w:val="20"/>
          <w:szCs w:val="20"/>
          <w:color w:val="auto"/>
        </w:rPr>
      </w:pPr>
    </w:p>
    <w:p>
      <w:pPr>
        <w:ind w:right="240" w:firstLine="569"/>
        <w:spacing w:after="0" w:line="279" w:lineRule="auto"/>
        <w:rPr>
          <w:sz w:val="20"/>
          <w:szCs w:val="20"/>
          <w:color w:val="auto"/>
        </w:rPr>
      </w:pPr>
      <w:r>
        <w:rPr>
          <w:rFonts w:ascii="Arial" w:cs="Arial" w:eastAsia="Arial" w:hAnsi="Arial"/>
          <w:sz w:val="17"/>
          <w:szCs w:val="17"/>
          <w:color w:val="auto"/>
        </w:rPr>
        <w:t>We generate revenue primarily from the initial sale of Tablo consoles and recurring sales of consumables, including the Tablo cartridges, which generates significant total revenue over the life of the console. We generate additional recurring revenue via annual service contracts and shipping and handling charged to customers. Our total revenue was $36.0 million and $25.1 million for the three months ended June 30, 2023 and 2022, respectively, and $69.5 million and $55.6 million for the six months ended June 30, 2023 and 2022, respectively.</w:t>
      </w:r>
    </w:p>
    <w:p>
      <w:pPr>
        <w:spacing w:after="0" w:line="63" w:lineRule="exact"/>
        <w:rPr>
          <w:sz w:val="20"/>
          <w:szCs w:val="20"/>
          <w:color w:val="auto"/>
        </w:rPr>
      </w:pPr>
    </w:p>
    <w:p>
      <w:pPr>
        <w:ind w:right="20" w:firstLine="569"/>
        <w:spacing w:after="0" w:line="275" w:lineRule="auto"/>
        <w:rPr>
          <w:sz w:val="20"/>
          <w:szCs w:val="20"/>
          <w:color w:val="auto"/>
        </w:rPr>
      </w:pPr>
      <w:r>
        <w:rPr>
          <w:rFonts w:ascii="Arial" w:cs="Arial" w:eastAsia="Arial" w:hAnsi="Arial"/>
          <w:sz w:val="17"/>
          <w:szCs w:val="17"/>
          <w:color w:val="auto"/>
        </w:rPr>
        <w:t>Historically, we have financed our operations and capital expenditures primarily through sales of redeemable convertible preferred stock and common stock, revenue from sales, and debt financing. Since our inception, we have incurred net losses in each year. For the three months ended June 30, 2023 and 2022, we incurred net losses of $44.0 million and $43.8 million, respectively, and for the six months ended June 30, 2023 and 2022, we incurred net losses of $88.0 million and $80.7 million, respectively. As of June 30, 2023, we had an accumulated deficit of $877.0 million. We expect to continue to incur significant expenses for the foreseeable future and to incur operating losses in the near term.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firstLine="569"/>
        <w:spacing w:after="0" w:line="259"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Acceptance of Tablo in Acute Setting</w:t>
      </w:r>
    </w:p>
    <w:p>
      <w:pPr>
        <w:spacing w:after="0" w:line="117" w:lineRule="exact"/>
        <w:rPr>
          <w:sz w:val="20"/>
          <w:szCs w:val="20"/>
          <w:color w:val="auto"/>
        </w:rPr>
      </w:pPr>
    </w:p>
    <w:p>
      <w:pPr>
        <w:ind w:right="160" w:firstLine="569"/>
        <w:spacing w:after="0" w:line="255" w:lineRule="auto"/>
        <w:rPr>
          <w:sz w:val="20"/>
          <w:szCs w:val="20"/>
          <w:color w:val="auto"/>
        </w:rPr>
      </w:pPr>
      <w:r>
        <w:rPr>
          <w:rFonts w:ascii="Arial" w:cs="Arial" w:eastAsia="Arial" w:hAnsi="Arial"/>
          <w:sz w:val="18"/>
          <w:szCs w:val="18"/>
          <w:color w:val="auto"/>
        </w:rPr>
        <w:t>We plan to further broaden our installed base by continuing to target national and regional Integrated Delivery Networks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in part on the success of our efforts to further evolve our commercial infrastructure and sales processes to support the growth of our business in the acute care market.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Tablo within the Home Setting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8" w:name="page19"/>
    <w:bookmarkEnd w:id="18"/>
    <w:p>
      <w:pPr>
        <w:ind w:right="40" w:firstLine="569"/>
        <w:spacing w:after="0" w:line="272" w:lineRule="auto"/>
        <w:rPr>
          <w:sz w:val="20"/>
          <w:szCs w:val="20"/>
          <w:color w:val="auto"/>
        </w:rPr>
      </w:pPr>
      <w:r>
        <w:rPr>
          <w:rFonts w:ascii="Arial" w:cs="Arial" w:eastAsia="Arial" w:hAnsi="Arial"/>
          <w:sz w:val="17"/>
          <w:szCs w:val="17"/>
          <w:color w:val="auto"/>
        </w:rPr>
        <w:t>We believe that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our ability to further evolve our commercial infrastructure and sales processes as we scale our business in the home market.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40" w:firstLine="569"/>
        <w:spacing w:after="0" w:line="269" w:lineRule="auto"/>
        <w:rPr>
          <w:sz w:val="20"/>
          <w:szCs w:val="20"/>
          <w:color w:val="auto"/>
        </w:rPr>
      </w:pPr>
      <w:r>
        <w:rPr>
          <w:rFonts w:ascii="Arial" w:cs="Arial" w:eastAsia="Arial" w:hAnsi="Arial"/>
          <w:sz w:val="17"/>
          <w:szCs w:val="17"/>
          <w:color w:val="auto"/>
        </w:rPr>
        <w:t>We are continuing to execute a well-defined strategy designed to expand gross margins. First, during 2021, we fully insourced console manufacturing at our own manufacturing facility in Tijuana, Mexico which we operate in collaboration with our outsourced business administration service provider, TACNA Services (TACNA). Second, during 2022, we moved production of a majority of Tablo cartridges from our contract manufacturer in Southeast Asia to a contract manufacturer in Mexico, which helped us achieve cost reductions through lower freight costs and mitigate against global supply chain challenges. At the end of 2022, we initiated production of Tablo cartridges in-house at our manufacturing facility in Mexico which we operate in collaboration with TACNA in an effort to help further our long-term gross margin expansion and supply continuity strategies and improve the flexibility of our operations. Third, we will continue to use our design, engineering and manufacturing capabilities to help further advance and improve the efficiency of our manufacturing processes and lower our costs of production. Fourth, we will continue to utilize our cloud-based data system, as well as enhanced product performance, to help drive down the cost of service. Our ability to grow our business will depend in part on our ability to control the average selling prices of our products and services, including by selling higher-margin hardware and software accessories and consumables. In addition, our gross margin will further depend on the aforementioned and other measures to control the costs of our products. Likewise, it will be important that we effectively manage the costs of generating our service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Macroeconomic Factors</w:t>
      </w:r>
    </w:p>
    <w:p>
      <w:pPr>
        <w:spacing w:after="0" w:line="121" w:lineRule="exact"/>
        <w:rPr>
          <w:sz w:val="20"/>
          <w:szCs w:val="20"/>
          <w:color w:val="auto"/>
        </w:rPr>
      </w:pPr>
    </w:p>
    <w:p>
      <w:pPr>
        <w:ind w:right="120" w:firstLine="569"/>
        <w:spacing w:after="0" w:line="279" w:lineRule="auto"/>
        <w:rPr>
          <w:sz w:val="20"/>
          <w:szCs w:val="20"/>
          <w:color w:val="auto"/>
        </w:rPr>
      </w:pPr>
      <w:r>
        <w:rPr>
          <w:rFonts w:ascii="Arial" w:cs="Arial" w:eastAsia="Arial" w:hAnsi="Arial"/>
          <w:sz w:val="17"/>
          <w:szCs w:val="17"/>
          <w:color w:val="auto"/>
        </w:rPr>
        <w:t>Global macroeconomic conditions, including global supply chain disruptions, inflationary pressures, rising interest rates, increased labor costs and labor shortages,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on our customers, or on our suppliers.</w:t>
      </w:r>
    </w:p>
    <w:p>
      <w:pPr>
        <w:spacing w:after="0" w:line="63" w:lineRule="exact"/>
        <w:rPr>
          <w:sz w:val="20"/>
          <w:szCs w:val="20"/>
          <w:color w:val="auto"/>
        </w:rPr>
      </w:pPr>
    </w:p>
    <w:p>
      <w:pPr>
        <w:ind w:firstLine="569"/>
        <w:spacing w:after="0" w:line="287" w:lineRule="auto"/>
        <w:rPr>
          <w:sz w:val="20"/>
          <w:szCs w:val="20"/>
          <w:color w:val="auto"/>
        </w:rPr>
      </w:pPr>
      <w:r>
        <w:rPr>
          <w:rFonts w:ascii="Arial" w:cs="Arial" w:eastAsia="Arial" w:hAnsi="Arial"/>
          <w:sz w:val="16"/>
          <w:szCs w:val="16"/>
          <w:color w:val="auto"/>
        </w:rPr>
        <w:t>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continue to disrupt the operations of certain of our third-party suppliers, resulting, in some cases, in increased lead times and higher component costs. In addition, we faced increased supply chain constraints during late 2021, notably with the transportation of Tablo cartridges from our contract manufacturing partner in Southeast Asia. As a result, we faced increased transportation and related costs associated with delivering adequate supply of Tablo treatments to our customers. During the first half of 2023, we have seen moderation in these costs. Moreover, we believe that transitioning production of a majority of Tablo cartridges during 2022 to a Mexico-based manufacturer helped us achieve cost reductions through lower freight costs, and that our efforts to initiate production of cartridges in-house at our manufacturing facility in Mexico at the end of 2022 will help further our long-term gross margin expansion and supply continuity strategies and improve the flexibility of our operations. However, there is no assurance that we will not continue to face supply chain constraints. Continued escalation of supply chain disruptions could negatively impact our ability to meet customer demand on a timely basis, result in customer dissatisfaction and adversely impact our operating margins and results of operations. Further, a sustained rise in material and freight costs could also unfavorably impact our operating margins and results of operations.</w:t>
      </w:r>
    </w:p>
    <w:p>
      <w:pPr>
        <w:spacing w:after="0" w:line="60" w:lineRule="exact"/>
        <w:rPr>
          <w:sz w:val="20"/>
          <w:szCs w:val="20"/>
          <w:color w:val="auto"/>
        </w:rPr>
      </w:pPr>
    </w:p>
    <w:p>
      <w:pPr>
        <w:ind w:right="80" w:firstLine="569"/>
        <w:spacing w:after="0" w:line="269" w:lineRule="auto"/>
        <w:rPr>
          <w:sz w:val="20"/>
          <w:szCs w:val="20"/>
          <w:color w:val="auto"/>
        </w:rPr>
      </w:pPr>
      <w:r>
        <w:rPr>
          <w:rFonts w:ascii="Arial" w:cs="Arial" w:eastAsia="Arial" w:hAnsi="Arial"/>
          <w:sz w:val="17"/>
          <w:szCs w:val="17"/>
          <w:color w:val="auto"/>
        </w:rPr>
        <w:t>Moreover, healthcare providers (including our existing and prospective customers) are facing a nationwide shortage of qualified nurses and other clinical personnel due to long-term trends that were exacerbated by the recent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We believe Tablo offers automation and ease-of-use benefits over traditional machines that can enhance our existing and potential customers’ ability to support their patient populations despite staffing shortages. However, there is a risk that the increased costs and other disruptions caused by the shortage of dialysis nurses, technicians, other staff, and implementation resources could cause existing or prospective customers to delay continued investment in or adoption of new technologies and postpone purchasing decisions. For example, during 2022, our existing and potential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00"/>
        <w:spacing w:after="0" w:line="273" w:lineRule="auto"/>
        <w:rPr>
          <w:sz w:val="20"/>
          <w:szCs w:val="20"/>
          <w:color w:val="auto"/>
        </w:rPr>
      </w:pPr>
      <w:r>
        <w:rPr>
          <w:rFonts w:ascii="Arial" w:cs="Arial" w:eastAsia="Arial" w:hAnsi="Arial"/>
          <w:sz w:val="17"/>
          <w:szCs w:val="17"/>
          <w:color w:val="auto"/>
        </w:rPr>
        <w:t>cycle and elongating the timing of installations. These factors negatively impacted our customer base on pipeline development and installation schedules, which, in turn, negatively impacted our bookings, delayed our shipments and adversely impacted our revenues for 2022. While we have seen stabilization in these challenging hospital staffing dynamics in the first half of 2023 as compared to the prior year, if our customers continue to face prolonged staffing shortages, volatility, uncertainty, rising costs and financial pressures, whether due to general macroeconomic conditions or otherwise, it could ultimately adversely impact our ability to expand existing customer relationships or attract new customers of Tablo, and have a material adverse effect on our bookings, revenues, results of operations, and, ultimately, our future growth and profitability.</w:t>
      </w:r>
    </w:p>
    <w:p>
      <w:pPr>
        <w:spacing w:after="0" w:line="70" w:lineRule="exact"/>
        <w:rPr>
          <w:sz w:val="20"/>
          <w:szCs w:val="20"/>
          <w:color w:val="auto"/>
        </w:rPr>
      </w:pPr>
    </w:p>
    <w:p>
      <w:pPr>
        <w:ind w:firstLine="569"/>
        <w:spacing w:after="0" w:line="291" w:lineRule="auto"/>
        <w:rPr>
          <w:sz w:val="20"/>
          <w:szCs w:val="20"/>
          <w:color w:val="auto"/>
        </w:rPr>
      </w:pPr>
      <w:r>
        <w:rPr>
          <w:rFonts w:ascii="Arial" w:cs="Arial" w:eastAsia="Arial" w:hAnsi="Arial"/>
          <w:sz w:val="16"/>
          <w:szCs w:val="16"/>
          <w:color w:val="auto"/>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This pilot program is still in its relatively early stages and may not be successful in achieving the objectives we intend and anticipate and ultimately, it may fail to meet our customers’ expectations, any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200" w:type="dxa"/>
            <w:vAlign w:val="bottom"/>
            <w:gridSpan w:val="31"/>
          </w:tcPr>
          <w:p>
            <w:pPr>
              <w:ind w:left="560"/>
              <w:spacing w:after="0"/>
              <w:rPr>
                <w:sz w:val="20"/>
                <w:szCs w:val="20"/>
                <w:color w:val="auto"/>
              </w:rPr>
            </w:pPr>
            <w:r>
              <w:rPr>
                <w:rFonts w:ascii="Arial" w:cs="Arial" w:eastAsia="Arial" w:hAnsi="Arial"/>
                <w:sz w:val="18"/>
                <w:szCs w:val="18"/>
                <w:color w:val="auto"/>
                <w:w w:val="91"/>
              </w:rPr>
              <w:t>The following table summarizes our results of operations for the three and six months ended June 30, 2023 and 2022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11"/>
          </w:tcPr>
          <w:p>
            <w:pPr>
              <w:ind w:left="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1"/>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29,330</w:t>
            </w:r>
          </w:p>
        </w:tc>
        <w:tc>
          <w:tcPr>
            <w:tcW w:w="100" w:type="dxa"/>
            <w:vAlign w:val="bottom"/>
          </w:tcPr>
          <w:p>
            <w:pPr>
              <w:spacing w:after="0"/>
              <w:rPr>
                <w:sz w:val="20"/>
                <w:szCs w:val="20"/>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57,109</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45,285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3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Service and other revenue</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12,398</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10,322</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25,057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69,507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55,607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17,718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43,029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40,828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3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Cost of service and other revenue</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12,347</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21,275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55,376</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47,383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3,782</w:t>
            </w:r>
          </w:p>
        </w:tc>
        <w:tc>
          <w:tcPr>
            <w:tcW w:w="14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14,131</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8,224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13,521</w:t>
            </w:r>
          </w:p>
        </w:tc>
        <w:tc>
          <w:tcPr>
            <w:tcW w:w="14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28,699</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24,352</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23,198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49,318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43,575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3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10,784</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23,077</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20,493</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47,503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101,094</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88,420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(43,721</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(86,963</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(80,196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Interest income and other income, net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3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(3,103 )</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00" w:type="dxa"/>
            <w:vAlign w:val="bottom"/>
            <w:gridSpan w:val="4"/>
            <w:shd w:val="clear" w:color="auto" w:fill="CFF0FC"/>
          </w:tcPr>
          <w:p>
            <w:pPr>
              <w:jc w:val="right"/>
              <w:ind w:right="141"/>
              <w:spacing w:after="0"/>
              <w:rPr>
                <w:sz w:val="20"/>
                <w:szCs w:val="20"/>
                <w:color w:val="auto"/>
              </w:rPr>
            </w:pPr>
            <w:r>
              <w:rPr>
                <w:rFonts w:ascii="Arial" w:cs="Arial" w:eastAsia="Arial" w:hAnsi="Arial"/>
                <w:sz w:val="18"/>
                <w:szCs w:val="18"/>
                <w:color w:val="auto"/>
                <w:w w:val="90"/>
              </w:rPr>
              <w:t>(6,045 )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(903 )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(43,913</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(43,743</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(87,692</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(80,520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xml:space="preserve">(44,046 </w:t>
            </w:r>
            <w:r>
              <w:rPr>
                <w:rFonts w:ascii="Arial" w:cs="Arial" w:eastAsia="Arial" w:hAnsi="Arial"/>
                <w:sz w:val="18"/>
                <w:szCs w:val="18"/>
                <w:color w:val="auto"/>
                <w:highlight w:val="white"/>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4"/>
              </w:rPr>
              <w:t>(43,839 )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6"/>
          </w:tcPr>
          <w:p>
            <w:pPr>
              <w:jc w:val="right"/>
              <w:spacing w:after="0"/>
              <w:rPr>
                <w:sz w:val="20"/>
                <w:szCs w:val="20"/>
                <w:color w:val="auto"/>
              </w:rPr>
            </w:pPr>
            <w:r>
              <w:rPr>
                <w:rFonts w:ascii="Arial" w:cs="Arial" w:eastAsia="Arial" w:hAnsi="Arial"/>
                <w:sz w:val="18"/>
                <w:szCs w:val="18"/>
                <w:color w:val="auto"/>
              </w:rPr>
              <w:t xml:space="preserve">(88,017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(80,731 )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gridSpan w:val="10"/>
            <w:vMerge w:val="restart"/>
          </w:tcPr>
          <w:p>
            <w:pPr>
              <w:spacing w:after="0"/>
              <w:rPr>
                <w:sz w:val="20"/>
                <w:szCs w:val="20"/>
                <w:color w:val="auto"/>
              </w:rPr>
            </w:pPr>
            <w:r>
              <w:rPr>
                <w:rFonts w:ascii="Arial" w:cs="Arial" w:eastAsia="Arial" w:hAnsi="Arial"/>
                <w:sz w:val="18"/>
                <w:szCs w:val="18"/>
                <w:b w:val="1"/>
                <w:bCs w:val="1"/>
                <w:i w:val="1"/>
                <w:iCs w:val="1"/>
                <w:color w:val="auto"/>
                <w:w w:val="89"/>
              </w:rPr>
              <w:t>Comparison of the Three and Six Months Ended June 30, 2023 and 2022</w:t>
            </w: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40" w:type="dxa"/>
            <w:vAlign w:val="bottom"/>
            <w:gridSpan w:val="10"/>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8"/>
          </w:tcPr>
          <w:p>
            <w:pPr>
              <w:jc w:val="center"/>
              <w:spacing w:after="0"/>
              <w:rPr>
                <w:sz w:val="20"/>
                <w:szCs w:val="20"/>
                <w:color w:val="auto"/>
              </w:rPr>
            </w:pPr>
            <w:r>
              <w:rPr>
                <w:rFonts w:ascii="Arial" w:cs="Arial" w:eastAsia="Arial" w:hAnsi="Arial"/>
                <w:sz w:val="16"/>
                <w:szCs w:val="16"/>
                <w:b w:val="1"/>
                <w:bCs w:val="1"/>
                <w:color w:val="auto"/>
                <w:w w:val="91"/>
              </w:rPr>
              <w:t>Six Months Ended June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4"/>
          </w:tcPr>
          <w:p>
            <w:pPr>
              <w:jc w:val="center"/>
              <w:ind w:left="492"/>
              <w:spacing w:after="0"/>
              <w:rPr>
                <w:sz w:val="20"/>
                <w:szCs w:val="20"/>
                <w:color w:val="auto"/>
              </w:rPr>
            </w:pPr>
            <w:r>
              <w:rPr>
                <w:rFonts w:ascii="Arial" w:cs="Arial" w:eastAsia="Arial" w:hAnsi="Arial"/>
                <w:sz w:val="16"/>
                <w:szCs w:val="16"/>
                <w:b w:val="1"/>
                <w:bCs w:val="1"/>
                <w:color w:val="auto"/>
                <w:w w:val="89"/>
              </w:rPr>
              <w:t>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189"/>
        </w:trPr>
        <w:tc>
          <w:tcPr>
            <w:tcW w:w="336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2022</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89"/>
              </w:rPr>
              <w:t>2022</w:t>
            </w: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6"/>
                <w:szCs w:val="16"/>
                <w:color w:val="auto"/>
              </w:rPr>
              <w:t>Product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29,330</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19,621</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9,709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93"/>
              </w:rPr>
              <w:t>49 %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57,109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45,285</w:t>
            </w:r>
          </w:p>
        </w:tc>
        <w:tc>
          <w:tcPr>
            <w:tcW w:w="50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w w:val="85"/>
              </w:rPr>
              <w:t>11,824</w:t>
            </w:r>
          </w:p>
        </w:tc>
        <w:tc>
          <w:tcPr>
            <w:tcW w:w="12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33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6"/>
                <w:szCs w:val="16"/>
                <w:color w:val="auto"/>
              </w:rPr>
              <w:t>Service and other revenue</w:t>
            </w: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1,274</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w w:val="93"/>
              </w:rPr>
              <w:t>23 %</w:t>
            </w:r>
          </w:p>
        </w:tc>
        <w:tc>
          <w:tcPr>
            <w:tcW w:w="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12,398</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40" w:type="dxa"/>
            <w:vAlign w:val="bottom"/>
            <w:gridSpan w:val="2"/>
          </w:tcPr>
          <w:p>
            <w:pPr>
              <w:ind w:left="360"/>
              <w:spacing w:after="0"/>
              <w:rPr>
                <w:sz w:val="20"/>
                <w:szCs w:val="20"/>
                <w:color w:val="auto"/>
              </w:rPr>
            </w:pPr>
            <w:r>
              <w:rPr>
                <w:rFonts w:ascii="Arial" w:cs="Arial" w:eastAsia="Arial" w:hAnsi="Arial"/>
                <w:sz w:val="16"/>
                <w:szCs w:val="16"/>
                <w:color w:val="auto"/>
              </w:rPr>
              <w:t>Total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36,040</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25,057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10,983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w w:val="93"/>
              </w:rPr>
              <w:t>44 %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69,507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55,607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w w:val="85"/>
              </w:rPr>
              <w:t>13,900</w:t>
            </w:r>
          </w:p>
        </w:tc>
        <w:tc>
          <w:tcPr>
            <w:tcW w:w="12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-4260215</wp:posOffset>
            </wp:positionV>
            <wp:extent cx="7683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-4260215</wp:posOffset>
            </wp:positionV>
            <wp:extent cx="8572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-4260215</wp:posOffset>
            </wp:positionV>
            <wp:extent cx="7683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-4260215</wp:posOffset>
            </wp:positionV>
            <wp:extent cx="8572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-3634105</wp:posOffset>
            </wp:positionV>
            <wp:extent cx="768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-3634105</wp:posOffset>
            </wp:positionV>
            <wp:extent cx="8572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-3634105</wp:posOffset>
            </wp:positionV>
            <wp:extent cx="768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-3634105</wp:posOffset>
            </wp:positionV>
            <wp:extent cx="8572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-2691130</wp:posOffset>
            </wp:positionV>
            <wp:extent cx="768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-2691130</wp:posOffset>
            </wp:positionV>
            <wp:extent cx="8572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-2691130</wp:posOffset>
            </wp:positionV>
            <wp:extent cx="7683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-1739265</wp:posOffset>
            </wp:positionV>
            <wp:extent cx="8572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-1739265</wp:posOffset>
            </wp:positionV>
            <wp:extent cx="8572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-179070</wp:posOffset>
            </wp:positionV>
            <wp:extent cx="85725"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-179070</wp:posOffset>
            </wp:positionV>
            <wp:extent cx="85725"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-179070</wp:posOffset>
            </wp:positionV>
            <wp:extent cx="7747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-179070</wp:posOffset>
            </wp:positionV>
            <wp:extent cx="8572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74" w:lineRule="exact"/>
        <w:rPr>
          <w:sz w:val="20"/>
          <w:szCs w:val="20"/>
          <w:color w:val="auto"/>
        </w:rPr>
      </w:pPr>
    </w:p>
    <w:p>
      <w:pPr>
        <w:ind w:right="120" w:firstLine="569"/>
        <w:spacing w:after="0" w:line="263" w:lineRule="auto"/>
        <w:rPr>
          <w:sz w:val="20"/>
          <w:szCs w:val="20"/>
          <w:color w:val="auto"/>
        </w:rPr>
      </w:pPr>
      <w:r>
        <w:rPr>
          <w:rFonts w:ascii="Arial" w:cs="Arial" w:eastAsia="Arial" w:hAnsi="Arial"/>
          <w:sz w:val="18"/>
          <w:szCs w:val="18"/>
          <w:color w:val="auto"/>
        </w:rPr>
        <w:t>Product revenue increased by $9.7 million or 49% for the three months ended June 30, 2023 as compared to the same period in the prior year. This increase was driven by a $6.5 million increase in console revenue and a $3.2 million increase in consumables revenue due to growth in our console installed base.</w:t>
      </w:r>
    </w:p>
    <w:p>
      <w:pPr>
        <w:spacing w:after="0" w:line="76" w:lineRule="exact"/>
        <w:rPr>
          <w:sz w:val="20"/>
          <w:szCs w:val="20"/>
          <w:color w:val="auto"/>
        </w:rPr>
      </w:pPr>
    </w:p>
    <w:p>
      <w:pPr>
        <w:jc w:val="both"/>
        <w:ind w:right="100" w:firstLine="569"/>
        <w:spacing w:after="0" w:line="263" w:lineRule="auto"/>
        <w:rPr>
          <w:sz w:val="20"/>
          <w:szCs w:val="20"/>
          <w:color w:val="auto"/>
        </w:rPr>
      </w:pPr>
      <w:r>
        <w:rPr>
          <w:rFonts w:ascii="Arial" w:cs="Arial" w:eastAsia="Arial" w:hAnsi="Arial"/>
          <w:sz w:val="18"/>
          <w:szCs w:val="18"/>
          <w:color w:val="auto"/>
        </w:rPr>
        <w:t>Product revenue increased by $11.8 million, or 26% for the six months ended June 30, 2023 as compared to the same period in the prior year. This increase was driven by a $7.3 million increase in console revenue and a $4.5 million increase in consumables revenue attributable to growth in our console installed base.</w:t>
      </w:r>
    </w:p>
    <w:p>
      <w:pPr>
        <w:spacing w:after="0" w:line="76" w:lineRule="exact"/>
        <w:rPr>
          <w:sz w:val="20"/>
          <w:szCs w:val="20"/>
          <w:color w:val="auto"/>
        </w:rPr>
      </w:pPr>
    </w:p>
    <w:p>
      <w:pPr>
        <w:ind w:right="100" w:firstLine="569"/>
        <w:spacing w:after="0" w:line="263" w:lineRule="auto"/>
        <w:rPr>
          <w:sz w:val="20"/>
          <w:szCs w:val="20"/>
          <w:color w:val="auto"/>
        </w:rPr>
      </w:pPr>
      <w:r>
        <w:rPr>
          <w:rFonts w:ascii="Arial" w:cs="Arial" w:eastAsia="Arial" w:hAnsi="Arial"/>
          <w:sz w:val="18"/>
          <w:szCs w:val="18"/>
          <w:color w:val="auto"/>
        </w:rPr>
        <w:t>Service and other revenue increased for the three and six months ended June 30, 2023 as compared to the same period in the prior year. The increase was primarily due to services associated with the growth in our console installed base, which was partially offset by the expiration of certain lease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w w:val="87"/>
              </w:rPr>
              <w:t>June 30,</w:t>
            </w:r>
          </w:p>
        </w:tc>
        <w:tc>
          <w:tcPr>
            <w:tcW w:w="5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30,</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w w:val="95"/>
              </w:rPr>
              <w:t>Change</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332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2022</w:t>
            </w:r>
          </w:p>
        </w:tc>
        <w:tc>
          <w:tcPr>
            <w:tcW w:w="28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3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Gross profit and gross margin:</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300" w:type="dxa"/>
            <w:vAlign w:val="bottom"/>
            <w:gridSpan w:val="2"/>
          </w:tcPr>
          <w:p>
            <w:pPr>
              <w:ind w:left="180"/>
              <w:spacing w:after="0"/>
              <w:rPr>
                <w:sz w:val="20"/>
                <w:szCs w:val="20"/>
                <w:color w:val="auto"/>
              </w:rPr>
            </w:pPr>
            <w:r>
              <w:rPr>
                <w:rFonts w:ascii="Arial" w:cs="Arial" w:eastAsia="Arial" w:hAnsi="Arial"/>
                <w:sz w:val="16"/>
                <w:szCs w:val="16"/>
                <w:color w:val="auto"/>
              </w:rPr>
              <w:t>Gross profit</w:t>
            </w:r>
          </w:p>
        </w:tc>
        <w:tc>
          <w:tcPr>
            <w:tcW w:w="760" w:type="dxa"/>
            <w:vAlign w:val="bottom"/>
          </w:tcPr>
          <w:p>
            <w:pPr>
              <w:jc w:val="right"/>
              <w:spacing w:after="0"/>
              <w:rPr>
                <w:sz w:val="20"/>
                <w:szCs w:val="20"/>
                <w:color w:val="auto"/>
              </w:rPr>
            </w:pPr>
            <w:r>
              <w:rPr>
                <w:rFonts w:ascii="Arial" w:cs="Arial" w:eastAsia="Arial" w:hAnsi="Arial"/>
                <w:sz w:val="16"/>
                <w:szCs w:val="16"/>
                <w:color w:val="auto"/>
              </w:rPr>
              <w:t>7,703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3,782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104 %</w:t>
            </w:r>
          </w:p>
        </w:tc>
        <w:tc>
          <w:tcPr>
            <w:tcW w:w="760" w:type="dxa"/>
            <w:vAlign w:val="bottom"/>
          </w:tcPr>
          <w:p>
            <w:pPr>
              <w:jc w:val="right"/>
              <w:spacing w:after="0"/>
              <w:rPr>
                <w:sz w:val="20"/>
                <w:szCs w:val="20"/>
                <w:color w:val="auto"/>
              </w:rPr>
            </w:pPr>
            <w:r>
              <w:rPr>
                <w:rFonts w:ascii="Arial" w:cs="Arial" w:eastAsia="Arial" w:hAnsi="Arial"/>
                <w:sz w:val="16"/>
                <w:szCs w:val="16"/>
                <w:color w:val="auto"/>
              </w:rPr>
              <w:t>$   14,131</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8,224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5,907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72 %</w:t>
            </w:r>
          </w:p>
        </w:tc>
      </w:tr>
      <w:tr>
        <w:trPr>
          <w:trHeight w:val="239"/>
        </w:trPr>
        <w:tc>
          <w:tcPr>
            <w:tcW w:w="20" w:type="dxa"/>
            <w:vAlign w:val="bottom"/>
            <w:shd w:val="clear" w:color="auto" w:fill="CFF0FC"/>
          </w:tcPr>
          <w:p>
            <w:pPr>
              <w:spacing w:after="0"/>
              <w:rPr>
                <w:sz w:val="20"/>
                <w:szCs w:val="20"/>
                <w:color w:val="auto"/>
              </w:rPr>
            </w:pPr>
          </w:p>
        </w:tc>
        <w:tc>
          <w:tcPr>
            <w:tcW w:w="33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Gross margin</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21.4</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15.1</w:t>
            </w:r>
          </w:p>
        </w:tc>
        <w:tc>
          <w:tcPr>
            <w:tcW w:w="980" w:type="dxa"/>
            <w:vAlign w:val="bottom"/>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20.3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14.8</w:t>
            </w:r>
          </w:p>
        </w:tc>
        <w:tc>
          <w:tcPr>
            <w:tcW w:w="960" w:type="dxa"/>
            <w:vAlign w:val="bottom"/>
            <w:gridSpan w:val="2"/>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bl>
    <w:p>
      <w:pPr>
        <w:spacing w:after="0" w:line="94" w:lineRule="exact"/>
        <w:rPr>
          <w:sz w:val="20"/>
          <w:szCs w:val="20"/>
          <w:color w:val="auto"/>
        </w:rPr>
      </w:pPr>
    </w:p>
    <w:p>
      <w:pPr>
        <w:ind w:right="240" w:firstLine="569"/>
        <w:spacing w:after="0" w:line="277" w:lineRule="auto"/>
        <w:rPr>
          <w:sz w:val="20"/>
          <w:szCs w:val="20"/>
          <w:color w:val="auto"/>
        </w:rPr>
      </w:pPr>
      <w:r>
        <w:rPr>
          <w:rFonts w:ascii="Arial" w:cs="Arial" w:eastAsia="Arial" w:hAnsi="Arial"/>
          <w:sz w:val="18"/>
          <w:szCs w:val="18"/>
          <w:color w:val="auto"/>
        </w:rPr>
        <w:t>Gross profit increased by $3.9 million or 104% for the three months ended June 30, 2023 as compared to the same period in the prior year. Gross margin improved by 6.3 percentage points for the three months ended June 30, 2023 as compared to the same period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21" w:name="page22"/>
    <w:bookmarkEnd w:id="21"/>
    <w:p>
      <w:pPr>
        <w:ind w:right="380"/>
        <w:spacing w:after="0" w:line="277" w:lineRule="auto"/>
        <w:rPr>
          <w:sz w:val="20"/>
          <w:szCs w:val="20"/>
          <w:color w:val="auto"/>
        </w:rPr>
      </w:pPr>
      <w:r>
        <w:rPr>
          <w:rFonts w:ascii="Arial" w:cs="Arial" w:eastAsia="Arial" w:hAnsi="Arial"/>
          <w:sz w:val="18"/>
          <w:szCs w:val="18"/>
          <w:color w:val="auto"/>
        </w:rPr>
        <w:t>in the prior year. The improvements in gross profit and gross margin were primarily driven by the impact of cost reduction activities for consoles. Such improvement was partially offset by lower service gross margin mainly due to the expiration of certain lease agreements.</w:t>
      </w:r>
    </w:p>
    <w:p>
      <w:pPr>
        <w:spacing w:after="0" w:line="62" w:lineRule="exact"/>
        <w:rPr>
          <w:sz w:val="20"/>
          <w:szCs w:val="20"/>
          <w:color w:val="auto"/>
        </w:rPr>
      </w:pPr>
    </w:p>
    <w:p>
      <w:pPr>
        <w:ind w:right="200" w:firstLine="569"/>
        <w:spacing w:after="0" w:line="279" w:lineRule="auto"/>
        <w:rPr>
          <w:sz w:val="20"/>
          <w:szCs w:val="20"/>
          <w:color w:val="auto"/>
        </w:rPr>
      </w:pPr>
      <w:r>
        <w:rPr>
          <w:rFonts w:ascii="Arial" w:cs="Arial" w:eastAsia="Arial" w:hAnsi="Arial"/>
          <w:sz w:val="17"/>
          <w:szCs w:val="17"/>
          <w:color w:val="auto"/>
        </w:rPr>
        <w:t>Gross profit increased by $5.9 million or 72% for the six months ended June 30, 2023 as compared to the same period in the prior year. Gross margin improved by 5.5 percentage points for the six months ended June 30, 2023 as compared to the same period in the prior year. The improvements in gross profit and gross margin were primarily driven by the impact of cost reduction activities and a higher average selling price for consoles. Such improvement was partially offset by lower service gross margin mainly due to the expiration of certain lease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5"/>
          </w:tcPr>
          <w:p>
            <w:pPr>
              <w:ind w:left="20"/>
              <w:spacing w:after="0"/>
              <w:rPr>
                <w:sz w:val="20"/>
                <w:szCs w:val="20"/>
                <w:color w:val="auto"/>
              </w:rPr>
            </w:pPr>
            <w:r>
              <w:rPr>
                <w:rFonts w:ascii="Arial" w:cs="Arial" w:eastAsia="Arial" w:hAnsi="Arial"/>
                <w:sz w:val="16"/>
                <w:szCs w:val="16"/>
                <w:b w:val="1"/>
                <w:bCs w:val="1"/>
                <w:color w:val="auto"/>
                <w:w w:val="94"/>
              </w:rPr>
              <w:t>Six Months Ended June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5"/>
              </w:rPr>
              <w:t>Change</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30,</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w w:val="95"/>
              </w:rPr>
              <w:t>Change</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2"/>
              </w:rPr>
              <w:t>(dollars in thousands)</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2022</w:t>
            </w:r>
          </w:p>
        </w:tc>
        <w:tc>
          <w:tcPr>
            <w:tcW w:w="26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2022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14,906</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1,385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10 %</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28,699</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24,352</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w w:val="76"/>
              </w:rPr>
              <w:t>18 %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23,198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1,787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8 %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49,318</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43,575</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5,743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ind w:left="360"/>
              <w:spacing w:after="0"/>
              <w:rPr>
                <w:sz w:val="20"/>
                <w:szCs w:val="20"/>
                <w:color w:val="auto"/>
              </w:rPr>
            </w:pPr>
            <w:r>
              <w:rPr>
                <w:rFonts w:ascii="Arial" w:cs="Arial" w:eastAsia="Arial" w:hAnsi="Arial"/>
                <w:sz w:val="16"/>
                <w:szCs w:val="16"/>
                <w:color w:val="auto"/>
                <w:w w:val="82"/>
              </w:rPr>
              <w:t>13 %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33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11,290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10,784</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5 %</w:t>
            </w:r>
          </w:p>
        </w:tc>
        <w:tc>
          <w:tcPr>
            <w:tcW w:w="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23,077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20,493</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2,584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6"/>
                <w:szCs w:val="16"/>
                <w:color w:val="auto"/>
                <w:w w:val="76"/>
              </w:rPr>
              <w:t>13 %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51,181</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47,503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3,678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8 %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101,094</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88,420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12,674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ind w:left="360"/>
              <w:spacing w:after="0"/>
              <w:rPr>
                <w:sz w:val="20"/>
                <w:szCs w:val="20"/>
                <w:color w:val="auto"/>
              </w:rPr>
            </w:pPr>
            <w:r>
              <w:rPr>
                <w:rFonts w:ascii="Arial" w:cs="Arial" w:eastAsia="Arial" w:hAnsi="Arial"/>
                <w:sz w:val="16"/>
                <w:szCs w:val="16"/>
                <w:color w:val="auto"/>
                <w:w w:val="82"/>
              </w:rPr>
              <w:t>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-179070</wp:posOffset>
            </wp:positionV>
            <wp:extent cx="85725"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-179070</wp:posOffset>
            </wp:positionV>
            <wp:extent cx="8572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-179070</wp:posOffset>
            </wp:positionV>
            <wp:extent cx="7747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-179070</wp:posOffset>
            </wp:positionV>
            <wp:extent cx="8572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74" w:lineRule="exact"/>
        <w:rPr>
          <w:sz w:val="20"/>
          <w:szCs w:val="20"/>
          <w:color w:val="auto"/>
        </w:rPr>
      </w:pPr>
    </w:p>
    <w:p>
      <w:pPr>
        <w:jc w:val="both"/>
        <w:ind w:right="200" w:firstLine="569"/>
        <w:spacing w:after="0" w:line="263" w:lineRule="auto"/>
        <w:rPr>
          <w:sz w:val="20"/>
          <w:szCs w:val="20"/>
          <w:color w:val="auto"/>
        </w:rPr>
      </w:pPr>
      <w:r>
        <w:rPr>
          <w:rFonts w:ascii="Arial" w:cs="Arial" w:eastAsia="Arial" w:hAnsi="Arial"/>
          <w:sz w:val="18"/>
          <w:szCs w:val="18"/>
          <w:color w:val="auto"/>
        </w:rPr>
        <w:t>Research and development expenses increased for the three and six months ended June 30, 2023 as compared to the same period in the prior year. The increase was primarily due to higher headcount, resulting in increased fixed and share-based compensation expense, increased supplies and materials costs, and increased infrastructure costs, partially offset by lower consulting expenses.</w:t>
      </w:r>
    </w:p>
    <w:p>
      <w:pPr>
        <w:spacing w:after="0" w:line="76" w:lineRule="exact"/>
        <w:rPr>
          <w:sz w:val="20"/>
          <w:szCs w:val="20"/>
          <w:color w:val="auto"/>
        </w:rPr>
      </w:pPr>
    </w:p>
    <w:p>
      <w:pPr>
        <w:ind w:right="100" w:firstLine="569"/>
        <w:spacing w:after="0" w:line="311" w:lineRule="auto"/>
        <w:rPr>
          <w:sz w:val="20"/>
          <w:szCs w:val="20"/>
          <w:color w:val="auto"/>
        </w:rPr>
      </w:pPr>
      <w:r>
        <w:rPr>
          <w:rFonts w:ascii="Arial" w:cs="Arial" w:eastAsia="Arial" w:hAnsi="Arial"/>
          <w:sz w:val="16"/>
          <w:szCs w:val="16"/>
          <w:color w:val="auto"/>
        </w:rPr>
        <w:t>Sales and marketing expenses increased by $1.8 million or 8% for the three months ended June 30, 2023 as compared to the same period in the prior year. The increase was primarily driven by higher commission expense due to an increase in sales, increased share-based compensation expense, and increased infrastructure costs to support our growth, partially offset by lower freight expense and lower consulting expenses.</w:t>
      </w:r>
    </w:p>
    <w:p>
      <w:pPr>
        <w:spacing w:after="0" w:line="41" w:lineRule="exact"/>
        <w:rPr>
          <w:sz w:val="20"/>
          <w:szCs w:val="20"/>
          <w:color w:val="auto"/>
        </w:rPr>
      </w:pPr>
    </w:p>
    <w:p>
      <w:pPr>
        <w:jc w:val="both"/>
        <w:ind w:right="40" w:firstLine="569"/>
        <w:spacing w:after="0" w:line="311" w:lineRule="auto"/>
        <w:rPr>
          <w:sz w:val="20"/>
          <w:szCs w:val="20"/>
          <w:color w:val="auto"/>
        </w:rPr>
      </w:pPr>
      <w:r>
        <w:rPr>
          <w:rFonts w:ascii="Arial" w:cs="Arial" w:eastAsia="Arial" w:hAnsi="Arial"/>
          <w:sz w:val="16"/>
          <w:szCs w:val="16"/>
          <w:color w:val="auto"/>
        </w:rPr>
        <w:t>Sales and marketing expenses increased by $5.7 million or 13% for the six months ended June 30, 2023 as compared to the same period in the prior year. The increase was primarily driven by the timing of national sales and service meetings, increased fixed and share-based compensation expense, higher commission expense due to an increase in sales, and increased infrastructure costs to support our growth, partially offset by lower consulting expenses.</w:t>
      </w:r>
    </w:p>
    <w:p>
      <w:pPr>
        <w:spacing w:after="0" w:line="41" w:lineRule="exact"/>
        <w:rPr>
          <w:sz w:val="20"/>
          <w:szCs w:val="20"/>
          <w:color w:val="auto"/>
        </w:rPr>
      </w:pPr>
    </w:p>
    <w:p>
      <w:pPr>
        <w:ind w:right="160" w:firstLine="569"/>
        <w:spacing w:after="0" w:line="342" w:lineRule="auto"/>
        <w:rPr>
          <w:sz w:val="20"/>
          <w:szCs w:val="20"/>
          <w:color w:val="auto"/>
        </w:rPr>
      </w:pPr>
      <w:r>
        <w:rPr>
          <w:rFonts w:ascii="Arial" w:cs="Arial" w:eastAsia="Arial" w:hAnsi="Arial"/>
          <w:sz w:val="16"/>
          <w:szCs w:val="16"/>
          <w:color w:val="auto"/>
        </w:rPr>
        <w:t>General and administrative expenses increased by $0.5 million or 5% for the three months ended June 30, 2023 as compared to the same period in the prior year. The increase was primarily driven by increased share-based compensation expense, partially offset by a decrease in insurance expenses.</w:t>
      </w:r>
    </w:p>
    <w:p>
      <w:pPr>
        <w:spacing w:after="0" w:line="16" w:lineRule="exact"/>
        <w:rPr>
          <w:sz w:val="20"/>
          <w:szCs w:val="20"/>
          <w:color w:val="auto"/>
        </w:rPr>
      </w:pPr>
    </w:p>
    <w:p>
      <w:pPr>
        <w:ind w:right="220" w:firstLine="569"/>
        <w:spacing w:after="0" w:line="263" w:lineRule="auto"/>
        <w:rPr>
          <w:sz w:val="20"/>
          <w:szCs w:val="20"/>
          <w:color w:val="auto"/>
        </w:rPr>
      </w:pPr>
      <w:r>
        <w:rPr>
          <w:rFonts w:ascii="Arial" w:cs="Arial" w:eastAsia="Arial" w:hAnsi="Arial"/>
          <w:sz w:val="18"/>
          <w:szCs w:val="18"/>
          <w:color w:val="auto"/>
        </w:rPr>
        <w:t>General and administrative expenses increased by $2.6 million or 13% for the six months ended June 30, 2023 as compared to the same period in the prior year. The increase was primarily driven by higher headcount, resulting in increased fixed and share-based compensation expense, higher consulting expenses, and higher infrastructure costs, partially offset by a decrease in insurance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w w:val="93"/>
              </w:rPr>
              <w:t>Three Months Ended</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6"/>
          </w:tcPr>
          <w:p>
            <w:pPr>
              <w:ind w:left="20"/>
              <w:spacing w:after="0"/>
              <w:rPr>
                <w:sz w:val="20"/>
                <w:szCs w:val="20"/>
                <w:color w:val="auto"/>
              </w:rPr>
            </w:pPr>
            <w:r>
              <w:rPr>
                <w:rFonts w:ascii="Arial" w:cs="Arial" w:eastAsia="Arial" w:hAnsi="Arial"/>
                <w:sz w:val="16"/>
                <w:szCs w:val="16"/>
                <w:b w:val="1"/>
                <w:bCs w:val="1"/>
                <w:color w:val="auto"/>
              </w:rPr>
              <w:t>Six Months Ended June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w w:val="98"/>
              </w:rPr>
              <w:t>Change</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30,</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98"/>
              </w:rPr>
              <w:t>Change</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8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2022</w:t>
            </w:r>
          </w:p>
        </w:tc>
        <w:tc>
          <w:tcPr>
            <w:tcW w:w="28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(expenses), net: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gridSpan w:val="3"/>
          </w:tcPr>
          <w:p>
            <w:pPr>
              <w:ind w:left="20"/>
              <w:spacing w:after="0"/>
              <w:rPr>
                <w:sz w:val="20"/>
                <w:szCs w:val="20"/>
                <w:color w:val="auto"/>
              </w:rPr>
            </w:pPr>
            <w:r>
              <w:rPr>
                <w:rFonts w:ascii="Arial" w:cs="Arial" w:eastAsia="Arial" w:hAnsi="Arial"/>
                <w:sz w:val="16"/>
                <w:szCs w:val="16"/>
                <w:color w:val="auto"/>
              </w:rPr>
              <w:t>Interest income and other income,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2,668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459</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   2,209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481 %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5,316</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579</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   4,737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3"/>
          </w:tcPr>
          <w:p>
            <w:pPr>
              <w:ind w:left="260"/>
              <w:spacing w:after="0"/>
              <w:rPr>
                <w:sz w:val="20"/>
                <w:szCs w:val="20"/>
                <w:color w:val="auto"/>
              </w:rPr>
            </w:pPr>
            <w:r>
              <w:rPr>
                <w:rFonts w:ascii="Arial" w:cs="Arial" w:eastAsia="Arial" w:hAnsi="Arial"/>
                <w:sz w:val="16"/>
                <w:szCs w:val="16"/>
                <w:color w:val="auto"/>
                <w:w w:val="83"/>
              </w:rPr>
              <w:t>818 %</w:t>
            </w:r>
          </w:p>
        </w:tc>
        <w:tc>
          <w:tcPr>
            <w:tcW w:w="0" w:type="dxa"/>
            <w:vAlign w:val="bottom"/>
          </w:tcPr>
          <w:p>
            <w:pPr>
              <w:spacing w:after="0"/>
              <w:rPr>
                <w:sz w:val="1"/>
                <w:szCs w:val="1"/>
                <w:color w:val="auto"/>
              </w:rPr>
            </w:pPr>
          </w:p>
        </w:tc>
      </w:tr>
      <w:tr>
        <w:trPr>
          <w:trHeight w:val="239"/>
        </w:trPr>
        <w:tc>
          <w:tcPr>
            <w:tcW w:w="33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(3,103 )</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(481 )</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(2,622 )</w:t>
            </w: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545 %</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(6,045 )</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(903 )</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(5,142 )</w:t>
            </w:r>
          </w:p>
        </w:tc>
        <w:tc>
          <w:tcPr>
            <w:tcW w:w="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79"/>
              </w:rPr>
              <w:t>569 %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other expenses, net</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(435 )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(22 )</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(413 )</w:t>
            </w:r>
          </w:p>
        </w:tc>
        <w:tc>
          <w:tcPr>
            <w:tcW w:w="2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1,877 %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(729 )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(324 )</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(405 )</w:t>
            </w:r>
          </w:p>
        </w:tc>
        <w:tc>
          <w:tcPr>
            <w:tcW w:w="220" w:type="dxa"/>
            <w:vAlign w:val="bottom"/>
          </w:tcPr>
          <w:p>
            <w:pPr>
              <w:spacing w:after="0"/>
              <w:rPr>
                <w:sz w:val="19"/>
                <w:szCs w:val="19"/>
                <w:color w:val="auto"/>
              </w:rPr>
            </w:pPr>
          </w:p>
        </w:tc>
        <w:tc>
          <w:tcPr>
            <w:tcW w:w="660" w:type="dxa"/>
            <w:vAlign w:val="bottom"/>
            <w:gridSpan w:val="3"/>
          </w:tcPr>
          <w:p>
            <w:pPr>
              <w:ind w:left="260"/>
              <w:spacing w:after="0"/>
              <w:rPr>
                <w:sz w:val="20"/>
                <w:szCs w:val="20"/>
                <w:color w:val="auto"/>
              </w:rPr>
            </w:pPr>
            <w:r>
              <w:rPr>
                <w:rFonts w:ascii="Arial" w:cs="Arial" w:eastAsia="Arial" w:hAnsi="Arial"/>
                <w:sz w:val="16"/>
                <w:szCs w:val="16"/>
                <w:color w:val="auto"/>
                <w:w w:val="83"/>
              </w:rPr>
              <w:t>125 %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569"/>
        <w:spacing w:after="0" w:line="277" w:lineRule="auto"/>
        <w:rPr>
          <w:sz w:val="20"/>
          <w:szCs w:val="20"/>
          <w:color w:val="auto"/>
        </w:rPr>
      </w:pPr>
      <w:r>
        <w:rPr>
          <w:rFonts w:ascii="Arial" w:cs="Arial" w:eastAsia="Arial" w:hAnsi="Arial"/>
          <w:sz w:val="18"/>
          <w:szCs w:val="18"/>
          <w:color w:val="auto"/>
        </w:rPr>
        <w:t>The increase in interest income and other income, net for the three and six months ended June 30, 2023 as compared to the same periods in the prior year was driven by higher interest rates and a higher average short-term investments balance in 2023.</w:t>
      </w:r>
    </w:p>
    <w:p>
      <w:pPr>
        <w:spacing w:after="0" w:line="62" w:lineRule="exact"/>
        <w:rPr>
          <w:sz w:val="20"/>
          <w:szCs w:val="20"/>
          <w:color w:val="auto"/>
        </w:rPr>
      </w:pPr>
    </w:p>
    <w:p>
      <w:pPr>
        <w:ind w:right="240" w:firstLine="569"/>
        <w:spacing w:after="0" w:line="263" w:lineRule="auto"/>
        <w:rPr>
          <w:sz w:val="20"/>
          <w:szCs w:val="20"/>
          <w:color w:val="auto"/>
        </w:rPr>
      </w:pPr>
      <w:r>
        <w:rPr>
          <w:rFonts w:ascii="Arial" w:cs="Arial" w:eastAsia="Arial" w:hAnsi="Arial"/>
          <w:sz w:val="18"/>
          <w:szCs w:val="18"/>
          <w:color w:val="auto"/>
        </w:rPr>
        <w:t>The increase in interest expense for the three and six months ended June 30, 2023 was due to the higher interest expense and outstanding balance under the SLR Term Loan Facility in 2023 as compared to the lower interest expense and outstanding balance under our prior term loan facility with Silicon Valley Bank in 2022.</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69"/>
        <w:spacing w:after="0" w:line="342" w:lineRule="auto"/>
        <w:rPr>
          <w:sz w:val="20"/>
          <w:szCs w:val="20"/>
          <w:color w:val="auto"/>
        </w:rPr>
      </w:pPr>
      <w:r>
        <w:rPr>
          <w:rFonts w:ascii="Arial" w:cs="Arial" w:eastAsia="Arial" w:hAnsi="Arial"/>
          <w:sz w:val="16"/>
          <w:szCs w:val="16"/>
          <w:color w:val="auto"/>
        </w:rPr>
        <w:t>As of June 30, 2023, we had cash, cash equivalents and short-term investments of $222.8 million, which are available to fund future operations, and restricted cash of $3.3 million, for a total cash, cash equivalents, restricted cash and short-term investments balance of $226.1 million.</w:t>
      </w:r>
    </w:p>
    <w:p>
      <w:pPr>
        <w:spacing w:after="0" w:line="16" w:lineRule="exact"/>
        <w:rPr>
          <w:sz w:val="20"/>
          <w:szCs w:val="20"/>
          <w:color w:val="auto"/>
        </w:rPr>
      </w:pPr>
    </w:p>
    <w:p>
      <w:pPr>
        <w:ind w:right="140" w:firstLine="569"/>
        <w:spacing w:after="0" w:line="263"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 and proceeds from employee exercise of stock options and ESPP purchases.</w:t>
      </w:r>
    </w:p>
    <w:p>
      <w:pPr>
        <w:spacing w:after="0" w:line="76" w:lineRule="exact"/>
        <w:rPr>
          <w:sz w:val="20"/>
          <w:szCs w:val="20"/>
          <w:color w:val="auto"/>
        </w:rPr>
      </w:pPr>
    </w:p>
    <w:p>
      <w:pPr>
        <w:ind w:right="120" w:firstLine="569"/>
        <w:spacing w:after="0" w:line="289" w:lineRule="auto"/>
        <w:rPr>
          <w:sz w:val="20"/>
          <w:szCs w:val="20"/>
          <w:color w:val="auto"/>
        </w:rPr>
      </w:pPr>
      <w:r>
        <w:rPr>
          <w:rFonts w:ascii="Arial" w:cs="Arial" w:eastAsia="Arial" w:hAnsi="Arial"/>
          <w:sz w:val="16"/>
          <w:szCs w:val="16"/>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and currently available from the debt financing described in Note 7 of the accompanying condensed financial statements above, will be sufficient to meet our anticipated needs for at least the next 12 months from the issuance date of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cash flows for each of the periods indicated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19"/>
                <w:szCs w:val="19"/>
                <w:color w:val="auto"/>
              </w:rPr>
            </w:pPr>
          </w:p>
        </w:tc>
        <w:tc>
          <w:tcPr>
            <w:tcW w:w="29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40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w w:val="96"/>
              </w:rPr>
              <w:t>(72,932 )</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(76,910 )</w:t>
            </w:r>
          </w:p>
        </w:tc>
      </w:tr>
      <w:tr>
        <w:trPr>
          <w:trHeight w:val="239"/>
        </w:trPr>
        <w:tc>
          <w:tcPr>
            <w:tcW w:w="7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29,796</w:t>
            </w: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(34,706 )</w:t>
            </w:r>
          </w:p>
        </w:tc>
      </w:tr>
      <w:tr>
        <w:trPr>
          <w:trHeight w:val="223"/>
        </w:trPr>
        <w:tc>
          <w:tcPr>
            <w:tcW w:w="740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c>
          <w:tcPr>
            <w:tcW w:w="4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w:t>
            </w:r>
          </w:p>
        </w:tc>
        <w:tc>
          <w:tcPr>
            <w:tcW w:w="140" w:type="dxa"/>
            <w:vAlign w:val="bottom"/>
          </w:tcPr>
          <w:p>
            <w:pPr>
              <w:spacing w:after="0"/>
              <w:rPr>
                <w:sz w:val="19"/>
                <w:szCs w:val="19"/>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w w:val="96"/>
              </w:rPr>
              <w:t>(36,816 )</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0"/>
              </w:rPr>
              <w:t>(106,851 )</w:t>
            </w:r>
          </w:p>
        </w:tc>
      </w:tr>
      <w:tr>
        <w:trPr>
          <w:trHeight w:val="20"/>
        </w:trPr>
        <w:tc>
          <w:tcPr>
            <w:tcW w:w="74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-24765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-7620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80" w:firstLine="569"/>
        <w:spacing w:after="0" w:line="270" w:lineRule="auto"/>
        <w:rPr>
          <w:sz w:val="20"/>
          <w:szCs w:val="20"/>
          <w:color w:val="auto"/>
        </w:rPr>
      </w:pPr>
      <w:r>
        <w:rPr>
          <w:rFonts w:ascii="Arial" w:cs="Arial" w:eastAsia="Arial" w:hAnsi="Arial"/>
          <w:sz w:val="17"/>
          <w:szCs w:val="17"/>
          <w:color w:val="auto"/>
        </w:rPr>
        <w:t>The net cash used in operating activities of $72.9 million for the six months ended June 30, 2023 was due to a net loss of $88.0 million, the amortization of premiums on investments of $3.4 million and a net cash outflow from the change in our operating assets and liabilities of $5.7 million, which were adjusted by stock-based compensation expense of $18.6 million, depreciation and amortization of $2.9 million, non-cash interest expense of $0.9 million, provision for inventories of $0.9 million, non-cash lease expense of $0.6 million and other non-cash items of $0.2 million. The net cash outflow from operating assets and liabilities was primarily driven by an increase in accounts receivable resulting from the timing of collection, a decrease in accrued compensation and related benefits, and a decrease in accrued expenses and other current liabilities due to timing of vendor payments. The net cash outflow from operating assets and liabilities was partially offset by a decrease in inventories as a result of the timing of inventory purchases and our effort to optimize working capital, an increase in deferred revenue due to growth in our business, a decrease in accounts payable due to timing of vendor payments, and a decrease in prepaid expenses and other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569"/>
        <w:spacing w:after="0" w:line="263" w:lineRule="auto"/>
        <w:rPr>
          <w:sz w:val="20"/>
          <w:szCs w:val="20"/>
          <w:color w:val="auto"/>
        </w:rPr>
      </w:pPr>
      <w:r>
        <w:rPr>
          <w:rFonts w:ascii="Arial" w:cs="Arial" w:eastAsia="Arial" w:hAnsi="Arial"/>
          <w:sz w:val="18"/>
          <w:szCs w:val="18"/>
          <w:color w:val="auto"/>
        </w:rPr>
        <w:t>The net cash provided by investing activities of $29.8 million for the six months ended June 30, 2023 was due to the maturities of short-term investment securities of $129.3 million, which was partially offset by the purchases of short-term investment securities of $97.8 million and the purchases of property and equipment of $1.6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20" w:firstLine="569"/>
        <w:spacing w:after="0" w:line="277" w:lineRule="auto"/>
        <w:rPr>
          <w:sz w:val="20"/>
          <w:szCs w:val="20"/>
          <w:color w:val="auto"/>
        </w:rPr>
      </w:pPr>
      <w:r>
        <w:rPr>
          <w:rFonts w:ascii="Arial" w:cs="Arial" w:eastAsia="Arial" w:hAnsi="Arial"/>
          <w:sz w:val="18"/>
          <w:szCs w:val="18"/>
          <w:color w:val="auto"/>
        </w:rPr>
        <w:t>The net cash provided by financing activities of $6.3 million for the six months ended June 30, 2023 was due to the proceeds from employee exercises of stock options and ESPP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20" w:firstLine="569"/>
        <w:spacing w:after="0" w:line="263" w:lineRule="auto"/>
        <w:rPr>
          <w:sz w:val="20"/>
          <w:szCs w:val="20"/>
          <w:color w:val="auto"/>
        </w:rPr>
      </w:pPr>
      <w:r>
        <w:rPr>
          <w:rFonts w:ascii="Arial" w:cs="Arial" w:eastAsia="Arial" w:hAnsi="Arial"/>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right="140"/>
        <w:spacing w:after="0" w:line="259" w:lineRule="auto"/>
        <w:rPr>
          <w:sz w:val="20"/>
          <w:szCs w:val="20"/>
          <w:color w:val="auto"/>
        </w:rPr>
      </w:pPr>
      <w:r>
        <w:rPr>
          <w:rFonts w:ascii="Arial" w:cs="Arial" w:eastAsia="Arial" w:hAnsi="Arial"/>
          <w:sz w:val="18"/>
          <w:szCs w:val="18"/>
          <w:color w:val="auto"/>
        </w:rPr>
        <w:t>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100" w:firstLine="569"/>
        <w:spacing w:after="0" w:line="263" w:lineRule="auto"/>
        <w:rPr>
          <w:sz w:val="20"/>
          <w:szCs w:val="20"/>
          <w:color w:val="auto"/>
        </w:rPr>
      </w:pPr>
      <w:r>
        <w:rPr>
          <w:rFonts w:ascii="Arial" w:cs="Arial" w:eastAsia="Arial" w:hAnsi="Arial"/>
          <w:sz w:val="18"/>
          <w:szCs w:val="18"/>
          <w:color w:val="auto"/>
        </w:rPr>
        <w:t>There have been no new or significant changes in our critical accounting policies and estimates as compared to the critical accounting policies and estimates disclosed in the section titled “Management’s Discussion and Analysis of Financial Condition and Results of Operations” included in our 2022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Policy</w:t>
      </w:r>
    </w:p>
    <w:p>
      <w:pPr>
        <w:spacing w:after="0" w:line="121" w:lineRule="exact"/>
        <w:rPr>
          <w:sz w:val="20"/>
          <w:szCs w:val="20"/>
          <w:color w:val="auto"/>
        </w:rPr>
      </w:pPr>
    </w:p>
    <w:p>
      <w:pPr>
        <w:ind w:firstLine="569"/>
        <w:spacing w:after="0" w:line="270" w:lineRule="auto"/>
        <w:rPr>
          <w:sz w:val="20"/>
          <w:szCs w:val="20"/>
          <w:color w:val="auto"/>
        </w:rPr>
      </w:pPr>
      <w:r>
        <w:rPr>
          <w:rFonts w:ascii="Arial" w:cs="Arial" w:eastAsia="Arial" w:hAnsi="Arial"/>
          <w:sz w:val="17"/>
          <w:szCs w:val="17"/>
          <w:color w:val="auto"/>
        </w:rPr>
        <w:t>In April 2023, we adopted a recoupment (or “clawback”) policy that applies to incentive compensation paid to current and certain former executive officers that was based on incorrect financial performance measures. Under the policy, if we are required to prepare an accounting restatement due to the material noncompliance of any financial reporting requirement under applicable securities laws, the Compensation Committee of our Board of Directors is required to cause us to recoup from each executive officer who was employed during the three preceding fiscal years the excess of the incentive compensation received by the executive officer during such three-year period, based on the erroneous financial information, over the incentive compensation that would have been received by the executive if it had been calculated based on the restated financial information. The policy is intended to comply with the requirements of Securities and Exchange Commission rules and Nasdaq Stock Market (Nasdaq) listing standards implementing Section 954 of the Dodd-Frank Wall Street Reform and Consumer Protection Act of 2010, and will be amended to the extent required to reflect the final Nasdaq listing standards once they are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00" w:firstLine="569"/>
        <w:spacing w:after="0" w:line="277" w:lineRule="auto"/>
        <w:rPr>
          <w:sz w:val="20"/>
          <w:szCs w:val="20"/>
          <w:color w:val="auto"/>
        </w:rPr>
      </w:pPr>
      <w:r>
        <w:rPr>
          <w:rFonts w:ascii="Arial" w:cs="Arial" w:eastAsia="Arial" w:hAnsi="Arial"/>
          <w:sz w:val="18"/>
          <w:szCs w:val="18"/>
          <w:color w:val="auto"/>
        </w:rPr>
        <w:t>Our market risks related to interest rate and foreign currency exchange rates are described in Part II Item 7A of our 2022 Annual Report. Our exposure to market risks has not changed materially since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69"/>
        <w:spacing w:after="0" w:line="288"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69"/>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569"/>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69"/>
        <w:spacing w:after="0" w:line="255" w:lineRule="auto"/>
        <w:rPr>
          <w:sz w:val="20"/>
          <w:szCs w:val="20"/>
          <w:color w:val="auto"/>
        </w:rPr>
      </w:pPr>
      <w:r>
        <w:rPr>
          <w:rFonts w:ascii="Arial" w:cs="Arial" w:eastAsia="Arial" w:hAnsi="Arial"/>
          <w:sz w:val="18"/>
          <w:szCs w:val="18"/>
          <w:color w:val="auto"/>
        </w:rPr>
        <w:t>You should carefully consider the risk factors discussed in Part I, “Item 1A. Risk Factors” in our 2022 Annual Report, which could materially affect our business, financial position, or future results of operations. There have been no material changes to the risk factors described in our 2022 Annual Report, except as set forth below. The risks described in our 2022 Annual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the warning letter we recently received from the FDA and the pause we recently implemented on the distribution of TabloCart with Prefiltration.</w:t>
      </w:r>
    </w:p>
    <w:p>
      <w:pPr>
        <w:spacing w:after="0" w:line="62" w:lineRule="exact"/>
        <w:rPr>
          <w:sz w:val="20"/>
          <w:szCs w:val="20"/>
          <w:color w:val="auto"/>
        </w:rPr>
      </w:pPr>
    </w:p>
    <w:p>
      <w:pPr>
        <w:ind w:right="60" w:firstLine="569"/>
        <w:spacing w:after="0" w:line="263" w:lineRule="auto"/>
        <w:rPr>
          <w:sz w:val="20"/>
          <w:szCs w:val="20"/>
          <w:color w:val="auto"/>
        </w:rPr>
      </w:pPr>
      <w:r>
        <w:rPr>
          <w:rFonts w:ascii="Arial" w:cs="Arial" w:eastAsia="Arial" w:hAnsi="Arial"/>
          <w:sz w:val="18"/>
          <w:szCs w:val="18"/>
          <w:color w:val="auto"/>
        </w:rPr>
        <w:t>As previously disclosed in our 2022 Annual Report, the FDA issued an FDA Form-483 identifying four inspectional observations resulting from an FDA inspection of our San Jose, California facility that concluded on February 10, 2023. We provided our response plan to the FDA in March 2023, and have since completed the associated remediation workstreams to fully address these observations.</w:t>
      </w:r>
    </w:p>
    <w:p>
      <w:pPr>
        <w:spacing w:after="0" w:line="76" w:lineRule="exact"/>
        <w:rPr>
          <w:sz w:val="20"/>
          <w:szCs w:val="20"/>
          <w:color w:val="auto"/>
        </w:rPr>
      </w:pPr>
    </w:p>
    <w:p>
      <w:pPr>
        <w:ind w:right="240" w:firstLine="569"/>
        <w:spacing w:after="0" w:line="279" w:lineRule="auto"/>
        <w:rPr>
          <w:sz w:val="20"/>
          <w:szCs w:val="20"/>
          <w:color w:val="auto"/>
        </w:rPr>
      </w:pPr>
      <w:r>
        <w:rPr>
          <w:rFonts w:ascii="Arial" w:cs="Arial" w:eastAsia="Arial" w:hAnsi="Arial"/>
          <w:sz w:val="17"/>
          <w:szCs w:val="17"/>
          <w:color w:val="auto"/>
        </w:rPr>
        <w:t>On July 6, 2023, we received a warning letter (the “Warning Letter”) from the FDA that raised two additional observations. The first observation asserts that certain content reviewed by the FDA and found on our website promotes CRRT, a modality outside of the current indications for the Tablo Hemodialysis System. The second observation asserts that TabloCart with Prefiltration requires prior 510(k) clearance for marketing authorization. TabloCart with Prefiltration is an accessory to the Tablo System launched in the third quarter of 2022.</w:t>
      </w:r>
    </w:p>
    <w:p>
      <w:pPr>
        <w:spacing w:after="0" w:line="63" w:lineRule="exact"/>
        <w:rPr>
          <w:sz w:val="20"/>
          <w:szCs w:val="20"/>
          <w:color w:val="auto"/>
        </w:rPr>
      </w:pPr>
    </w:p>
    <w:p>
      <w:pPr>
        <w:ind w:right="80" w:firstLine="569"/>
        <w:spacing w:after="0" w:line="273" w:lineRule="auto"/>
        <w:rPr>
          <w:sz w:val="20"/>
          <w:szCs w:val="20"/>
          <w:color w:val="auto"/>
        </w:rPr>
      </w:pPr>
      <w:r>
        <w:rPr>
          <w:rFonts w:ascii="Arial" w:cs="Arial" w:eastAsia="Arial" w:hAnsi="Arial"/>
          <w:sz w:val="17"/>
          <w:szCs w:val="17"/>
          <w:color w:val="auto"/>
        </w:rPr>
        <w:t>We timely submitted a response to the FDA in late July 2023. As communicated in our response, we believe we have taken or committed to take appropriate measures to resolve the matters raised in the Warning Letter. We believe the concern raised by the first observation regarding CRRT promotion has been effectively addressed through labeling and promotional changes that have already been completed. With regard to the second observation, we have agreed to submit a 510(k) application for TabloCart with Prefiltration. Although we evaluated TabloCart with Prefiltration prior to marketing and distributing the product and concluded that no marketing authorization was necessary, we have paused distribution of TabloCart with Prefiltration pending the FDA’s review and clearance of the 510(k) application that we plan to submit.</w:t>
      </w:r>
    </w:p>
    <w:p>
      <w:pPr>
        <w:spacing w:after="0" w:line="70" w:lineRule="exact"/>
        <w:rPr>
          <w:sz w:val="20"/>
          <w:szCs w:val="20"/>
          <w:color w:val="auto"/>
        </w:rPr>
      </w:pPr>
    </w:p>
    <w:p>
      <w:pPr>
        <w:ind w:right="80" w:firstLine="569"/>
        <w:spacing w:after="0" w:line="288" w:lineRule="auto"/>
        <w:rPr>
          <w:sz w:val="20"/>
          <w:szCs w:val="20"/>
          <w:color w:val="auto"/>
        </w:rPr>
      </w:pPr>
      <w:r>
        <w:rPr>
          <w:rFonts w:ascii="Arial" w:cs="Arial" w:eastAsia="Arial" w:hAnsi="Arial"/>
          <w:sz w:val="16"/>
          <w:szCs w:val="16"/>
          <w:color w:val="auto"/>
        </w:rPr>
        <w:t>While we remain committed to fully cooperating with the FDA to expeditiously and completely resolve the Warning Letter, we cannot guarantee that the FDA will be satisfied with our response or the remedial measures we have taken or committed to take, nor can we give any assurances as to the timing of the resolution of such matters. Failure to promptly and fully address the matters raised in the Warning Letter to the FDA’s satisfaction or to comply with FDA regulations in general could result in further regulatory and enforcement actions being initiated by the FDA. These actions may include, among other things, additional inspections, requirements to implement additional remedial measures, recommending or requiring that we cease manufacturing or producing TabloCart with Prefiltration or that we withdraw or recall the product from the marketplace, until clearance is obtained (which may not happen in a timely manner or at all), as well as product seizures, injunctions, civil monetary penalties, fines, or criminal prosecution. In addition, although we have paused distribution of TabloCart with Prefiltration pending the FDA’s review and clearance of the 510(k) application we plan to submit, the FDA could specifically mandate that we do so, which would result in the resumption of such distribution being outside of our sole control. Any such actions could materially and adversely disrupt and harm our business, reputation, financial condition, results of operations and future growth.</w:t>
      </w:r>
    </w:p>
    <w:p>
      <w:pPr>
        <w:spacing w:after="0" w:line="60" w:lineRule="exact"/>
        <w:rPr>
          <w:sz w:val="20"/>
          <w:szCs w:val="20"/>
          <w:color w:val="auto"/>
        </w:rPr>
      </w:pPr>
    </w:p>
    <w:p>
      <w:pPr>
        <w:ind w:firstLine="569"/>
        <w:spacing w:after="0" w:line="255" w:lineRule="auto"/>
        <w:rPr>
          <w:sz w:val="20"/>
          <w:szCs w:val="20"/>
          <w:color w:val="auto"/>
        </w:rPr>
      </w:pPr>
      <w:r>
        <w:rPr>
          <w:rFonts w:ascii="Arial" w:cs="Arial" w:eastAsia="Arial" w:hAnsi="Arial"/>
          <w:sz w:val="18"/>
          <w:szCs w:val="18"/>
          <w:color w:val="auto"/>
        </w:rPr>
        <w:t>In addition, while we have committed to submitting a 510(k) application for TabloCart with Prefiltration, we cannot predict with certainty when the FDA will complete its review of our application, whether the FDA will ultimately grant clearance of our application, or when we will resume distribution of the product. Based on the results of the FDA’s review, we may be required to take additional actions, which may include making changes to the product, temporarily withdrawing or recalling TabloCart with Prefiltration until clearance is obtained (which may not happen in a timely manner or at all), and/or we may be subject to other enforcement actions or proceedings and litigation, any of which could materially and adversely disrupt and harm our business and future growth.</w:t>
      </w:r>
    </w:p>
    <w:p>
      <w:pPr>
        <w:spacing w:after="0" w:line="84" w:lineRule="exact"/>
        <w:rPr>
          <w:sz w:val="20"/>
          <w:szCs w:val="20"/>
          <w:color w:val="auto"/>
        </w:rPr>
      </w:pPr>
    </w:p>
    <w:p>
      <w:pPr>
        <w:ind w:right="60" w:firstLine="569"/>
        <w:spacing w:after="0" w:line="277" w:lineRule="auto"/>
        <w:rPr>
          <w:sz w:val="20"/>
          <w:szCs w:val="20"/>
          <w:color w:val="auto"/>
        </w:rPr>
      </w:pPr>
      <w:r>
        <w:rPr>
          <w:rFonts w:ascii="Arial" w:cs="Arial" w:eastAsia="Arial" w:hAnsi="Arial"/>
          <w:sz w:val="18"/>
          <w:szCs w:val="18"/>
          <w:color w:val="auto"/>
        </w:rPr>
        <w:t>Moreover, even if we are able to expeditiously and definitively resolve the Warning Letter, we will incur incremental expenses relating to doing so, and we may experience related disruptions to our business, including reputational harm, customer uncertainty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line="293" w:lineRule="auto"/>
        <w:rPr>
          <w:sz w:val="20"/>
          <w:szCs w:val="20"/>
          <w:color w:val="auto"/>
        </w:rPr>
      </w:pPr>
      <w:r>
        <w:rPr>
          <w:rFonts w:ascii="Arial" w:cs="Arial" w:eastAsia="Arial" w:hAnsi="Arial"/>
          <w:sz w:val="16"/>
          <w:szCs w:val="16"/>
          <w:color w:val="auto"/>
        </w:rPr>
        <w:t>regarding the matters addressed in the Warning Letter and diversion of management’s time and attention. Furthermore, our business and operations may experience disruptions as a result of our pause on the distribution of TabloCart with Prefiltration, including reputational harm, adverse impacts on our bookings, backlog, revenue, and our ability to expand customer relationships or attract new customers, as well as reduced demand for TabloCart and/or, potentially, Tablo, any of which may materially and adversely affect our results of operations, financial condition and growth prospects. These risks would be exacerbated if the FDA’s review of our 510(k) application for TabloCart with Prefiltration and the current distribution pause (or any mandated distribution pause by the FDA) continues for an extended period of time, or if the FDA ultimately does not grant clearance of our 510(k) application.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740" w:firstLine="569"/>
        <w:spacing w:after="0" w:line="277" w:lineRule="auto"/>
        <w:rPr>
          <w:sz w:val="20"/>
          <w:szCs w:val="20"/>
          <w:color w:val="auto"/>
        </w:rPr>
      </w:pPr>
      <w:r>
        <w:rPr>
          <w:rFonts w:ascii="Arial" w:cs="Arial" w:eastAsia="Arial" w:hAnsi="Arial"/>
          <w:sz w:val="18"/>
          <w:szCs w:val="18"/>
          <w:color w:val="auto"/>
        </w:rPr>
        <w:t>During the period covered by this Quarterly Report, no director or officer of the Company adopted or terminated a “Rule 10b5-1 trading arrangement” or “non-Rule 10b5-1 trading arrangement,” as each term is defined in Item 408(a) of Regulation S-K.</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506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8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11"/>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5060" w:type="dxa"/>
            <w:vAlign w:val="bottom"/>
            <w:gridSpan w:val="11"/>
          </w:tcPr>
          <w:p>
            <w:pPr>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Form of Amended and Restated Certificate of Incorporation of Outset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Medical, Inc.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5060" w:type="dxa"/>
            <w:vAlign w:val="bottom"/>
            <w:gridSpan w:val="11"/>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Amended and Restated Bylaws of Outset Medical,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5060" w:type="dxa"/>
            <w:vAlign w:val="bottom"/>
            <w:gridSpan w:val="11"/>
          </w:tcPr>
          <w:p>
            <w:pPr>
              <w:spacing w:after="0"/>
              <w:rPr>
                <w:rFonts w:ascii="Arial" w:cs="Arial" w:eastAsia="Arial" w:hAnsi="Arial"/>
                <w:sz w:val="18"/>
                <w:szCs w:val="18"/>
                <w:color w:val="0000FF"/>
              </w:rPr>
            </w:pPr>
            <w:hyperlink r:id="rId184">
              <w:r>
                <w:rPr>
                  <w:rFonts w:ascii="Arial" w:cs="Arial" w:eastAsia="Arial" w:hAnsi="Arial"/>
                  <w:sz w:val="18"/>
                  <w:szCs w:val="18"/>
                  <w:color w:val="0000FF"/>
                </w:rPr>
                <w:t>Form of Common Stock Certificate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5060" w:type="dxa"/>
            <w:vAlign w:val="bottom"/>
            <w:gridSpan w:val="11"/>
          </w:tcPr>
          <w:p>
            <w:pPr>
              <w:spacing w:after="0"/>
              <w:rPr>
                <w:rFonts w:ascii="Arial" w:cs="Arial" w:eastAsia="Arial" w:hAnsi="Arial"/>
                <w:sz w:val="18"/>
                <w:szCs w:val="18"/>
                <w:color w:val="0000FF"/>
              </w:rPr>
            </w:pPr>
            <w:hyperlink r:id="rId185">
              <w:r>
                <w:rPr>
                  <w:rFonts w:ascii="Arial" w:cs="Arial" w:eastAsia="Arial" w:hAnsi="Arial"/>
                  <w:sz w:val="18"/>
                  <w:szCs w:val="18"/>
                  <w:color w:val="0000FF"/>
                </w:rPr>
                <w:t>Amended and Restated Registration Rights Agreement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5060" w:type="dxa"/>
            <w:vAlign w:val="bottom"/>
            <w:gridSpan w:val="11"/>
          </w:tcPr>
          <w:p>
            <w:pPr>
              <w:spacing w:after="0"/>
              <w:rPr>
                <w:rFonts w:ascii="Arial" w:cs="Arial" w:eastAsia="Arial" w:hAnsi="Arial"/>
                <w:sz w:val="18"/>
                <w:szCs w:val="18"/>
                <w:color w:val="0000FF"/>
              </w:rPr>
            </w:pPr>
            <w:hyperlink r:id="rId186">
              <w:r>
                <w:rPr>
                  <w:rFonts w:ascii="Arial" w:cs="Arial" w:eastAsia="Arial" w:hAnsi="Arial"/>
                  <w:sz w:val="18"/>
                  <w:szCs w:val="18"/>
                  <w:color w:val="0000FF"/>
                </w:rPr>
                <w:t>Form of Series A Warrant Agreement #1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5060" w:type="dxa"/>
            <w:vAlign w:val="bottom"/>
            <w:gridSpan w:val="11"/>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Form of Series A Warrant Agreement #2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060" w:type="dxa"/>
            <w:vAlign w:val="bottom"/>
            <w:gridSpan w:val="11"/>
          </w:tcPr>
          <w:p>
            <w:pPr>
              <w:spacing w:after="0"/>
              <w:rPr>
                <w:sz w:val="20"/>
                <w:szCs w:val="20"/>
                <w:color w:val="auto"/>
              </w:rPr>
            </w:pPr>
            <w:r>
              <w:rPr>
                <w:rFonts w:ascii="Arial" w:cs="Arial" w:eastAsia="Arial" w:hAnsi="Arial"/>
                <w:sz w:val="18"/>
                <w:szCs w:val="18"/>
                <w:color w:val="0000FF"/>
                <w:w w:val="97"/>
              </w:rPr>
              <w:t>Certification of Principal Executive Officer Pursuant to Rules 13a-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sz w:val="20"/>
                <w:szCs w:val="20"/>
                <w:color w:val="auto"/>
              </w:rPr>
            </w:pPr>
            <w:r>
              <w:rPr>
                <w:rFonts w:ascii="Arial" w:cs="Arial" w:eastAsia="Arial" w:hAnsi="Arial"/>
                <w:sz w:val="18"/>
                <w:szCs w:val="18"/>
                <w:color w:val="0000FF"/>
                <w:w w:val="89"/>
              </w:rPr>
              <w:t>14(a) and 15d-14(a) of the Exchange Act of 1934, as adopted pursuant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060" w:type="dxa"/>
            <w:vAlign w:val="bottom"/>
            <w:gridSpan w:val="11"/>
          </w:tcPr>
          <w:p>
            <w:pPr>
              <w:spacing w:after="0"/>
              <w:rPr>
                <w:sz w:val="20"/>
                <w:szCs w:val="20"/>
                <w:color w:val="auto"/>
              </w:rPr>
            </w:pPr>
            <w:r>
              <w:rPr>
                <w:rFonts w:ascii="Arial" w:cs="Arial" w:eastAsia="Arial" w:hAnsi="Arial"/>
                <w:sz w:val="18"/>
                <w:szCs w:val="18"/>
                <w:color w:val="0000FF"/>
                <w:w w:val="98"/>
              </w:rPr>
              <w:t>Certification of Principal Financial Officer Pursuant to Rules 13a-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sz w:val="20"/>
                <w:szCs w:val="20"/>
                <w:color w:val="auto"/>
              </w:rPr>
            </w:pPr>
            <w:r>
              <w:rPr>
                <w:rFonts w:ascii="Arial" w:cs="Arial" w:eastAsia="Arial" w:hAnsi="Arial"/>
                <w:sz w:val="18"/>
                <w:szCs w:val="18"/>
                <w:color w:val="0000FF"/>
                <w:w w:val="89"/>
              </w:rPr>
              <w:t>14(a) and 15d-14(a) of the Exchange Act of 1934, as adopted pursuant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sz w:val="20"/>
                <w:szCs w:val="20"/>
                <w:color w:val="auto"/>
              </w:rPr>
            </w:pPr>
            <w:r>
              <w:rPr>
                <w:rFonts w:ascii="Arial" w:cs="Arial" w:eastAsia="Arial" w:hAnsi="Arial"/>
                <w:sz w:val="18"/>
                <w:szCs w:val="18"/>
                <w:color w:val="0000FF"/>
              </w:rPr>
              <w:t>to Section 302 of the Sarbanes-Oxley 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5060" w:type="dxa"/>
            <w:vAlign w:val="bottom"/>
            <w:gridSpan w:val="11"/>
          </w:tcPr>
          <w:p>
            <w:pPr>
              <w:spacing w:after="0"/>
              <w:rPr>
                <w:sz w:val="20"/>
                <w:szCs w:val="20"/>
                <w:color w:val="auto"/>
              </w:rPr>
            </w:pPr>
            <w:r>
              <w:rPr>
                <w:rFonts w:ascii="Arial" w:cs="Arial" w:eastAsia="Arial" w:hAnsi="Arial"/>
                <w:sz w:val="18"/>
                <w:szCs w:val="18"/>
                <w:color w:val="0000FF"/>
                <w:w w:val="97"/>
              </w:rPr>
              <w:t>Certification of Principal Executive Officer and Principal Financial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sz w:val="20"/>
                <w:szCs w:val="20"/>
                <w:color w:val="auto"/>
              </w:rPr>
            </w:pPr>
            <w:r>
              <w:rPr>
                <w:rFonts w:ascii="Arial" w:cs="Arial" w:eastAsia="Arial" w:hAnsi="Arial"/>
                <w:sz w:val="18"/>
                <w:szCs w:val="18"/>
                <w:color w:val="0000FF"/>
                <w:w w:val="93"/>
              </w:rPr>
              <w:t>Officer Pursuant to 18 U.S.C. Section 1350, as Adopted Pursuant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060" w:type="dxa"/>
            <w:vAlign w:val="bottom"/>
            <w:gridSpan w:val="11"/>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060" w:type="dxa"/>
            <w:vAlign w:val="bottom"/>
            <w:gridSpan w:val="11"/>
          </w:tcPr>
          <w:p>
            <w:pPr>
              <w:spacing w:after="0"/>
              <w:rPr>
                <w:sz w:val="20"/>
                <w:szCs w:val="20"/>
                <w:color w:val="auto"/>
              </w:rPr>
            </w:pPr>
            <w:r>
              <w:rPr>
                <w:rFonts w:ascii="Arial" w:cs="Arial" w:eastAsia="Arial" w:hAnsi="Arial"/>
                <w:sz w:val="18"/>
                <w:szCs w:val="18"/>
                <w:color w:val="auto"/>
                <w:w w:val="95"/>
              </w:rPr>
              <w:t>Inline XBRL Instance Document – the instance document does not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60" w:type="dxa"/>
            <w:vAlign w:val="bottom"/>
            <w:gridSpan w:val="11"/>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506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0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060" w:type="dxa"/>
            <w:vAlign w:val="bottom"/>
            <w:gridSpan w:val="11"/>
          </w:tcPr>
          <w:p>
            <w:pPr>
              <w:spacing w:after="0"/>
              <w:rPr>
                <w:sz w:val="20"/>
                <w:szCs w:val="20"/>
                <w:color w:val="auto"/>
              </w:rPr>
            </w:pPr>
            <w:r>
              <w:rPr>
                <w:rFonts w:ascii="Arial" w:cs="Arial" w:eastAsia="Arial" w:hAnsi="Arial"/>
                <w:sz w:val="18"/>
                <w:szCs w:val="18"/>
                <w:color w:val="auto"/>
                <w:w w:val="95"/>
              </w:rPr>
              <w:t>Inline XBRL Taxonomy Extension Calculation Linkbase Document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060" w:type="dxa"/>
            <w:vAlign w:val="bottom"/>
            <w:gridSpan w:val="11"/>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0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060" w:type="dxa"/>
            <w:vAlign w:val="bottom"/>
            <w:gridSpan w:val="11"/>
          </w:tcPr>
          <w:p>
            <w:pPr>
              <w:spacing w:after="0"/>
              <w:rPr>
                <w:sz w:val="20"/>
                <w:szCs w:val="20"/>
                <w:color w:val="auto"/>
              </w:rPr>
            </w:pPr>
            <w:r>
              <w:rPr>
                <w:rFonts w:ascii="Arial" w:cs="Arial" w:eastAsia="Arial" w:hAnsi="Arial"/>
                <w:sz w:val="18"/>
                <w:szCs w:val="18"/>
                <w:color w:val="auto"/>
                <w:w w:val="93"/>
              </w:rPr>
              <w:t>Inline XBRL Taxonomy Extension Presentation Linkbase Document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80" w:right="20" w:hanging="1059"/>
        <w:spacing w:after="0" w:line="342" w:lineRule="auto"/>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15240</wp:posOffset>
            </wp:positionV>
            <wp:extent cx="31203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jc w:val="center"/>
              <w:ind w:right="173"/>
              <w:spacing w:after="0"/>
              <w:rPr>
                <w:sz w:val="20"/>
                <w:szCs w:val="20"/>
                <w:color w:val="auto"/>
              </w:rPr>
            </w:pPr>
            <w:r>
              <w:rPr>
                <w:rFonts w:ascii="Arial" w:cs="Arial" w:eastAsia="Arial" w:hAnsi="Arial"/>
                <w:sz w:val="14"/>
                <w:szCs w:val="14"/>
                <w:b w:val="1"/>
                <w:bCs w:val="1"/>
                <w:color w:val="auto"/>
                <w:w w:val="97"/>
              </w:rPr>
              <w:t>Form</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80" w:type="dxa"/>
            <w:vAlign w:val="bottom"/>
          </w:tcPr>
          <w:p>
            <w:pPr>
              <w:jc w:val="center"/>
              <w:ind w:left="133"/>
              <w:spacing w:after="0"/>
              <w:rPr>
                <w:sz w:val="20"/>
                <w:szCs w:val="20"/>
                <w:color w:val="auto"/>
              </w:rPr>
            </w:pPr>
            <w:r>
              <w:rPr>
                <w:rFonts w:ascii="Arial" w:cs="Arial" w:eastAsia="Arial" w:hAnsi="Arial"/>
                <w:sz w:val="14"/>
                <w:szCs w:val="14"/>
                <w:b w:val="1"/>
                <w:bCs w:val="1"/>
                <w:color w:val="auto"/>
                <w:w w:val="94"/>
              </w:rPr>
              <w:t>Filing Date</w:t>
            </w:r>
          </w:p>
        </w:tc>
      </w:tr>
      <w:tr>
        <w:trPr>
          <w:trHeight w:val="377"/>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88"/>
              </w:rPr>
              <w:t>September 9, 2020</w:t>
            </w:r>
          </w:p>
        </w:tc>
      </w:tr>
      <w:tr>
        <w:trPr>
          <w:trHeight w:val="607"/>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88"/>
              </w:rPr>
              <w:t>September 9, 2020</w:t>
            </w:r>
          </w:p>
        </w:tc>
      </w:tr>
      <w:tr>
        <w:trPr>
          <w:trHeight w:val="392"/>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88"/>
              </w:rPr>
              <w:t>September 9, 2020</w:t>
            </w:r>
          </w:p>
        </w:tc>
      </w:tr>
      <w:tr>
        <w:trPr>
          <w:trHeight w:val="392"/>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91"/>
              </w:rPr>
              <w:t>August 21, 2020</w:t>
            </w:r>
          </w:p>
        </w:tc>
      </w:tr>
      <w:tr>
        <w:trPr>
          <w:trHeight w:val="392"/>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91"/>
              </w:rPr>
              <w:t>August 21, 2020</w:t>
            </w:r>
          </w:p>
        </w:tc>
      </w:tr>
      <w:tr>
        <w:trPr>
          <w:trHeight w:val="392"/>
        </w:trPr>
        <w:tc>
          <w:tcPr>
            <w:tcW w:w="680" w:type="dxa"/>
            <w:vAlign w:val="bottom"/>
          </w:tcPr>
          <w:p>
            <w:pPr>
              <w:jc w:val="center"/>
              <w:ind w:right="153"/>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91"/>
              </w:rPr>
              <w:t>August 21, 2020</w:t>
            </w:r>
          </w:p>
        </w:tc>
      </w:tr>
    </w:tbl>
    <w:p>
      <w:pPr>
        <w:sectPr>
          <w:pgSz w:w="11900" w:h="16838" w:orient="portrait"/>
          <w:cols w:equalWidth="0" w:num="2">
            <w:col w:w="6200" w:space="300"/>
            <w:col w:w="4600"/>
          </w:cols>
          <w:pgMar w:left="320" w:top="337" w:right="479" w:bottom="1440" w:gutter="0" w:footer="0" w:header="0"/>
        </w:sectPr>
      </w:pPr>
    </w:p>
    <w:bookmarkStart w:id="27" w:name="page28"/>
    <w:bookmarkEnd w:id="2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Outset Medical, Inc.</w:t>
      </w:r>
    </w:p>
    <w:p>
      <w:pPr>
        <w:spacing w:after="0" w:line="279" w:lineRule="exact"/>
        <w:rPr>
          <w:sz w:val="20"/>
          <w:szCs w:val="20"/>
          <w:color w:val="auto"/>
        </w:rPr>
      </w:pPr>
    </w:p>
    <w:p>
      <w:pPr>
        <w:ind w:left="20"/>
        <w:spacing w:after="0"/>
        <w:tabs>
          <w:tab w:leader="none" w:pos="5420" w:val="left"/>
          <w:tab w:leader="none" w:pos="800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Leslie Trigg</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65" w:lineRule="exact"/>
        <w:rPr>
          <w:sz w:val="20"/>
          <w:szCs w:val="20"/>
          <w:color w:val="auto"/>
        </w:rPr>
      </w:pPr>
    </w:p>
    <w:p>
      <w:pPr>
        <w:ind w:left="20"/>
        <w:spacing w:after="0"/>
        <w:tabs>
          <w:tab w:leader="none" w:pos="5420" w:val="left"/>
          <w:tab w:leader="none" w:pos="790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Nabeel Ahmed</w:t>
      </w:r>
    </w:p>
    <w:p>
      <w:pPr>
        <w:spacing w:after="0" w:line="3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84"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40" w:val="left"/>
          <w:tab w:leader="none" w:pos="866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34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3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Leslie Trigg</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98" w:lineRule="exact"/>
        <w:rPr>
          <w:sz w:val="20"/>
          <w:szCs w:val="20"/>
          <w:color w:val="auto"/>
        </w:rPr>
      </w:pPr>
    </w:p>
    <w:p>
      <w:pPr>
        <w:ind w:left="760" w:hanging="75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84"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40" w:val="left"/>
          <w:tab w:leader="none" w:pos="856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34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30"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Nabeel Ahmed</w:t>
      </w:r>
    </w:p>
    <w:p>
      <w:pPr>
        <w:spacing w:after="0" w:line="3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June 30, 2023, as filed with the Securities and Exchange Commission on the date hereof (the “Report”), each of the undersigned certifies, pursuant to 18 U.S.C. §1350, as adopted pursuant to §906 of the Sarbanes-Oxley Act of 2002, that, to her/his knowledge:</w:t>
      </w:r>
    </w:p>
    <w:p>
      <w:pPr>
        <w:spacing w:after="0" w:line="143"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09" w:lineRule="exact"/>
        <w:rPr>
          <w:rFonts w:ascii="Arial" w:cs="Arial" w:eastAsia="Arial" w:hAnsi="Arial"/>
          <w:sz w:val="17"/>
          <w:szCs w:val="17"/>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89" w:lineRule="exact"/>
        <w:rPr>
          <w:sz w:val="20"/>
          <w:szCs w:val="20"/>
          <w:color w:val="auto"/>
        </w:rPr>
      </w:pPr>
    </w:p>
    <w:p>
      <w:pPr>
        <w:ind w:left="20"/>
        <w:spacing w:after="0"/>
        <w:tabs>
          <w:tab w:leader="none" w:pos="4560" w:val="left"/>
          <w:tab w:leader="none" w:pos="5220" w:val="left"/>
        </w:tabs>
        <w:rPr>
          <w:sz w:val="20"/>
          <w:szCs w:val="20"/>
          <w:color w:val="auto"/>
        </w:rPr>
      </w:pPr>
      <w:r>
        <w:rPr>
          <w:rFonts w:ascii="Arial" w:cs="Arial" w:eastAsia="Arial" w:hAnsi="Arial"/>
          <w:sz w:val="18"/>
          <w:szCs w:val="18"/>
          <w:color w:val="auto"/>
        </w:rPr>
        <w:t>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23495</wp:posOffset>
            </wp:positionV>
            <wp:extent cx="3815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Leslie Trigg</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79" w:lineRule="exact"/>
        <w:rPr>
          <w:sz w:val="20"/>
          <w:szCs w:val="20"/>
          <w:color w:val="auto"/>
        </w:rPr>
      </w:pPr>
    </w:p>
    <w:p>
      <w:pPr>
        <w:ind w:left="20"/>
        <w:spacing w:after="0"/>
        <w:tabs>
          <w:tab w:leader="none" w:pos="4560" w:val="left"/>
          <w:tab w:leader="none" w:pos="5220" w:val="left"/>
        </w:tabs>
        <w:rPr>
          <w:sz w:val="20"/>
          <w:szCs w:val="20"/>
          <w:color w:val="auto"/>
        </w:rPr>
      </w:pPr>
      <w:r>
        <w:rPr>
          <w:rFonts w:ascii="Arial" w:cs="Arial" w:eastAsia="Arial" w:hAnsi="Arial"/>
          <w:sz w:val="18"/>
          <w:szCs w:val="18"/>
          <w:color w:val="auto"/>
        </w:rPr>
        <w:t>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23495</wp:posOffset>
            </wp:positionV>
            <wp:extent cx="38233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Nabeel Ahmed</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
      <w:numFmt w:val="bullet"/>
      <w:start w:val="1"/>
    </w:lvl>
    <w:lvl w:ilvl="1">
      <w:lvlJc w:val="left"/>
      <w:lvlText w:val="%2"/>
      <w:numFmt w:val="decimal"/>
      <w:start w:val="104"/>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182" Type="http://schemas.openxmlformats.org/officeDocument/2006/relationships/hyperlink" Target="https://www.sec.gov/Archives/edgar/data/1484612/000119312520241516/d941853dex31.htm" TargetMode="External"/><Relationship Id="rId183" Type="http://schemas.openxmlformats.org/officeDocument/2006/relationships/hyperlink" Target="https://www.sec.gov/Archives/edgar/data/1484612/000119312520241516/d941853dex32.htm" TargetMode="External"/><Relationship Id="rId184" Type="http://schemas.openxmlformats.org/officeDocument/2006/relationships/hyperlink" Target="https://www.sec.gov/Archives/edgar/data/1484612/000119312520241516/d941853dex41.htm" TargetMode="External"/><Relationship Id="rId185" Type="http://schemas.openxmlformats.org/officeDocument/2006/relationships/hyperlink" Target="https://www.sec.gov/Archives/edgar/data/1484612/000119312520226746/d941853dex42.htm" TargetMode="External"/><Relationship Id="rId186" Type="http://schemas.openxmlformats.org/officeDocument/2006/relationships/hyperlink" Target="https://www.sec.gov/Archives/edgar/data/1484612/000119312520226746/d941853dex43.htm" TargetMode="External"/><Relationship Id="rId187"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2023-08-03T05:27:49Z</dcterms:created>
  <dcterms:modified xsi:type="dcterms:W3CDTF">2023-08-03T05:27:49Z</dcterms:modified>
</cp:coreProperties>
</file>